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黑体" w:eastAsia="仿宋" w:hAnsi="微软雅黑" w:cs="宋体"/>
          <w:bCs/>
          <w:kern w:val="0"/>
          <w:sz w:val="32"/>
          <w:szCs w:val="32"/>
        </w:rPr>
      </w:pPr>
      <w:r w:rsidRPr="00677362">
        <w:rPr>
          <w:rFonts w:ascii="黑体" w:eastAsia="仿宋" w:hAnsi="微软雅黑" w:cs="宋体" w:hint="eastAsia"/>
          <w:bCs/>
          <w:kern w:val="0"/>
          <w:sz w:val="32"/>
          <w:szCs w:val="32"/>
        </w:rPr>
        <w:t>附件</w:t>
      </w:r>
      <w:r w:rsidRPr="00677362">
        <w:rPr>
          <w:rFonts w:ascii="黑体" w:eastAsia="仿宋" w:hint="eastAsia"/>
          <w:bCs/>
          <w:kern w:val="0"/>
          <w:sz w:val="32"/>
          <w:szCs w:val="32"/>
        </w:rPr>
        <w:t>2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jc w:val="left"/>
        <w:rPr>
          <w:rFonts w:ascii="方正仿宋简体" w:eastAsia="仿宋" w:hAnsi="微软雅黑" w:cs="宋体"/>
          <w:kern w:val="0"/>
          <w:sz w:val="32"/>
          <w:szCs w:val="32"/>
        </w:rPr>
      </w:pP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仿宋" w:hAnsi="微软雅黑" w:cs="宋体"/>
          <w:bCs/>
          <w:kern w:val="0"/>
          <w:sz w:val="44"/>
          <w:szCs w:val="44"/>
        </w:rPr>
      </w:pPr>
      <w:r w:rsidRPr="00677362">
        <w:rPr>
          <w:rFonts w:ascii="方正小标宋简体" w:eastAsia="仿宋" w:hAnsi="微软雅黑" w:cs="宋体" w:hint="eastAsia"/>
          <w:bCs/>
          <w:kern w:val="0"/>
          <w:sz w:val="44"/>
          <w:szCs w:val="44"/>
        </w:rPr>
        <w:t>普通高等学校</w:t>
      </w:r>
      <w:r w:rsidRPr="00677362">
        <w:rPr>
          <w:rFonts w:ascii="方正小标宋简体" w:eastAsia="仿宋" w:hAnsi="微软雅黑" w:cs="宋体" w:hint="eastAsia"/>
          <w:bCs/>
          <w:kern w:val="0"/>
          <w:sz w:val="44"/>
          <w:szCs w:val="44"/>
        </w:rPr>
        <w:t>201</w:t>
      </w:r>
      <w:r w:rsidRPr="00677362">
        <w:rPr>
          <w:rFonts w:ascii="方正小标宋简体" w:eastAsia="仿宋" w:hAnsi="微软雅黑" w:cs="宋体"/>
          <w:bCs/>
          <w:kern w:val="0"/>
          <w:sz w:val="44"/>
          <w:szCs w:val="44"/>
        </w:rPr>
        <w:t>6</w:t>
      </w:r>
      <w:r w:rsidRPr="00677362">
        <w:rPr>
          <w:rFonts w:ascii="方正小标宋简体" w:eastAsia="仿宋" w:hAnsi="微软雅黑" w:cs="宋体" w:hint="eastAsia"/>
          <w:bCs/>
          <w:kern w:val="0"/>
          <w:sz w:val="44"/>
          <w:szCs w:val="44"/>
        </w:rPr>
        <w:t>-201</w:t>
      </w:r>
      <w:r w:rsidRPr="00677362">
        <w:rPr>
          <w:rFonts w:ascii="方正小标宋简体" w:eastAsia="仿宋" w:hAnsi="微软雅黑" w:cs="宋体"/>
          <w:bCs/>
          <w:kern w:val="0"/>
          <w:sz w:val="44"/>
          <w:szCs w:val="44"/>
        </w:rPr>
        <w:t>7</w:t>
      </w:r>
      <w:r w:rsidRPr="00677362">
        <w:rPr>
          <w:rFonts w:ascii="方正小标宋简体" w:eastAsia="仿宋" w:hAnsi="微软雅黑" w:cs="宋体" w:hint="eastAsia"/>
          <w:bCs/>
          <w:kern w:val="0"/>
          <w:sz w:val="44"/>
          <w:szCs w:val="44"/>
        </w:rPr>
        <w:t>学年本科教学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仿宋" w:hAnsi="微软雅黑" w:cs="宋体"/>
          <w:bCs/>
          <w:kern w:val="0"/>
          <w:sz w:val="44"/>
          <w:szCs w:val="44"/>
        </w:rPr>
      </w:pPr>
      <w:r w:rsidRPr="00677362">
        <w:rPr>
          <w:rFonts w:ascii="方正小标宋简体" w:eastAsia="仿宋" w:hAnsi="微软雅黑" w:cs="宋体" w:hint="eastAsia"/>
          <w:bCs/>
          <w:kern w:val="0"/>
          <w:sz w:val="44"/>
          <w:szCs w:val="44"/>
        </w:rPr>
        <w:t>质量报告支撑数据目录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简体" w:eastAsia="仿宋" w:hAnsi="微软雅黑" w:cs="宋体"/>
          <w:kern w:val="0"/>
          <w:sz w:val="32"/>
          <w:szCs w:val="32"/>
        </w:rPr>
      </w:pP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本科生占全日制在校生总数的比例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教师数量及结构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3.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专业设置情况（全校本科专业总数、当年本科招生专业总数以及当年新增专业、停招专业名单）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4.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生师比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5.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生</w:t>
      </w:r>
      <w:proofErr w:type="gramStart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均教学</w:t>
      </w:r>
      <w:proofErr w:type="gramEnd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科研仪器设备值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6.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当年新增教学科研仪器设备值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7.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生均图书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8.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电子图书、电子期刊种数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9.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生</w:t>
      </w:r>
      <w:proofErr w:type="gramStart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均教学</w:t>
      </w:r>
      <w:proofErr w:type="gramEnd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行政用房（其中生均实验室面积）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10.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生均本科教学日常运行支出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11.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本科专项教学经费（自然年度内学校立项用于本科教学改革和建设的专项经费总额）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12.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生均本科实验经费（自然年度内学校用于实验教学运行、维护经费生均值）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13.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生均本科实习经费（自然年度内用于本科培养方案内的实习环节支出经费生均值）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14.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全校开设课程总门数（学年度内实际开设的本科培养计划内课程总数，跨学期讲授的同一门课程计一门）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lastRenderedPageBreak/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15.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实践教学学分占总学分比例（可按学科门类）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16.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选修课学分占总学分比例（可按学科门类）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17.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主讲本科课程的教授占教授总数的比例（不含讲座）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18.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教授讲授本科课程占课程总门次数的比例（一门课程的全部课时均由教授授课，计为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；由多名教师共同承担的，</w:t>
      </w:r>
      <w:proofErr w:type="gramStart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按教授</w:t>
      </w:r>
      <w:proofErr w:type="gramEnd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实际承担学时比例计算）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19.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应届本科生毕业率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20.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应届本科生学位授予率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21.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应届本科生初次就业率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22.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体质测试达标率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23.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学生学习满意度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(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调查方法与结果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)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24.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用人单位对毕业生满意度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(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调查方法与结果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)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25.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其它与本科教学质量相关数据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说明：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数据的计算方法参照《教育部关于印发〈普通高等学校基本办学条件指标（试行）〉的通知》教发〔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2004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〕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号文件。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    2.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财务数据（如经费、工资等）按照自然年度计算，截止到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201</w:t>
      </w:r>
      <w:r w:rsidRPr="00677362">
        <w:rPr>
          <w:rFonts w:ascii="仿宋_GB2312" w:eastAsia="仿宋" w:hAnsi="微软雅黑" w:cs="宋体"/>
          <w:kern w:val="0"/>
          <w:sz w:val="32"/>
          <w:szCs w:val="32"/>
        </w:rPr>
        <w:t>6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年年底；教学数据（学生、教师、专业、课程等）应按照学年度计算，为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201</w:t>
      </w:r>
      <w:r w:rsidRPr="00677362">
        <w:rPr>
          <w:rFonts w:ascii="仿宋_GB2312" w:eastAsia="仿宋" w:hAnsi="微软雅黑" w:cs="宋体"/>
          <w:kern w:val="0"/>
          <w:sz w:val="32"/>
          <w:szCs w:val="32"/>
        </w:rPr>
        <w:t>6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-201</w:t>
      </w:r>
      <w:r w:rsidRPr="00677362">
        <w:rPr>
          <w:rFonts w:ascii="仿宋_GB2312" w:eastAsia="仿宋" w:hAnsi="微软雅黑" w:cs="宋体"/>
          <w:kern w:val="0"/>
          <w:sz w:val="32"/>
          <w:szCs w:val="32"/>
        </w:rPr>
        <w:t>7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学年。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3.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第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10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项数据参照《教育部办公厅关于开展普通高等学校本科教学工作合格评估的通知》</w:t>
      </w:r>
      <w:proofErr w:type="gramStart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教高厅</w:t>
      </w:r>
      <w:proofErr w:type="gramEnd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〔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2011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〕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号文件，是指学校开展普通本科教学活动及其辅助活动发生的支出，仅指教学基本支出中的商品和服务支出（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302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类）（不含教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lastRenderedPageBreak/>
        <w:t>学专项拨款支出），具体包括：教学教辅部门发生的办公费（含考试考</w:t>
      </w:r>
      <w:proofErr w:type="gramStart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务</w:t>
      </w:r>
      <w:proofErr w:type="gramEnd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费、手续费等）、印刷费、咨询费、邮电费、交通费、差旅费、出国费、维修（护）费、租赁费、会议费、培训费、专用材料费（含体育维持费等）、劳务费、其他教学商品和服务支出（</w:t>
      </w:r>
      <w:proofErr w:type="gramStart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含学生</w:t>
      </w:r>
      <w:proofErr w:type="gramEnd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活动费、教学咨询研究机构会员费、教学改革科研业务费、委托业务费等）。取会计决算数。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　　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4.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第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23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、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24</w:t>
      </w:r>
      <w:proofErr w:type="gramStart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两项数据</w:t>
      </w:r>
      <w:proofErr w:type="gramEnd"/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本次可视本校此项工作基础酌情公布。</w:t>
      </w:r>
    </w:p>
    <w:p w:rsidR="00677362" w:rsidRPr="00677362" w:rsidRDefault="00677362" w:rsidP="00677362">
      <w:pPr>
        <w:widowControl/>
        <w:shd w:val="clear" w:color="auto" w:fill="FFFFFF"/>
        <w:snapToGrid w:val="0"/>
        <w:spacing w:line="560" w:lineRule="exact"/>
        <w:rPr>
          <w:rFonts w:ascii="仿宋_GB2312" w:eastAsia="仿宋" w:hAnsi="微软雅黑" w:cs="宋体"/>
          <w:kern w:val="0"/>
          <w:sz w:val="32"/>
          <w:szCs w:val="32"/>
        </w:rPr>
      </w:pP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 xml:space="preserve">    5.</w:t>
      </w:r>
      <w:r w:rsidRPr="00677362">
        <w:rPr>
          <w:rFonts w:ascii="仿宋_GB2312" w:eastAsia="仿宋" w:hAnsi="微软雅黑" w:cs="宋体" w:hint="eastAsia"/>
          <w:kern w:val="0"/>
          <w:sz w:val="32"/>
          <w:szCs w:val="32"/>
        </w:rPr>
        <w:t>质量报告中的各项数据均保留小数点后两位数字。</w:t>
      </w:r>
    </w:p>
    <w:p w:rsidR="00677362" w:rsidRPr="00677362" w:rsidRDefault="00677362" w:rsidP="00677362">
      <w:pPr>
        <w:snapToGrid w:val="0"/>
        <w:spacing w:line="560" w:lineRule="exact"/>
        <w:rPr>
          <w:rFonts w:ascii="方正仿宋简体" w:eastAsia="仿宋" w:hAnsi="Calibri"/>
          <w:sz w:val="32"/>
          <w:szCs w:val="32"/>
        </w:rPr>
      </w:pPr>
    </w:p>
    <w:p w:rsidR="00677362" w:rsidRPr="00677362" w:rsidRDefault="00677362" w:rsidP="00677362">
      <w:pPr>
        <w:spacing w:line="560" w:lineRule="exact"/>
        <w:rPr>
          <w:rFonts w:ascii="仿宋_GB2312" w:eastAsia="仿宋"/>
          <w:sz w:val="32"/>
          <w:szCs w:val="32"/>
        </w:rPr>
      </w:pPr>
    </w:p>
    <w:p w:rsidR="00677362" w:rsidRPr="00677362" w:rsidRDefault="00677362" w:rsidP="00677362">
      <w:pPr>
        <w:rPr>
          <w:rFonts w:eastAsia="仿宋"/>
          <w:sz w:val="32"/>
        </w:rPr>
      </w:pPr>
    </w:p>
    <w:p w:rsidR="006E7CC8" w:rsidRPr="00677362" w:rsidRDefault="006E7CC8">
      <w:pPr>
        <w:rPr>
          <w:rFonts w:eastAsia="仿宋"/>
        </w:rPr>
      </w:pPr>
    </w:p>
    <w:sectPr w:rsidR="006E7CC8" w:rsidRPr="00677362" w:rsidSect="006E7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7362"/>
    <w:rsid w:val="00677362"/>
    <w:rsid w:val="006E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2017-12-18T08:38:00Z</dcterms:created>
  <dcterms:modified xsi:type="dcterms:W3CDTF">2017-12-18T08:39:00Z</dcterms:modified>
</cp:coreProperties>
</file>