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651" w:rsidRDefault="009C4651">
      <w:pPr>
        <w:spacing w:line="560" w:lineRule="exact"/>
        <w:jc w:val="center"/>
        <w:rPr>
          <w:rFonts w:eastAsia="方正小标宋简体"/>
          <w:sz w:val="44"/>
          <w:szCs w:val="44"/>
        </w:rPr>
      </w:pPr>
    </w:p>
    <w:p w:rsidR="009C4651" w:rsidRDefault="0003357C">
      <w:pPr>
        <w:spacing w:line="560" w:lineRule="exact"/>
        <w:jc w:val="center"/>
        <w:rPr>
          <w:rFonts w:eastAsia="方正小标宋简体"/>
          <w:sz w:val="44"/>
          <w:szCs w:val="44"/>
        </w:rPr>
      </w:pPr>
      <w:r>
        <w:rPr>
          <w:rFonts w:eastAsia="方正小标宋简体"/>
          <w:sz w:val="44"/>
          <w:szCs w:val="44"/>
        </w:rPr>
        <w:t>中国共产党北京市委员会教育工作委员会</w:t>
      </w:r>
    </w:p>
    <w:p w:rsidR="009C4651" w:rsidRDefault="0003357C">
      <w:pPr>
        <w:spacing w:line="560" w:lineRule="exact"/>
        <w:jc w:val="center"/>
        <w:rPr>
          <w:rFonts w:eastAsia="方正小标宋简体"/>
          <w:sz w:val="44"/>
          <w:szCs w:val="44"/>
        </w:rPr>
      </w:pPr>
      <w:r>
        <w:rPr>
          <w:rFonts w:eastAsia="方正小标宋简体"/>
          <w:sz w:val="44"/>
          <w:szCs w:val="44"/>
        </w:rPr>
        <w:t>202</w:t>
      </w:r>
      <w:r>
        <w:rPr>
          <w:rFonts w:eastAsia="方正小标宋简体"/>
          <w:sz w:val="44"/>
          <w:szCs w:val="44"/>
        </w:rPr>
        <w:t>4</w:t>
      </w:r>
      <w:r>
        <w:rPr>
          <w:rFonts w:eastAsia="方正小标宋简体"/>
          <w:sz w:val="44"/>
          <w:szCs w:val="44"/>
        </w:rPr>
        <w:t>年部门整体绩效评价报告</w:t>
      </w:r>
    </w:p>
    <w:p w:rsidR="009C4651" w:rsidRDefault="009C4651">
      <w:pPr>
        <w:spacing w:line="560" w:lineRule="exact"/>
        <w:jc w:val="center"/>
        <w:rPr>
          <w:szCs w:val="30"/>
        </w:rPr>
      </w:pPr>
    </w:p>
    <w:p w:rsidR="009C4651" w:rsidRDefault="0003357C">
      <w:pPr>
        <w:spacing w:line="560" w:lineRule="exact"/>
        <w:ind w:firstLineChars="200" w:firstLine="640"/>
        <w:rPr>
          <w:rFonts w:eastAsia="黑体"/>
          <w:color w:val="000000"/>
          <w:kern w:val="0"/>
          <w:sz w:val="32"/>
          <w:szCs w:val="32"/>
        </w:rPr>
      </w:pPr>
      <w:r>
        <w:rPr>
          <w:rFonts w:eastAsia="黑体"/>
          <w:color w:val="000000"/>
          <w:kern w:val="0"/>
          <w:sz w:val="32"/>
          <w:szCs w:val="32"/>
        </w:rPr>
        <w:t>一、部门概况</w:t>
      </w:r>
    </w:p>
    <w:p w:rsidR="009C4651" w:rsidRDefault="0003357C">
      <w:pPr>
        <w:spacing w:line="560" w:lineRule="exact"/>
        <w:ind w:firstLineChars="200" w:firstLine="640"/>
        <w:rPr>
          <w:rFonts w:eastAsia="楷体_GB2312"/>
          <w:sz w:val="32"/>
          <w:szCs w:val="32"/>
        </w:rPr>
      </w:pPr>
      <w:r>
        <w:rPr>
          <w:rFonts w:eastAsia="楷体_GB2312"/>
          <w:sz w:val="32"/>
          <w:szCs w:val="32"/>
        </w:rPr>
        <w:t>（一）机构设置及职责工作任务情况</w:t>
      </w:r>
    </w:p>
    <w:p w:rsidR="009C4651" w:rsidRDefault="0003357C">
      <w:pPr>
        <w:spacing w:line="560" w:lineRule="exact"/>
        <w:ind w:firstLineChars="200" w:firstLine="640"/>
        <w:rPr>
          <w:rFonts w:eastAsia="仿宋_GB2312"/>
          <w:sz w:val="32"/>
          <w:szCs w:val="32"/>
        </w:rPr>
      </w:pPr>
      <w:r>
        <w:rPr>
          <w:rFonts w:eastAsia="仿宋_GB2312"/>
          <w:sz w:val="32"/>
          <w:szCs w:val="32"/>
        </w:rPr>
        <w:t>中国共产党北京市委员会教育工作委员会是市委工作机关，主要职能是贯彻落实党中央关于教育事业的方针政策、决策部署和市委有关工作要求，制定北京教育系统坚持党的领导、加强党的建设的措施并在职权范围内组织实施。统筹指导北京教育系统党的建设、思想政治、德育、干部人才、统战群工、安全稳定等工作。</w:t>
      </w:r>
    </w:p>
    <w:p w:rsidR="009C4651" w:rsidRDefault="0003357C">
      <w:pPr>
        <w:spacing w:line="560" w:lineRule="exact"/>
        <w:ind w:firstLineChars="200" w:firstLine="640"/>
        <w:rPr>
          <w:rFonts w:eastAsia="仿宋_GB2312"/>
          <w:sz w:val="32"/>
          <w:szCs w:val="32"/>
        </w:rPr>
      </w:pPr>
      <w:r>
        <w:rPr>
          <w:rFonts w:eastAsia="仿宋_GB2312"/>
          <w:sz w:val="32"/>
          <w:szCs w:val="32"/>
        </w:rPr>
        <w:t>中国共产党北京市委员会教育工作委员会坚持以习近平新时代中国特色社会主义思想为指导，深入贯彻党的二十大和二十届二中、三中全会精神及习近平总书记关于教育的重要论述、对北京重要讲话精神，贯彻全国教育大会和《教育强国建设规划纲要（</w:t>
      </w:r>
      <w:r>
        <w:rPr>
          <w:rFonts w:eastAsia="仿宋_GB2312"/>
          <w:sz w:val="32"/>
          <w:szCs w:val="32"/>
        </w:rPr>
        <w:t>2024—2035</w:t>
      </w:r>
      <w:r>
        <w:rPr>
          <w:rFonts w:eastAsia="仿宋_GB2312"/>
          <w:sz w:val="32"/>
          <w:szCs w:val="32"/>
        </w:rPr>
        <w:t>）》要求，落实市委十三届四次、五次全会工作安排，牢牢把握教育的政治属性、人民属性、战略属性，锚定</w:t>
      </w:r>
      <w:r>
        <w:rPr>
          <w:rFonts w:eastAsia="仿宋_GB2312"/>
          <w:sz w:val="32"/>
          <w:szCs w:val="32"/>
        </w:rPr>
        <w:t>2035</w:t>
      </w:r>
      <w:r>
        <w:rPr>
          <w:rFonts w:eastAsia="仿宋_GB2312"/>
          <w:sz w:val="32"/>
          <w:szCs w:val="32"/>
        </w:rPr>
        <w:t>年建成教育强国奋斗目标，落实立德树人根本任务，加快建设高质量教育体系，着力推进教育、科技、人才一体化发展，努力办好人民满意的首都教育，各项工作取得新进展新成效。</w:t>
      </w:r>
    </w:p>
    <w:p w:rsidR="009C4651" w:rsidRDefault="0003357C">
      <w:pPr>
        <w:spacing w:line="560" w:lineRule="exact"/>
        <w:ind w:firstLineChars="200" w:firstLine="640"/>
        <w:rPr>
          <w:rFonts w:eastAsia="楷体_GB2312"/>
          <w:sz w:val="32"/>
          <w:szCs w:val="32"/>
        </w:rPr>
      </w:pPr>
      <w:r>
        <w:rPr>
          <w:rFonts w:eastAsia="楷体_GB2312"/>
          <w:sz w:val="32"/>
          <w:szCs w:val="32"/>
        </w:rPr>
        <w:t>（二）</w:t>
      </w:r>
      <w:r>
        <w:rPr>
          <w:rFonts w:eastAsia="楷体_GB2312"/>
          <w:sz w:val="32"/>
          <w:szCs w:val="32"/>
        </w:rPr>
        <w:t>部门整体绩效目标设立情况</w:t>
      </w:r>
    </w:p>
    <w:p w:rsidR="009C4651" w:rsidRDefault="0003357C">
      <w:pPr>
        <w:spacing w:line="560" w:lineRule="exact"/>
        <w:ind w:firstLineChars="200" w:firstLine="640"/>
        <w:rPr>
          <w:rFonts w:eastAsia="仿宋_GB2312"/>
          <w:color w:val="000000"/>
          <w:kern w:val="0"/>
          <w:sz w:val="32"/>
          <w:szCs w:val="32"/>
        </w:rPr>
      </w:pPr>
      <w:r>
        <w:rPr>
          <w:rFonts w:eastAsia="仿宋_GB2312"/>
          <w:sz w:val="32"/>
          <w:szCs w:val="32"/>
        </w:rPr>
        <w:lastRenderedPageBreak/>
        <w:t>中国共产党北京市委员会教育工作委员会</w:t>
      </w:r>
      <w:r>
        <w:rPr>
          <w:rFonts w:eastAsia="仿宋_GB2312"/>
          <w:color w:val="000000"/>
          <w:kern w:val="0"/>
          <w:sz w:val="32"/>
          <w:szCs w:val="32"/>
        </w:rPr>
        <w:t>202</w:t>
      </w:r>
      <w:r>
        <w:rPr>
          <w:rFonts w:eastAsia="仿宋_GB2312"/>
          <w:color w:val="000000"/>
          <w:kern w:val="0"/>
          <w:sz w:val="32"/>
          <w:szCs w:val="32"/>
        </w:rPr>
        <w:t>4</w:t>
      </w:r>
      <w:r>
        <w:rPr>
          <w:rFonts w:eastAsia="仿宋_GB2312"/>
          <w:color w:val="000000"/>
          <w:kern w:val="0"/>
          <w:sz w:val="32"/>
          <w:szCs w:val="32"/>
        </w:rPr>
        <w:t>年部门整体绩效目标依据《中共北京市委教育工作委员会北京市教育委员会关于印发</w:t>
      </w:r>
      <w:r>
        <w:rPr>
          <w:rFonts w:eastAsia="仿宋_GB2312"/>
          <w:color w:val="000000"/>
          <w:kern w:val="0"/>
          <w:sz w:val="32"/>
          <w:szCs w:val="32"/>
        </w:rPr>
        <w:t>202</w:t>
      </w:r>
      <w:r>
        <w:rPr>
          <w:rFonts w:eastAsia="仿宋_GB2312"/>
          <w:color w:val="000000"/>
          <w:kern w:val="0"/>
          <w:sz w:val="32"/>
          <w:szCs w:val="32"/>
        </w:rPr>
        <w:t>4</w:t>
      </w:r>
      <w:r>
        <w:rPr>
          <w:rFonts w:eastAsia="仿宋_GB2312"/>
          <w:color w:val="000000"/>
          <w:kern w:val="0"/>
          <w:sz w:val="32"/>
          <w:szCs w:val="32"/>
        </w:rPr>
        <w:t>年工作要点的通知》（京教工〔</w:t>
      </w:r>
      <w:r>
        <w:rPr>
          <w:rFonts w:eastAsia="仿宋_GB2312"/>
          <w:color w:val="000000"/>
          <w:kern w:val="0"/>
          <w:sz w:val="32"/>
          <w:szCs w:val="32"/>
        </w:rPr>
        <w:t>202</w:t>
      </w:r>
      <w:r>
        <w:rPr>
          <w:rFonts w:eastAsia="仿宋_GB2312"/>
          <w:color w:val="000000"/>
          <w:kern w:val="0"/>
          <w:sz w:val="32"/>
          <w:szCs w:val="32"/>
        </w:rPr>
        <w:t>4</w:t>
      </w:r>
      <w:r>
        <w:rPr>
          <w:rFonts w:eastAsia="仿宋_GB2312"/>
          <w:color w:val="000000"/>
          <w:kern w:val="0"/>
          <w:sz w:val="32"/>
          <w:szCs w:val="32"/>
        </w:rPr>
        <w:t>〕</w:t>
      </w:r>
      <w:r>
        <w:rPr>
          <w:rFonts w:eastAsia="仿宋_GB2312"/>
          <w:color w:val="000000"/>
          <w:kern w:val="0"/>
          <w:sz w:val="32"/>
          <w:szCs w:val="32"/>
        </w:rPr>
        <w:t>13</w:t>
      </w:r>
      <w:r>
        <w:rPr>
          <w:rFonts w:eastAsia="仿宋_GB2312"/>
          <w:color w:val="000000"/>
          <w:kern w:val="0"/>
          <w:sz w:val="32"/>
          <w:szCs w:val="32"/>
        </w:rPr>
        <w:t>号），对照部门工作职责和年度</w:t>
      </w:r>
      <w:r>
        <w:rPr>
          <w:rFonts w:eastAsia="仿宋_GB2312"/>
          <w:color w:val="000000"/>
          <w:kern w:val="0"/>
          <w:sz w:val="32"/>
          <w:szCs w:val="32"/>
        </w:rPr>
        <w:t>工作</w:t>
      </w:r>
      <w:r>
        <w:rPr>
          <w:rFonts w:eastAsia="仿宋_GB2312"/>
          <w:color w:val="000000"/>
          <w:kern w:val="0"/>
          <w:sz w:val="32"/>
          <w:szCs w:val="32"/>
        </w:rPr>
        <w:t>要点，合理预计在本年度内履职所能达到的总体产出和效果，将其设立为部门总体目标。同时，结合各处室具体工作职责和任务，概括、提炼最能反映工作任务预期实现程度的关键性指标，将其确定为相应的绩效指标。部门整体绩效目标设立较为明确、合理，与市委教育工委职能相符。</w:t>
      </w:r>
    </w:p>
    <w:p w:rsidR="009C4651" w:rsidRDefault="0003357C">
      <w:pPr>
        <w:spacing w:line="560" w:lineRule="exact"/>
        <w:ind w:firstLineChars="200" w:firstLine="640"/>
        <w:rPr>
          <w:rFonts w:eastAsia="黑体"/>
          <w:color w:val="000000"/>
          <w:kern w:val="0"/>
          <w:sz w:val="32"/>
          <w:szCs w:val="32"/>
        </w:rPr>
      </w:pPr>
      <w:r>
        <w:rPr>
          <w:rFonts w:eastAsia="黑体"/>
          <w:color w:val="000000"/>
          <w:kern w:val="0"/>
          <w:sz w:val="32"/>
          <w:szCs w:val="32"/>
        </w:rPr>
        <w:t>二、当年预算执行情况</w:t>
      </w:r>
    </w:p>
    <w:p w:rsidR="009C4651" w:rsidRDefault="0003357C">
      <w:pPr>
        <w:snapToGrid w:val="0"/>
        <w:spacing w:line="560" w:lineRule="exact"/>
        <w:ind w:firstLineChars="200" w:firstLine="640"/>
        <w:rPr>
          <w:rFonts w:eastAsia="仿宋_GB2312"/>
          <w:sz w:val="32"/>
          <w:szCs w:val="32"/>
        </w:rPr>
      </w:pPr>
      <w:r>
        <w:rPr>
          <w:rFonts w:eastAsia="仿宋_GB2312"/>
          <w:sz w:val="32"/>
          <w:szCs w:val="32"/>
        </w:rPr>
        <w:t>202</w:t>
      </w:r>
      <w:r>
        <w:rPr>
          <w:rFonts w:eastAsia="仿宋_GB2312"/>
          <w:sz w:val="32"/>
          <w:szCs w:val="32"/>
        </w:rPr>
        <w:t>4</w:t>
      </w:r>
      <w:r>
        <w:rPr>
          <w:rFonts w:eastAsia="仿宋_GB2312"/>
          <w:sz w:val="32"/>
          <w:szCs w:val="32"/>
        </w:rPr>
        <w:t>年全年预算数</w:t>
      </w:r>
      <w:r>
        <w:rPr>
          <w:rFonts w:eastAsia="仿宋_GB2312"/>
          <w:sz w:val="32"/>
          <w:szCs w:val="32"/>
        </w:rPr>
        <w:t>29012.15</w:t>
      </w:r>
      <w:r>
        <w:rPr>
          <w:rFonts w:eastAsia="仿宋_GB2312"/>
          <w:sz w:val="32"/>
          <w:szCs w:val="32"/>
        </w:rPr>
        <w:t>万元，其中，基本支出预算数</w:t>
      </w:r>
      <w:r>
        <w:rPr>
          <w:rFonts w:eastAsia="仿宋_GB2312"/>
          <w:sz w:val="32"/>
          <w:szCs w:val="32"/>
        </w:rPr>
        <w:t>5608.55</w:t>
      </w:r>
      <w:r>
        <w:rPr>
          <w:rFonts w:eastAsia="仿宋_GB2312"/>
          <w:sz w:val="32"/>
          <w:szCs w:val="32"/>
        </w:rPr>
        <w:t>万元，项目支出预算数</w:t>
      </w:r>
      <w:r>
        <w:rPr>
          <w:rFonts w:eastAsia="仿宋_GB2312"/>
          <w:sz w:val="32"/>
          <w:szCs w:val="32"/>
        </w:rPr>
        <w:t>23403.6</w:t>
      </w:r>
      <w:r>
        <w:rPr>
          <w:rFonts w:eastAsia="仿宋_GB2312"/>
          <w:sz w:val="32"/>
          <w:szCs w:val="32"/>
        </w:rPr>
        <w:t>万元。资金总体支出</w:t>
      </w:r>
      <w:r>
        <w:rPr>
          <w:rFonts w:eastAsia="仿宋_GB2312"/>
          <w:sz w:val="32"/>
          <w:szCs w:val="32"/>
        </w:rPr>
        <w:t>28422.41</w:t>
      </w:r>
      <w:r>
        <w:rPr>
          <w:rFonts w:eastAsia="仿宋_GB2312"/>
          <w:sz w:val="32"/>
          <w:szCs w:val="32"/>
        </w:rPr>
        <w:t>万元，其中，基本支出</w:t>
      </w:r>
      <w:r>
        <w:rPr>
          <w:rFonts w:eastAsia="仿宋_GB2312"/>
          <w:sz w:val="32"/>
          <w:szCs w:val="32"/>
        </w:rPr>
        <w:t>5398.24</w:t>
      </w:r>
      <w:r>
        <w:rPr>
          <w:rFonts w:eastAsia="仿宋_GB2312"/>
          <w:sz w:val="32"/>
          <w:szCs w:val="32"/>
        </w:rPr>
        <w:t>万元，项目支出</w:t>
      </w:r>
      <w:r>
        <w:rPr>
          <w:rFonts w:eastAsia="仿宋_GB2312"/>
          <w:sz w:val="32"/>
          <w:szCs w:val="32"/>
        </w:rPr>
        <w:t>23024.17</w:t>
      </w:r>
      <w:r>
        <w:rPr>
          <w:rFonts w:eastAsia="仿宋_GB2312"/>
          <w:sz w:val="32"/>
          <w:szCs w:val="32"/>
        </w:rPr>
        <w:t>万元。预算执行率为</w:t>
      </w:r>
      <w:r>
        <w:rPr>
          <w:rFonts w:eastAsia="仿宋_GB2312"/>
          <w:sz w:val="32"/>
          <w:szCs w:val="32"/>
        </w:rPr>
        <w:t>97.97</w:t>
      </w:r>
      <w:r>
        <w:rPr>
          <w:rFonts w:eastAsia="仿宋_GB2312"/>
          <w:sz w:val="32"/>
          <w:szCs w:val="32"/>
        </w:rPr>
        <w:t>%</w:t>
      </w:r>
      <w:r>
        <w:rPr>
          <w:rFonts w:eastAsia="仿宋_GB2312"/>
          <w:sz w:val="32"/>
          <w:szCs w:val="32"/>
        </w:rPr>
        <w:t>。</w:t>
      </w:r>
    </w:p>
    <w:p w:rsidR="009C4651" w:rsidRDefault="0003357C">
      <w:pPr>
        <w:spacing w:line="560" w:lineRule="exact"/>
        <w:ind w:leftChars="50" w:left="105" w:firstLineChars="150" w:firstLine="480"/>
        <w:rPr>
          <w:rFonts w:eastAsia="黑体"/>
          <w:color w:val="000000"/>
          <w:kern w:val="0"/>
          <w:sz w:val="32"/>
          <w:szCs w:val="32"/>
        </w:rPr>
      </w:pPr>
      <w:r>
        <w:rPr>
          <w:rFonts w:eastAsia="黑体"/>
          <w:color w:val="000000"/>
          <w:kern w:val="0"/>
          <w:sz w:val="32"/>
          <w:szCs w:val="32"/>
        </w:rPr>
        <w:t>三、整体绩效目标实现情况</w:t>
      </w:r>
    </w:p>
    <w:p w:rsidR="009C4651" w:rsidRDefault="0003357C">
      <w:pPr>
        <w:spacing w:line="560" w:lineRule="exact"/>
        <w:ind w:leftChars="50" w:left="105" w:firstLineChars="150" w:firstLine="480"/>
        <w:rPr>
          <w:rFonts w:eastAsia="楷体_GB2312"/>
          <w:sz w:val="32"/>
          <w:szCs w:val="32"/>
        </w:rPr>
      </w:pPr>
      <w:r>
        <w:rPr>
          <w:rFonts w:eastAsia="楷体_GB2312"/>
          <w:sz w:val="32"/>
          <w:szCs w:val="32"/>
        </w:rPr>
        <w:t>（一）产出完成情况分析</w:t>
      </w:r>
    </w:p>
    <w:p w:rsidR="009C4651" w:rsidRDefault="0003357C">
      <w:pPr>
        <w:spacing w:line="560" w:lineRule="exact"/>
        <w:ind w:leftChars="50" w:left="105" w:firstLineChars="150" w:firstLine="480"/>
        <w:rPr>
          <w:rFonts w:eastAsia="楷体_GB2312"/>
          <w:sz w:val="32"/>
          <w:szCs w:val="32"/>
        </w:rPr>
      </w:pPr>
      <w:r>
        <w:rPr>
          <w:rFonts w:eastAsia="仿宋_GB2312"/>
          <w:color w:val="000000"/>
          <w:kern w:val="0"/>
          <w:sz w:val="32"/>
          <w:szCs w:val="32"/>
        </w:rPr>
        <w:t>1.</w:t>
      </w:r>
      <w:r>
        <w:rPr>
          <w:rFonts w:eastAsia="仿宋_GB2312"/>
          <w:color w:val="000000"/>
          <w:kern w:val="0"/>
          <w:sz w:val="32"/>
          <w:szCs w:val="32"/>
        </w:rPr>
        <w:t>产出数量</w:t>
      </w:r>
    </w:p>
    <w:p w:rsidR="009C4651" w:rsidRDefault="0003357C">
      <w:pPr>
        <w:pStyle w:val="11"/>
        <w:snapToGrid w:val="0"/>
        <w:spacing w:line="560" w:lineRule="exact"/>
        <w:rPr>
          <w:rFonts w:hint="default"/>
          <w:sz w:val="32"/>
          <w:szCs w:val="32"/>
          <w:shd w:val="clear" w:color="auto" w:fill="FFFFFF"/>
        </w:rPr>
      </w:pPr>
      <w:r>
        <w:rPr>
          <w:rFonts w:hint="default"/>
          <w:color w:val="000000"/>
          <w:kern w:val="0"/>
          <w:sz w:val="32"/>
          <w:szCs w:val="32"/>
        </w:rPr>
        <w:t>完成重大任务方面：</w:t>
      </w:r>
      <w:r>
        <w:rPr>
          <w:rFonts w:hint="default"/>
          <w:sz w:val="32"/>
          <w:szCs w:val="32"/>
        </w:rPr>
        <w:t>深入学习宣传贯彻党的二十届三中全会、全国教育大会、第</w:t>
      </w:r>
      <w:r>
        <w:rPr>
          <w:rFonts w:hint="default"/>
          <w:sz w:val="32"/>
          <w:szCs w:val="32"/>
        </w:rPr>
        <w:t>28</w:t>
      </w:r>
      <w:r>
        <w:rPr>
          <w:rFonts w:hint="default"/>
          <w:sz w:val="32"/>
          <w:szCs w:val="32"/>
        </w:rPr>
        <w:t>次全国高校党建工作会等精神，推动重大决策部署落实落地。会同科技、人才部门，首次联合召开市委教育、科技、人才工作领导小组（委员会）议事协调会议，完善领导小组办公室部门联席会议机制并召开第一次会议。</w:t>
      </w:r>
      <w:r>
        <w:rPr>
          <w:rFonts w:hint="default"/>
          <w:sz w:val="32"/>
          <w:szCs w:val="32"/>
        </w:rPr>
        <w:t>组织召开教改小组会议</w:t>
      </w:r>
      <w:r>
        <w:rPr>
          <w:rFonts w:hint="default"/>
          <w:sz w:val="32"/>
          <w:szCs w:val="32"/>
        </w:rPr>
        <w:t>2</w:t>
      </w:r>
      <w:r>
        <w:rPr>
          <w:rFonts w:hint="default"/>
          <w:sz w:val="32"/>
          <w:szCs w:val="32"/>
        </w:rPr>
        <w:t>次，推动完成市委深改委年度重点任务</w:t>
      </w:r>
      <w:r>
        <w:rPr>
          <w:rFonts w:hint="default"/>
          <w:sz w:val="32"/>
          <w:szCs w:val="32"/>
        </w:rPr>
        <w:t>5</w:t>
      </w:r>
      <w:r>
        <w:rPr>
          <w:rFonts w:hint="default"/>
          <w:sz w:val="32"/>
          <w:szCs w:val="32"/>
        </w:rPr>
        <w:t>项，督察任务</w:t>
      </w:r>
      <w:r>
        <w:rPr>
          <w:rFonts w:hint="default"/>
          <w:sz w:val="32"/>
          <w:szCs w:val="32"/>
        </w:rPr>
        <w:t>3</w:t>
      </w:r>
      <w:r>
        <w:rPr>
          <w:rFonts w:hint="default"/>
          <w:sz w:val="32"/>
          <w:szCs w:val="32"/>
        </w:rPr>
        <w:t>项。</w:t>
      </w:r>
    </w:p>
    <w:p w:rsidR="009C4651" w:rsidRDefault="0003357C">
      <w:pPr>
        <w:snapToGrid w:val="0"/>
        <w:spacing w:line="560" w:lineRule="exact"/>
        <w:ind w:firstLineChars="200" w:firstLine="640"/>
        <w:rPr>
          <w:rFonts w:eastAsia="仿宋_GB2312"/>
          <w:bCs/>
          <w:kern w:val="44"/>
          <w:sz w:val="32"/>
          <w:szCs w:val="32"/>
        </w:rPr>
      </w:pPr>
      <w:r>
        <w:rPr>
          <w:rFonts w:eastAsia="仿宋_GB2312"/>
          <w:color w:val="000000"/>
          <w:kern w:val="0"/>
          <w:sz w:val="32"/>
          <w:szCs w:val="32"/>
        </w:rPr>
        <w:t>落实立德树人方面：</w:t>
      </w:r>
      <w:r>
        <w:rPr>
          <w:rFonts w:eastAsia="仿宋_GB2312"/>
          <w:sz w:val="32"/>
          <w:szCs w:val="32"/>
        </w:rPr>
        <w:t>深入推进时代新人铸魂工程，实施网络育人等</w:t>
      </w:r>
      <w:r>
        <w:rPr>
          <w:rFonts w:eastAsia="仿宋_GB2312"/>
          <w:sz w:val="32"/>
          <w:szCs w:val="32"/>
        </w:rPr>
        <w:t>“</w:t>
      </w:r>
      <w:r>
        <w:rPr>
          <w:rFonts w:eastAsia="仿宋_GB2312"/>
          <w:sz w:val="32"/>
          <w:szCs w:val="32"/>
        </w:rPr>
        <w:t>十大</w:t>
      </w:r>
      <w:r>
        <w:rPr>
          <w:rFonts w:eastAsia="仿宋_GB2312"/>
          <w:sz w:val="32"/>
          <w:szCs w:val="32"/>
        </w:rPr>
        <w:t>行动</w:t>
      </w:r>
      <w:r>
        <w:rPr>
          <w:rFonts w:eastAsia="仿宋_GB2312"/>
          <w:sz w:val="32"/>
          <w:szCs w:val="32"/>
        </w:rPr>
        <w:t>”</w:t>
      </w:r>
      <w:r>
        <w:rPr>
          <w:rFonts w:eastAsia="仿宋_GB2312"/>
          <w:sz w:val="32"/>
          <w:szCs w:val="32"/>
        </w:rPr>
        <w:t>。开展新生引航工程、庆祝新中国成立</w:t>
      </w:r>
      <w:r>
        <w:rPr>
          <w:rFonts w:eastAsia="仿宋_GB2312"/>
          <w:sz w:val="32"/>
          <w:szCs w:val="32"/>
        </w:rPr>
        <w:t>75</w:t>
      </w:r>
      <w:r>
        <w:rPr>
          <w:rFonts w:eastAsia="仿宋_GB2312"/>
          <w:sz w:val="32"/>
          <w:szCs w:val="32"/>
        </w:rPr>
        <w:t>周年宣传教育系列活动。深化</w:t>
      </w:r>
      <w:r>
        <w:rPr>
          <w:rFonts w:eastAsia="仿宋_GB2312"/>
          <w:sz w:val="32"/>
          <w:szCs w:val="32"/>
        </w:rPr>
        <w:t>“</w:t>
      </w:r>
      <w:r>
        <w:rPr>
          <w:rFonts w:eastAsia="仿宋_GB2312"/>
          <w:sz w:val="32"/>
          <w:szCs w:val="32"/>
        </w:rPr>
        <w:t>大思政课</w:t>
      </w:r>
      <w:r>
        <w:rPr>
          <w:rFonts w:eastAsia="仿宋_GB2312"/>
          <w:sz w:val="32"/>
          <w:szCs w:val="32"/>
        </w:rPr>
        <w:t>”</w:t>
      </w:r>
      <w:r>
        <w:rPr>
          <w:rFonts w:eastAsia="仿宋_GB2312"/>
          <w:sz w:val="32"/>
          <w:szCs w:val="32"/>
        </w:rPr>
        <w:t>综合改革，在全市</w:t>
      </w:r>
      <w:r>
        <w:rPr>
          <w:rFonts w:eastAsia="仿宋_GB2312"/>
          <w:sz w:val="32"/>
          <w:szCs w:val="32"/>
        </w:rPr>
        <w:t>16</w:t>
      </w:r>
      <w:r>
        <w:rPr>
          <w:rFonts w:eastAsia="仿宋_GB2312"/>
          <w:sz w:val="32"/>
          <w:szCs w:val="32"/>
        </w:rPr>
        <w:t>区建立</w:t>
      </w:r>
      <w:r>
        <w:rPr>
          <w:rFonts w:eastAsia="仿宋_GB2312"/>
          <w:sz w:val="32"/>
          <w:szCs w:val="32"/>
        </w:rPr>
        <w:t>200</w:t>
      </w:r>
      <w:r>
        <w:rPr>
          <w:rFonts w:eastAsia="仿宋_GB2312"/>
          <w:sz w:val="32"/>
          <w:szCs w:val="32"/>
        </w:rPr>
        <w:t>余个实践教学基地，</w:t>
      </w:r>
      <w:r>
        <w:rPr>
          <w:rFonts w:eastAsia="仿宋_GB2312"/>
          <w:sz w:val="32"/>
          <w:szCs w:val="32"/>
        </w:rPr>
        <w:t>20</w:t>
      </w:r>
      <w:r>
        <w:rPr>
          <w:rFonts w:eastAsia="仿宋_GB2312"/>
          <w:sz w:val="32"/>
          <w:szCs w:val="32"/>
        </w:rPr>
        <w:t>余万名高校新生参加</w:t>
      </w:r>
      <w:r>
        <w:rPr>
          <w:rFonts w:eastAsia="仿宋_GB2312"/>
          <w:sz w:val="32"/>
          <w:szCs w:val="32"/>
        </w:rPr>
        <w:t>“</w:t>
      </w:r>
      <w:r>
        <w:rPr>
          <w:rFonts w:eastAsia="仿宋_GB2312"/>
          <w:sz w:val="32"/>
          <w:szCs w:val="32"/>
        </w:rPr>
        <w:t>强国复兴有我</w:t>
      </w:r>
      <w:r>
        <w:rPr>
          <w:rFonts w:eastAsia="仿宋_GB2312"/>
          <w:sz w:val="32"/>
          <w:szCs w:val="32"/>
        </w:rPr>
        <w:t>”</w:t>
      </w:r>
      <w:r>
        <w:rPr>
          <w:rFonts w:eastAsia="仿宋_GB2312"/>
          <w:sz w:val="32"/>
          <w:szCs w:val="32"/>
        </w:rPr>
        <w:t>大思政课，</w:t>
      </w:r>
      <w:r>
        <w:rPr>
          <w:rFonts w:eastAsia="仿宋_GB2312"/>
          <w:sz w:val="32"/>
          <w:szCs w:val="32"/>
        </w:rPr>
        <w:t>16</w:t>
      </w:r>
      <w:r>
        <w:rPr>
          <w:rFonts w:eastAsia="仿宋_GB2312"/>
          <w:sz w:val="32"/>
          <w:szCs w:val="32"/>
        </w:rPr>
        <w:t>万余名大学生在</w:t>
      </w:r>
      <w:r>
        <w:rPr>
          <w:rFonts w:eastAsia="仿宋_GB2312"/>
          <w:sz w:val="32"/>
          <w:szCs w:val="32"/>
        </w:rPr>
        <w:t>“</w:t>
      </w:r>
      <w:r>
        <w:rPr>
          <w:rFonts w:eastAsia="仿宋_GB2312"/>
          <w:sz w:val="32"/>
          <w:szCs w:val="32"/>
        </w:rPr>
        <w:t>时代新人强国行</w:t>
      </w:r>
      <w:r>
        <w:rPr>
          <w:rFonts w:eastAsia="仿宋_GB2312"/>
          <w:sz w:val="32"/>
          <w:szCs w:val="32"/>
        </w:rPr>
        <w:t>”</w:t>
      </w:r>
      <w:r>
        <w:rPr>
          <w:rFonts w:eastAsia="仿宋_GB2312"/>
          <w:sz w:val="32"/>
          <w:szCs w:val="32"/>
        </w:rPr>
        <w:t>主题实践中进一步坚定信念信仰。组织</w:t>
      </w:r>
      <w:r>
        <w:rPr>
          <w:rFonts w:eastAsia="仿宋_GB2312"/>
          <w:sz w:val="32"/>
          <w:szCs w:val="32"/>
        </w:rPr>
        <w:t>26</w:t>
      </w:r>
      <w:r>
        <w:rPr>
          <w:rFonts w:eastAsia="仿宋_GB2312"/>
          <w:sz w:val="32"/>
          <w:szCs w:val="32"/>
        </w:rPr>
        <w:t>所高校开展</w:t>
      </w:r>
      <w:r>
        <w:rPr>
          <w:rFonts w:eastAsia="仿宋_GB2312"/>
          <w:sz w:val="32"/>
          <w:szCs w:val="32"/>
        </w:rPr>
        <w:t>“‘</w:t>
      </w:r>
      <w:r>
        <w:rPr>
          <w:rFonts w:eastAsia="仿宋_GB2312"/>
          <w:sz w:val="32"/>
          <w:szCs w:val="32"/>
        </w:rPr>
        <w:t>京</w:t>
      </w:r>
      <w:r>
        <w:rPr>
          <w:rFonts w:eastAsia="仿宋_GB2312"/>
          <w:sz w:val="32"/>
          <w:szCs w:val="32"/>
        </w:rPr>
        <w:t>’</w:t>
      </w:r>
      <w:r>
        <w:rPr>
          <w:rFonts w:eastAsia="仿宋_GB2312"/>
          <w:sz w:val="32"/>
          <w:szCs w:val="32"/>
        </w:rPr>
        <w:t>彩文化</w:t>
      </w:r>
      <w:r>
        <w:rPr>
          <w:rFonts w:eastAsia="仿宋_GB2312"/>
          <w:sz w:val="32"/>
          <w:szCs w:val="32"/>
        </w:rPr>
        <w:t xml:space="preserve"> </w:t>
      </w:r>
      <w:r>
        <w:rPr>
          <w:rFonts w:eastAsia="仿宋_GB2312"/>
          <w:sz w:val="32"/>
          <w:szCs w:val="32"/>
        </w:rPr>
        <w:t>青春绽放</w:t>
      </w:r>
      <w:r>
        <w:rPr>
          <w:rFonts w:eastAsia="仿宋_GB2312"/>
          <w:sz w:val="32"/>
          <w:szCs w:val="32"/>
        </w:rPr>
        <w:t>”</w:t>
      </w:r>
      <w:r>
        <w:rPr>
          <w:rFonts w:eastAsia="仿宋_GB2312"/>
          <w:sz w:val="32"/>
          <w:szCs w:val="32"/>
        </w:rPr>
        <w:t>行动，持续开展</w:t>
      </w:r>
      <w:r>
        <w:rPr>
          <w:rFonts w:eastAsia="仿宋_GB2312"/>
          <w:sz w:val="32"/>
          <w:szCs w:val="32"/>
        </w:rPr>
        <w:t>“</w:t>
      </w:r>
      <w:r>
        <w:rPr>
          <w:rFonts w:eastAsia="仿宋_GB2312"/>
          <w:sz w:val="32"/>
          <w:szCs w:val="32"/>
        </w:rPr>
        <w:t>七个一</w:t>
      </w:r>
      <w:r>
        <w:rPr>
          <w:rFonts w:eastAsia="仿宋_GB2312"/>
          <w:sz w:val="32"/>
          <w:szCs w:val="32"/>
        </w:rPr>
        <w:t>”</w:t>
      </w:r>
      <w:r>
        <w:rPr>
          <w:rFonts w:eastAsia="仿宋_GB2312"/>
          <w:sz w:val="32"/>
          <w:szCs w:val="32"/>
        </w:rPr>
        <w:t>活动，超</w:t>
      </w:r>
      <w:r>
        <w:rPr>
          <w:rFonts w:eastAsia="仿宋_GB2312"/>
          <w:sz w:val="32"/>
          <w:szCs w:val="32"/>
        </w:rPr>
        <w:t>17</w:t>
      </w:r>
      <w:r>
        <w:rPr>
          <w:rFonts w:eastAsia="仿宋_GB2312"/>
          <w:sz w:val="32"/>
          <w:szCs w:val="32"/>
        </w:rPr>
        <w:t>万人次走进国家博物馆等活动场馆，深入推进中华经典诵读工程系列活动。出台大中小学思政教育一体化建设指导意见，创建全国首个大中小学思政课</w:t>
      </w:r>
      <w:r>
        <w:rPr>
          <w:rFonts w:eastAsia="仿宋_GB2312"/>
          <w:sz w:val="32"/>
          <w:szCs w:val="32"/>
        </w:rPr>
        <w:t>“</w:t>
      </w:r>
      <w:r>
        <w:rPr>
          <w:rFonts w:eastAsia="仿宋_GB2312"/>
          <w:sz w:val="32"/>
          <w:szCs w:val="32"/>
        </w:rPr>
        <w:t>金课</w:t>
      </w:r>
      <w:r>
        <w:rPr>
          <w:rFonts w:eastAsia="仿宋_GB2312"/>
          <w:sz w:val="32"/>
          <w:szCs w:val="32"/>
        </w:rPr>
        <w:t>”</w:t>
      </w:r>
      <w:r>
        <w:rPr>
          <w:rFonts w:eastAsia="仿宋_GB2312"/>
          <w:sz w:val="32"/>
          <w:szCs w:val="32"/>
        </w:rPr>
        <w:t>联盟，设立</w:t>
      </w:r>
      <w:r>
        <w:rPr>
          <w:rFonts w:eastAsia="仿宋_GB2312"/>
          <w:sz w:val="32"/>
          <w:szCs w:val="32"/>
        </w:rPr>
        <w:t>5</w:t>
      </w:r>
      <w:r>
        <w:rPr>
          <w:rFonts w:eastAsia="仿宋_GB2312"/>
          <w:sz w:val="32"/>
          <w:szCs w:val="32"/>
        </w:rPr>
        <w:t>个试验区、</w:t>
      </w:r>
      <w:r>
        <w:rPr>
          <w:rFonts w:eastAsia="仿宋_GB2312"/>
          <w:sz w:val="32"/>
          <w:szCs w:val="32"/>
        </w:rPr>
        <w:t>122</w:t>
      </w:r>
      <w:r>
        <w:rPr>
          <w:rFonts w:eastAsia="仿宋_GB2312"/>
          <w:sz w:val="32"/>
          <w:szCs w:val="32"/>
        </w:rPr>
        <w:t>个实践校，建设</w:t>
      </w:r>
      <w:r>
        <w:rPr>
          <w:rFonts w:eastAsia="仿宋_GB2312"/>
          <w:sz w:val="32"/>
          <w:szCs w:val="32"/>
        </w:rPr>
        <w:t>10</w:t>
      </w:r>
      <w:r>
        <w:rPr>
          <w:rFonts w:eastAsia="仿宋_GB2312"/>
          <w:sz w:val="32"/>
          <w:szCs w:val="32"/>
        </w:rPr>
        <w:t>0</w:t>
      </w:r>
      <w:r>
        <w:rPr>
          <w:rFonts w:eastAsia="仿宋_GB2312"/>
          <w:sz w:val="32"/>
          <w:szCs w:val="32"/>
        </w:rPr>
        <w:t>门示范课。坚持五育融合，加强学生心理健康教育工作，举办</w:t>
      </w:r>
      <w:r>
        <w:rPr>
          <w:rFonts w:eastAsia="仿宋_GB2312"/>
          <w:sz w:val="32"/>
          <w:szCs w:val="32"/>
        </w:rPr>
        <w:t>“</w:t>
      </w:r>
      <w:r>
        <w:rPr>
          <w:rFonts w:eastAsia="仿宋_GB2312"/>
          <w:sz w:val="32"/>
          <w:szCs w:val="32"/>
        </w:rPr>
        <w:t>悦心</w:t>
      </w:r>
      <w:r>
        <w:rPr>
          <w:rFonts w:eastAsia="仿宋_GB2312"/>
          <w:sz w:val="32"/>
          <w:szCs w:val="32"/>
        </w:rPr>
        <w:t>”</w:t>
      </w:r>
      <w:r>
        <w:rPr>
          <w:rFonts w:eastAsia="仿宋_GB2312"/>
          <w:sz w:val="32"/>
          <w:szCs w:val="32"/>
        </w:rPr>
        <w:t>大讲堂、青少年艺术节、北京学生科技节、</w:t>
      </w:r>
      <w:r>
        <w:rPr>
          <w:rFonts w:eastAsia="仿宋_GB2312"/>
          <w:sz w:val="32"/>
          <w:szCs w:val="32"/>
        </w:rPr>
        <w:t>“</w:t>
      </w:r>
      <w:r>
        <w:rPr>
          <w:rFonts w:eastAsia="仿宋_GB2312"/>
          <w:sz w:val="32"/>
          <w:szCs w:val="32"/>
        </w:rPr>
        <w:t>院士专家科普进校园</w:t>
      </w:r>
      <w:r>
        <w:rPr>
          <w:rFonts w:eastAsia="仿宋_GB2312"/>
          <w:sz w:val="32"/>
          <w:szCs w:val="32"/>
        </w:rPr>
        <w:t>”</w:t>
      </w:r>
      <w:r>
        <w:rPr>
          <w:rFonts w:eastAsia="仿宋_GB2312"/>
          <w:sz w:val="32"/>
          <w:szCs w:val="32"/>
        </w:rPr>
        <w:t>等活动。</w:t>
      </w:r>
    </w:p>
    <w:p w:rsidR="009C4651" w:rsidRDefault="0003357C">
      <w:pPr>
        <w:spacing w:line="560" w:lineRule="exact"/>
        <w:ind w:leftChars="50" w:left="105" w:firstLineChars="200" w:firstLine="640"/>
        <w:rPr>
          <w:rFonts w:eastAsia="仿宋_GB2312"/>
          <w:color w:val="000000"/>
          <w:kern w:val="0"/>
          <w:sz w:val="32"/>
          <w:szCs w:val="32"/>
        </w:rPr>
      </w:pPr>
      <w:r>
        <w:rPr>
          <w:rFonts w:eastAsia="仿宋_GB2312"/>
          <w:color w:val="000000"/>
          <w:kern w:val="0"/>
          <w:sz w:val="32"/>
          <w:szCs w:val="32"/>
        </w:rPr>
        <w:t>加强党的建设方面：全面加强党对教育工作的领导</w:t>
      </w:r>
      <w:r>
        <w:rPr>
          <w:rFonts w:eastAsia="仿宋_GB2312"/>
          <w:color w:val="000000"/>
          <w:kern w:val="0"/>
          <w:sz w:val="32"/>
          <w:szCs w:val="32"/>
        </w:rPr>
        <w:t>，</w:t>
      </w:r>
      <w:r>
        <w:rPr>
          <w:rFonts w:eastAsia="仿宋_GB2312"/>
          <w:color w:val="000000"/>
          <w:kern w:val="0"/>
          <w:sz w:val="32"/>
          <w:szCs w:val="32"/>
        </w:rPr>
        <w:t>严格执行</w:t>
      </w:r>
      <w:r>
        <w:rPr>
          <w:rFonts w:eastAsia="仿宋_GB2312"/>
          <w:color w:val="000000"/>
          <w:kern w:val="0"/>
          <w:sz w:val="32"/>
          <w:szCs w:val="32"/>
        </w:rPr>
        <w:t>“</w:t>
      </w:r>
      <w:r>
        <w:rPr>
          <w:rFonts w:eastAsia="仿宋_GB2312"/>
          <w:color w:val="000000"/>
          <w:kern w:val="0"/>
          <w:sz w:val="32"/>
          <w:szCs w:val="32"/>
        </w:rPr>
        <w:t>第一议题</w:t>
      </w:r>
      <w:r>
        <w:rPr>
          <w:rFonts w:eastAsia="仿宋_GB2312"/>
          <w:color w:val="000000"/>
          <w:kern w:val="0"/>
          <w:sz w:val="32"/>
          <w:szCs w:val="32"/>
        </w:rPr>
        <w:t>”</w:t>
      </w:r>
      <w:r>
        <w:rPr>
          <w:rFonts w:eastAsia="仿宋_GB2312"/>
          <w:color w:val="000000"/>
          <w:kern w:val="0"/>
          <w:sz w:val="32"/>
          <w:szCs w:val="32"/>
        </w:rPr>
        <w:t>制度，开展理论学习中心组集体学习</w:t>
      </w:r>
      <w:r>
        <w:rPr>
          <w:rFonts w:eastAsia="仿宋_GB2312"/>
          <w:color w:val="000000"/>
          <w:kern w:val="0"/>
          <w:sz w:val="32"/>
          <w:szCs w:val="32"/>
        </w:rPr>
        <w:t>24</w:t>
      </w:r>
      <w:r>
        <w:rPr>
          <w:rFonts w:eastAsia="仿宋_GB2312"/>
          <w:color w:val="000000"/>
          <w:kern w:val="0"/>
          <w:sz w:val="32"/>
          <w:szCs w:val="32"/>
        </w:rPr>
        <w:t>次。组织开展两委机关及直属单位党组织书记、副书记、党务工作者</w:t>
      </w:r>
      <w:r>
        <w:rPr>
          <w:rFonts w:eastAsia="仿宋_GB2312"/>
          <w:color w:val="000000"/>
          <w:kern w:val="0"/>
          <w:sz w:val="32"/>
          <w:szCs w:val="32"/>
        </w:rPr>
        <w:t>175</w:t>
      </w:r>
      <w:r>
        <w:rPr>
          <w:rFonts w:eastAsia="仿宋_GB2312"/>
          <w:color w:val="000000"/>
          <w:kern w:val="0"/>
          <w:sz w:val="32"/>
          <w:szCs w:val="32"/>
        </w:rPr>
        <w:t>人培训，组织</w:t>
      </w:r>
      <w:r>
        <w:rPr>
          <w:rFonts w:eastAsia="仿宋_GB2312"/>
          <w:color w:val="000000"/>
          <w:kern w:val="0"/>
          <w:sz w:val="32"/>
          <w:szCs w:val="32"/>
        </w:rPr>
        <w:t>“</w:t>
      </w:r>
      <w:r>
        <w:rPr>
          <w:rFonts w:eastAsia="仿宋_GB2312"/>
          <w:color w:val="000000"/>
          <w:kern w:val="0"/>
          <w:sz w:val="32"/>
          <w:szCs w:val="32"/>
        </w:rPr>
        <w:t>两优一先</w:t>
      </w:r>
      <w:r>
        <w:rPr>
          <w:rFonts w:eastAsia="仿宋_GB2312"/>
          <w:color w:val="000000"/>
          <w:kern w:val="0"/>
          <w:sz w:val="32"/>
          <w:szCs w:val="32"/>
        </w:rPr>
        <w:t>”</w:t>
      </w:r>
      <w:r>
        <w:rPr>
          <w:rFonts w:eastAsia="仿宋_GB2312"/>
          <w:color w:val="000000"/>
          <w:kern w:val="0"/>
          <w:sz w:val="32"/>
          <w:szCs w:val="32"/>
        </w:rPr>
        <w:t>代表</w:t>
      </w:r>
      <w:r>
        <w:rPr>
          <w:rFonts w:eastAsia="仿宋_GB2312"/>
          <w:color w:val="000000"/>
          <w:kern w:val="0"/>
          <w:sz w:val="32"/>
          <w:szCs w:val="32"/>
        </w:rPr>
        <w:t>60</w:t>
      </w:r>
      <w:r>
        <w:rPr>
          <w:rFonts w:eastAsia="仿宋_GB2312"/>
          <w:color w:val="000000"/>
          <w:kern w:val="0"/>
          <w:sz w:val="32"/>
          <w:szCs w:val="32"/>
        </w:rPr>
        <w:t>人赴浙江红船干部学院、青海</w:t>
      </w:r>
      <w:r>
        <w:rPr>
          <w:rFonts w:eastAsia="仿宋_GB2312"/>
          <w:color w:val="000000"/>
          <w:kern w:val="0"/>
          <w:sz w:val="32"/>
          <w:szCs w:val="32"/>
        </w:rPr>
        <w:t>“</w:t>
      </w:r>
      <w:r>
        <w:rPr>
          <w:rFonts w:eastAsia="仿宋_GB2312"/>
          <w:color w:val="000000"/>
          <w:kern w:val="0"/>
          <w:sz w:val="32"/>
          <w:szCs w:val="32"/>
        </w:rPr>
        <w:t>两弹一星</w:t>
      </w:r>
      <w:r>
        <w:rPr>
          <w:rFonts w:eastAsia="仿宋_GB2312"/>
          <w:color w:val="000000"/>
          <w:kern w:val="0"/>
          <w:sz w:val="32"/>
          <w:szCs w:val="32"/>
        </w:rPr>
        <w:t>”</w:t>
      </w:r>
      <w:r>
        <w:rPr>
          <w:rFonts w:eastAsia="仿宋_GB2312"/>
          <w:color w:val="000000"/>
          <w:kern w:val="0"/>
          <w:sz w:val="32"/>
          <w:szCs w:val="32"/>
        </w:rPr>
        <w:t>干部学院培训。组织召开高校党委书记抓基层党建工作述职评议会，</w:t>
      </w:r>
      <w:r>
        <w:rPr>
          <w:rFonts w:eastAsia="仿宋_GB2312"/>
          <w:color w:val="000000"/>
          <w:kern w:val="0"/>
          <w:sz w:val="32"/>
          <w:szCs w:val="32"/>
        </w:rPr>
        <w:t>20</w:t>
      </w:r>
      <w:r>
        <w:rPr>
          <w:rFonts w:eastAsia="仿宋_GB2312"/>
          <w:color w:val="000000"/>
          <w:kern w:val="0"/>
          <w:sz w:val="32"/>
          <w:szCs w:val="32"/>
        </w:rPr>
        <w:t>所高校党委书记现场述职，</w:t>
      </w:r>
      <w:r>
        <w:rPr>
          <w:rFonts w:eastAsia="仿宋_GB2312"/>
          <w:color w:val="000000"/>
          <w:kern w:val="0"/>
          <w:sz w:val="32"/>
          <w:szCs w:val="32"/>
        </w:rPr>
        <w:t>43</w:t>
      </w:r>
      <w:r>
        <w:rPr>
          <w:rFonts w:eastAsia="仿宋_GB2312"/>
          <w:color w:val="000000"/>
          <w:kern w:val="0"/>
          <w:sz w:val="32"/>
          <w:szCs w:val="32"/>
        </w:rPr>
        <w:t>所高校党委书记（党委）书面述职。建设高层次人才领</w:t>
      </w:r>
      <w:r>
        <w:rPr>
          <w:rFonts w:eastAsia="仿宋_GB2312"/>
          <w:color w:val="000000"/>
          <w:kern w:val="0"/>
          <w:sz w:val="32"/>
          <w:szCs w:val="32"/>
        </w:rPr>
        <w:t>航工作站，发展教师党员</w:t>
      </w:r>
      <w:r>
        <w:rPr>
          <w:rFonts w:eastAsia="仿宋_GB2312"/>
          <w:color w:val="000000"/>
          <w:kern w:val="0"/>
          <w:sz w:val="32"/>
          <w:szCs w:val="32"/>
        </w:rPr>
        <w:t>400</w:t>
      </w:r>
      <w:r>
        <w:rPr>
          <w:rFonts w:eastAsia="仿宋_GB2312"/>
          <w:color w:val="000000"/>
          <w:kern w:val="0"/>
          <w:sz w:val="32"/>
          <w:szCs w:val="32"/>
        </w:rPr>
        <w:t>名。设立</w:t>
      </w:r>
      <w:r>
        <w:rPr>
          <w:rFonts w:eastAsia="仿宋_GB2312"/>
          <w:color w:val="000000"/>
          <w:kern w:val="0"/>
          <w:sz w:val="32"/>
          <w:szCs w:val="32"/>
        </w:rPr>
        <w:t>500</w:t>
      </w:r>
      <w:r>
        <w:rPr>
          <w:rFonts w:eastAsia="仿宋_GB2312"/>
          <w:color w:val="000000"/>
          <w:kern w:val="0"/>
          <w:sz w:val="32"/>
          <w:szCs w:val="32"/>
        </w:rPr>
        <w:t>个党建创新示范项目，开展教师党支部书记</w:t>
      </w:r>
      <w:r>
        <w:rPr>
          <w:rFonts w:eastAsia="仿宋_GB2312"/>
          <w:color w:val="000000"/>
          <w:kern w:val="0"/>
          <w:sz w:val="32"/>
          <w:szCs w:val="32"/>
        </w:rPr>
        <w:t>“</w:t>
      </w:r>
      <w:r>
        <w:rPr>
          <w:rFonts w:eastAsia="仿宋_GB2312"/>
          <w:color w:val="000000"/>
          <w:kern w:val="0"/>
          <w:sz w:val="32"/>
          <w:szCs w:val="32"/>
        </w:rPr>
        <w:t>强国行</w:t>
      </w:r>
      <w:r>
        <w:rPr>
          <w:rFonts w:eastAsia="仿宋_GB2312"/>
          <w:color w:val="000000"/>
          <w:kern w:val="0"/>
          <w:sz w:val="32"/>
          <w:szCs w:val="32"/>
        </w:rPr>
        <w:t>”</w:t>
      </w:r>
      <w:r>
        <w:rPr>
          <w:rFonts w:eastAsia="仿宋_GB2312"/>
          <w:color w:val="000000"/>
          <w:kern w:val="0"/>
          <w:sz w:val="32"/>
          <w:szCs w:val="32"/>
        </w:rPr>
        <w:t>专项行动。建立市领导与高校党外代表人士座谈机制，加强党外知识分子思想引领。</w:t>
      </w:r>
    </w:p>
    <w:p w:rsidR="009C4651" w:rsidRDefault="0003357C">
      <w:pPr>
        <w:autoSpaceDE w:val="0"/>
        <w:snapToGrid w:val="0"/>
        <w:spacing w:line="560" w:lineRule="exact"/>
        <w:ind w:firstLineChars="200" w:firstLine="640"/>
        <w:rPr>
          <w:rFonts w:eastAsia="仿宋_GB2312"/>
          <w:sz w:val="32"/>
          <w:szCs w:val="32"/>
        </w:rPr>
      </w:pPr>
      <w:r>
        <w:rPr>
          <w:rFonts w:eastAsia="仿宋_GB2312"/>
          <w:color w:val="000000"/>
          <w:kern w:val="0"/>
          <w:sz w:val="32"/>
          <w:szCs w:val="32"/>
        </w:rPr>
        <w:t>维护校园安稳方面：</w:t>
      </w:r>
      <w:r>
        <w:rPr>
          <w:rFonts w:eastAsia="仿宋_GB2312"/>
          <w:sz w:val="32"/>
          <w:szCs w:val="32"/>
        </w:rPr>
        <w:t>坚持统筹发展和安全，</w:t>
      </w:r>
      <w:r>
        <w:rPr>
          <w:rFonts w:eastAsia="仿宋_GB2312"/>
          <w:color w:val="000000"/>
          <w:sz w:val="32"/>
          <w:szCs w:val="32"/>
        </w:rPr>
        <w:t>有力管控意识形态阵地</w:t>
      </w:r>
      <w:r>
        <w:rPr>
          <w:rFonts w:eastAsia="仿宋_GB2312"/>
          <w:color w:val="000000"/>
          <w:sz w:val="32"/>
          <w:szCs w:val="32"/>
        </w:rPr>
        <w:t>，</w:t>
      </w:r>
      <w:r>
        <w:rPr>
          <w:rFonts w:eastAsia="仿宋_GB2312"/>
          <w:sz w:val="32"/>
          <w:szCs w:val="32"/>
        </w:rPr>
        <w:t>完善</w:t>
      </w:r>
      <w:r>
        <w:rPr>
          <w:rFonts w:eastAsia="仿宋_GB2312"/>
          <w:sz w:val="32"/>
          <w:szCs w:val="32"/>
        </w:rPr>
        <w:t>高校网络意识形态事件应对处置</w:t>
      </w:r>
      <w:r>
        <w:rPr>
          <w:rFonts w:eastAsia="仿宋_GB2312"/>
          <w:sz w:val="32"/>
          <w:szCs w:val="32"/>
        </w:rPr>
        <w:t>“1+4+N”</w:t>
      </w:r>
      <w:r>
        <w:rPr>
          <w:rFonts w:eastAsia="仿宋_GB2312"/>
          <w:sz w:val="32"/>
          <w:szCs w:val="32"/>
        </w:rPr>
        <w:t>协调联动机制</w:t>
      </w:r>
      <w:r>
        <w:rPr>
          <w:rFonts w:eastAsia="仿宋_GB2312"/>
          <w:sz w:val="32"/>
          <w:szCs w:val="32"/>
        </w:rPr>
        <w:t>，</w:t>
      </w:r>
      <w:r>
        <w:rPr>
          <w:rFonts w:eastAsia="仿宋_GB2312"/>
          <w:snapToGrid w:val="0"/>
          <w:color w:val="000000"/>
          <w:kern w:val="0"/>
          <w:sz w:val="32"/>
          <w:szCs w:val="32"/>
          <w:lang w:bidi="ar"/>
        </w:rPr>
        <w:t>实施网络</w:t>
      </w:r>
      <w:r>
        <w:rPr>
          <w:rFonts w:eastAsia="仿宋_GB2312"/>
          <w:snapToGrid w:val="0"/>
          <w:color w:val="000000"/>
          <w:kern w:val="0"/>
          <w:sz w:val="32"/>
          <w:szCs w:val="32"/>
          <w:lang w:bidi="ar"/>
        </w:rPr>
        <w:t>“</w:t>
      </w:r>
      <w:r>
        <w:rPr>
          <w:rFonts w:eastAsia="仿宋_GB2312"/>
          <w:snapToGrid w:val="0"/>
          <w:color w:val="000000"/>
          <w:kern w:val="0"/>
          <w:sz w:val="32"/>
          <w:szCs w:val="32"/>
          <w:lang w:bidi="ar"/>
        </w:rPr>
        <w:t>清朗</w:t>
      </w:r>
      <w:r>
        <w:rPr>
          <w:rFonts w:eastAsia="仿宋_GB2312"/>
          <w:snapToGrid w:val="0"/>
          <w:color w:val="000000"/>
          <w:kern w:val="0"/>
          <w:sz w:val="32"/>
          <w:szCs w:val="32"/>
          <w:lang w:bidi="ar"/>
        </w:rPr>
        <w:t>”</w:t>
      </w:r>
      <w:r>
        <w:rPr>
          <w:rFonts w:eastAsia="仿宋_GB2312"/>
          <w:snapToGrid w:val="0"/>
          <w:color w:val="000000"/>
          <w:kern w:val="0"/>
          <w:sz w:val="32"/>
          <w:szCs w:val="32"/>
          <w:lang w:bidi="ar"/>
        </w:rPr>
        <w:t>行动</w:t>
      </w:r>
      <w:r>
        <w:rPr>
          <w:rFonts w:eastAsia="仿宋_GB2312"/>
          <w:snapToGrid w:val="0"/>
          <w:color w:val="000000"/>
          <w:kern w:val="0"/>
          <w:sz w:val="32"/>
          <w:szCs w:val="32"/>
          <w:lang w:bidi="ar"/>
        </w:rPr>
        <w:t>。</w:t>
      </w:r>
      <w:r>
        <w:rPr>
          <w:rFonts w:eastAsia="仿宋_GB2312"/>
          <w:bCs/>
          <w:sz w:val="32"/>
          <w:szCs w:val="32"/>
        </w:rPr>
        <w:t>完善教育系统应急体系，</w:t>
      </w:r>
      <w:r>
        <w:rPr>
          <w:rFonts w:eastAsia="仿宋_GB2312"/>
          <w:sz w:val="32"/>
          <w:szCs w:val="32"/>
        </w:rPr>
        <w:t>落实</w:t>
      </w:r>
      <w:r>
        <w:rPr>
          <w:rFonts w:eastAsia="仿宋_GB2312"/>
          <w:sz w:val="32"/>
          <w:szCs w:val="32"/>
        </w:rPr>
        <w:t>校地联动机制，抵御防范校园传教渗透，</w:t>
      </w:r>
      <w:r>
        <w:rPr>
          <w:rFonts w:eastAsia="仿宋_GB2312"/>
          <w:sz w:val="32"/>
          <w:szCs w:val="32"/>
        </w:rPr>
        <w:t>实施涉恐风险隐患排查整治、校园暴力和学生欺凌防范治理专项行动，</w:t>
      </w:r>
      <w:r>
        <w:rPr>
          <w:rFonts w:eastAsia="仿宋_GB2312"/>
          <w:sz w:val="32"/>
          <w:szCs w:val="32"/>
        </w:rPr>
        <w:t>开展实验室、燃气等安全生产专项整治</w:t>
      </w:r>
      <w:r>
        <w:rPr>
          <w:rFonts w:eastAsia="仿宋_GB2312"/>
          <w:sz w:val="32"/>
          <w:szCs w:val="32"/>
        </w:rPr>
        <w:t>。</w:t>
      </w:r>
      <w:r>
        <w:rPr>
          <w:rFonts w:eastAsia="仿宋_GB2312"/>
          <w:sz w:val="32"/>
          <w:szCs w:val="32"/>
        </w:rPr>
        <w:t>6</w:t>
      </w:r>
      <w:r>
        <w:rPr>
          <w:rFonts w:eastAsia="仿宋_GB2312"/>
          <w:sz w:val="32"/>
          <w:szCs w:val="32"/>
        </w:rPr>
        <w:t>次启动市级维稳专班，</w:t>
      </w:r>
      <w:r>
        <w:rPr>
          <w:rFonts w:eastAsia="仿宋_GB2312"/>
          <w:sz w:val="32"/>
          <w:szCs w:val="32"/>
        </w:rPr>
        <w:t>迅速核查处置情报线索、苗头问题，敏感节点线索数量较往年下降明显。加强风险监测，做好重点群体教育引导转化和支持帮扶</w:t>
      </w:r>
      <w:r>
        <w:rPr>
          <w:rFonts w:eastAsia="仿宋_GB2312"/>
          <w:bCs/>
          <w:sz w:val="32"/>
          <w:szCs w:val="32"/>
        </w:rPr>
        <w:t>。</w:t>
      </w:r>
      <w:r>
        <w:rPr>
          <w:rFonts w:eastAsia="仿宋_GB2312"/>
          <w:sz w:val="32"/>
          <w:szCs w:val="32"/>
        </w:rPr>
        <w:t>全面推进依法治教，组织全覆盖</w:t>
      </w:r>
      <w:r>
        <w:rPr>
          <w:rFonts w:eastAsia="仿宋_GB2312"/>
          <w:kern w:val="0"/>
          <w:sz w:val="32"/>
          <w:szCs w:val="32"/>
          <w:lang w:bidi="ar"/>
        </w:rPr>
        <w:t>综合督导</w:t>
      </w:r>
      <w:r>
        <w:rPr>
          <w:rFonts w:eastAsia="仿宋_GB2312"/>
          <w:kern w:val="0"/>
          <w:sz w:val="32"/>
          <w:szCs w:val="32"/>
          <w:lang w:bidi="ar"/>
        </w:rPr>
        <w:t>，</w:t>
      </w:r>
      <w:r>
        <w:rPr>
          <w:rFonts w:eastAsia="仿宋_GB2312"/>
          <w:color w:val="000000"/>
          <w:sz w:val="32"/>
          <w:szCs w:val="32"/>
        </w:rPr>
        <w:t>开展节约粮食、反对浪费工作</w:t>
      </w:r>
      <w:r>
        <w:rPr>
          <w:rFonts w:eastAsia="仿宋_GB2312"/>
          <w:color w:val="000000"/>
          <w:sz w:val="32"/>
          <w:szCs w:val="32"/>
        </w:rPr>
        <w:t>，</w:t>
      </w:r>
      <w:r>
        <w:rPr>
          <w:rFonts w:eastAsia="仿宋_GB2312"/>
          <w:sz w:val="32"/>
          <w:szCs w:val="32"/>
        </w:rPr>
        <w:t>规范高效使用教育经费</w:t>
      </w:r>
      <w:r>
        <w:rPr>
          <w:rFonts w:eastAsia="仿宋_GB2312"/>
          <w:sz w:val="32"/>
          <w:szCs w:val="32"/>
        </w:rPr>
        <w:t>，优化</w:t>
      </w:r>
      <w:r>
        <w:rPr>
          <w:rFonts w:eastAsia="仿宋_GB2312"/>
          <w:sz w:val="32"/>
          <w:szCs w:val="32"/>
        </w:rPr>
        <w:t>调整支出结构，保障</w:t>
      </w:r>
      <w:r>
        <w:rPr>
          <w:rFonts w:eastAsia="仿宋_GB2312"/>
          <w:sz w:val="32"/>
          <w:szCs w:val="32"/>
        </w:rPr>
        <w:t>重大任务落实</w:t>
      </w:r>
      <w:r>
        <w:rPr>
          <w:rFonts w:eastAsia="仿宋_GB2312"/>
          <w:sz w:val="32"/>
          <w:szCs w:val="32"/>
        </w:rPr>
        <w:t>。</w:t>
      </w:r>
      <w:r>
        <w:rPr>
          <w:rFonts w:eastAsia="仿宋_GB2312"/>
          <w:sz w:val="32"/>
          <w:szCs w:val="32"/>
        </w:rPr>
        <w:t>首都</w:t>
      </w:r>
      <w:r>
        <w:rPr>
          <w:rFonts w:eastAsia="仿宋_GB2312"/>
          <w:sz w:val="32"/>
          <w:szCs w:val="32"/>
        </w:rPr>
        <w:t>教育系统连续</w:t>
      </w:r>
      <w:r>
        <w:rPr>
          <w:rFonts w:eastAsia="仿宋_GB2312"/>
          <w:sz w:val="32"/>
          <w:szCs w:val="32"/>
        </w:rPr>
        <w:t>3</w:t>
      </w:r>
      <w:r>
        <w:rPr>
          <w:rFonts w:eastAsia="仿宋_GB2312"/>
          <w:sz w:val="32"/>
          <w:szCs w:val="32"/>
        </w:rPr>
        <w:t>5</w:t>
      </w:r>
      <w:r>
        <w:rPr>
          <w:rFonts w:eastAsia="仿宋_GB2312"/>
          <w:sz w:val="32"/>
          <w:szCs w:val="32"/>
        </w:rPr>
        <w:t>年保持</w:t>
      </w:r>
      <w:r>
        <w:rPr>
          <w:rFonts w:eastAsia="仿宋_GB2312"/>
          <w:sz w:val="32"/>
          <w:szCs w:val="32"/>
        </w:rPr>
        <w:t>总体</w:t>
      </w:r>
      <w:r>
        <w:rPr>
          <w:rFonts w:eastAsia="仿宋_GB2312"/>
          <w:sz w:val="32"/>
          <w:szCs w:val="32"/>
        </w:rPr>
        <w:t>稳定。</w:t>
      </w:r>
    </w:p>
    <w:p w:rsidR="009C4651" w:rsidRDefault="0003357C">
      <w:pPr>
        <w:spacing w:line="560" w:lineRule="exact"/>
        <w:ind w:leftChars="50" w:left="105" w:firstLineChars="200" w:firstLine="640"/>
        <w:rPr>
          <w:rFonts w:eastAsia="仿宋_GB2312"/>
          <w:bCs/>
          <w:sz w:val="32"/>
          <w:szCs w:val="32"/>
        </w:rPr>
      </w:pPr>
      <w:r>
        <w:rPr>
          <w:rFonts w:eastAsia="仿宋_GB2312"/>
          <w:color w:val="000000"/>
          <w:kern w:val="0"/>
          <w:sz w:val="32"/>
          <w:szCs w:val="32"/>
        </w:rPr>
        <w:t>加强干部人才队伍建设方</w:t>
      </w:r>
      <w:r>
        <w:rPr>
          <w:rFonts w:eastAsia="仿宋_GB2312"/>
          <w:bCs/>
          <w:sz w:val="32"/>
          <w:szCs w:val="32"/>
        </w:rPr>
        <w:t>面：统筹优化干部选育管用各项工作，共任免机关和直属单位干部</w:t>
      </w:r>
      <w:r>
        <w:rPr>
          <w:rFonts w:eastAsia="仿宋_GB2312"/>
          <w:bCs/>
          <w:sz w:val="32"/>
          <w:szCs w:val="32"/>
        </w:rPr>
        <w:t>194</w:t>
      </w:r>
      <w:r>
        <w:rPr>
          <w:rFonts w:eastAsia="仿宋_GB2312"/>
          <w:bCs/>
          <w:sz w:val="32"/>
          <w:szCs w:val="32"/>
        </w:rPr>
        <w:t>人次，职级晋升</w:t>
      </w:r>
      <w:r>
        <w:rPr>
          <w:rFonts w:eastAsia="仿宋_GB2312"/>
          <w:bCs/>
          <w:sz w:val="32"/>
          <w:szCs w:val="32"/>
        </w:rPr>
        <w:t>63</w:t>
      </w:r>
      <w:r>
        <w:rPr>
          <w:rFonts w:eastAsia="仿宋_GB2312"/>
          <w:bCs/>
          <w:sz w:val="32"/>
          <w:szCs w:val="32"/>
        </w:rPr>
        <w:t>人次。输送干部到市级机关、高校、直属单位任职</w:t>
      </w:r>
      <w:r>
        <w:rPr>
          <w:rFonts w:eastAsia="仿宋_GB2312"/>
          <w:bCs/>
          <w:sz w:val="32"/>
          <w:szCs w:val="32"/>
        </w:rPr>
        <w:t>9</w:t>
      </w:r>
      <w:r>
        <w:rPr>
          <w:rFonts w:eastAsia="仿宋_GB2312"/>
          <w:bCs/>
          <w:sz w:val="32"/>
          <w:szCs w:val="32"/>
        </w:rPr>
        <w:t>人，从市级机关、高校、直属单位引进干部</w:t>
      </w:r>
      <w:r>
        <w:rPr>
          <w:rFonts w:eastAsia="仿宋_GB2312"/>
          <w:bCs/>
          <w:sz w:val="32"/>
          <w:szCs w:val="32"/>
        </w:rPr>
        <w:t>4</w:t>
      </w:r>
      <w:r>
        <w:rPr>
          <w:rFonts w:eastAsia="仿宋_GB2312"/>
          <w:bCs/>
          <w:sz w:val="32"/>
          <w:szCs w:val="32"/>
        </w:rPr>
        <w:t>人，推动干部队伍结构不断优化。</w:t>
      </w:r>
      <w:r>
        <w:rPr>
          <w:rFonts w:eastAsia="仿宋_GB2312"/>
          <w:bCs/>
          <w:sz w:val="32"/>
          <w:szCs w:val="32"/>
        </w:rPr>
        <w:t>汇集高校</w:t>
      </w:r>
      <w:r>
        <w:rPr>
          <w:rFonts w:eastAsia="仿宋_GB2312"/>
          <w:bCs/>
          <w:sz w:val="32"/>
          <w:szCs w:val="32"/>
        </w:rPr>
        <w:t>300</w:t>
      </w:r>
      <w:r>
        <w:rPr>
          <w:rFonts w:eastAsia="仿宋_GB2312"/>
          <w:bCs/>
          <w:sz w:val="32"/>
          <w:szCs w:val="32"/>
        </w:rPr>
        <w:t>余名高层次人才与平谷重点发展产业进行对接，召开首都高校助力平谷农业中关村建设推进大会，探索教育助力区域经济发展新模式。选派</w:t>
      </w:r>
      <w:r>
        <w:rPr>
          <w:rFonts w:eastAsia="仿宋_GB2312"/>
          <w:bCs/>
          <w:sz w:val="32"/>
          <w:szCs w:val="32"/>
        </w:rPr>
        <w:t>37</w:t>
      </w:r>
      <w:r>
        <w:rPr>
          <w:rFonts w:eastAsia="仿宋_GB2312"/>
          <w:bCs/>
          <w:sz w:val="32"/>
          <w:szCs w:val="32"/>
        </w:rPr>
        <w:t>名专业技术及管理人才参与</w:t>
      </w:r>
      <w:r>
        <w:rPr>
          <w:rFonts w:eastAsia="仿宋_GB2312"/>
          <w:bCs/>
          <w:sz w:val="32"/>
          <w:szCs w:val="32"/>
        </w:rPr>
        <w:t>“</w:t>
      </w:r>
      <w:r>
        <w:rPr>
          <w:rFonts w:eastAsia="仿宋_GB2312"/>
          <w:bCs/>
          <w:sz w:val="32"/>
          <w:szCs w:val="32"/>
        </w:rPr>
        <w:t>人才京郊行</w:t>
      </w:r>
      <w:r>
        <w:rPr>
          <w:rFonts w:eastAsia="仿宋_GB2312"/>
          <w:bCs/>
          <w:sz w:val="32"/>
          <w:szCs w:val="32"/>
        </w:rPr>
        <w:t>”“</w:t>
      </w:r>
      <w:r>
        <w:rPr>
          <w:rFonts w:eastAsia="仿宋_GB2312"/>
          <w:bCs/>
          <w:sz w:val="32"/>
          <w:szCs w:val="32"/>
        </w:rPr>
        <w:t>京青专家服务活动</w:t>
      </w:r>
      <w:r>
        <w:rPr>
          <w:rFonts w:eastAsia="仿宋_GB2312"/>
          <w:bCs/>
          <w:sz w:val="32"/>
          <w:szCs w:val="32"/>
        </w:rPr>
        <w:t>”“</w:t>
      </w:r>
      <w:r>
        <w:rPr>
          <w:rFonts w:eastAsia="仿宋_GB2312"/>
          <w:bCs/>
          <w:sz w:val="32"/>
          <w:szCs w:val="32"/>
        </w:rPr>
        <w:t>北京院士专家十堰行</w:t>
      </w:r>
      <w:r>
        <w:rPr>
          <w:rFonts w:eastAsia="仿宋_GB2312"/>
          <w:bCs/>
          <w:sz w:val="32"/>
          <w:szCs w:val="32"/>
        </w:rPr>
        <w:t>”</w:t>
      </w:r>
      <w:r>
        <w:rPr>
          <w:rFonts w:eastAsia="仿宋_GB2312"/>
          <w:bCs/>
          <w:sz w:val="32"/>
          <w:szCs w:val="32"/>
        </w:rPr>
        <w:t>项目，为基层一线和艰苦边远地区提供人才支撑。组织开展高校教育培训基地专题研修班</w:t>
      </w:r>
      <w:r>
        <w:rPr>
          <w:rFonts w:eastAsia="仿宋_GB2312"/>
          <w:bCs/>
          <w:sz w:val="32"/>
          <w:szCs w:val="32"/>
        </w:rPr>
        <w:t>11</w:t>
      </w:r>
      <w:r>
        <w:rPr>
          <w:rFonts w:eastAsia="仿宋_GB2312"/>
          <w:bCs/>
          <w:sz w:val="32"/>
          <w:szCs w:val="32"/>
        </w:rPr>
        <w:t>个班次自主选学，选派</w:t>
      </w:r>
      <w:r>
        <w:rPr>
          <w:rFonts w:eastAsia="仿宋_GB2312"/>
          <w:bCs/>
          <w:sz w:val="32"/>
          <w:szCs w:val="32"/>
        </w:rPr>
        <w:t>20</w:t>
      </w:r>
      <w:r>
        <w:rPr>
          <w:rFonts w:eastAsia="仿宋_GB2312"/>
          <w:bCs/>
          <w:sz w:val="32"/>
          <w:szCs w:val="32"/>
        </w:rPr>
        <w:t>余名干部参加市级各类专题培训班。选派</w:t>
      </w:r>
      <w:r>
        <w:rPr>
          <w:rFonts w:eastAsia="仿宋_GB2312"/>
          <w:bCs/>
          <w:sz w:val="32"/>
          <w:szCs w:val="32"/>
        </w:rPr>
        <w:t>1</w:t>
      </w:r>
      <w:r>
        <w:rPr>
          <w:rFonts w:eastAsia="仿宋_GB2312"/>
          <w:bCs/>
          <w:sz w:val="32"/>
          <w:szCs w:val="32"/>
        </w:rPr>
        <w:t>名机关干部和</w:t>
      </w:r>
      <w:r>
        <w:rPr>
          <w:rFonts w:eastAsia="仿宋_GB2312"/>
          <w:bCs/>
          <w:sz w:val="32"/>
          <w:szCs w:val="32"/>
        </w:rPr>
        <w:t>61</w:t>
      </w:r>
      <w:r>
        <w:rPr>
          <w:rFonts w:eastAsia="仿宋_GB2312"/>
          <w:bCs/>
          <w:sz w:val="32"/>
          <w:szCs w:val="32"/>
        </w:rPr>
        <w:t>名高校干部担任驻村第一书记，为</w:t>
      </w:r>
      <w:r>
        <w:rPr>
          <w:rFonts w:eastAsia="仿宋_GB2312"/>
          <w:bCs/>
          <w:sz w:val="32"/>
          <w:szCs w:val="32"/>
        </w:rPr>
        <w:t>10</w:t>
      </w:r>
      <w:r>
        <w:rPr>
          <w:rFonts w:eastAsia="仿宋_GB2312"/>
          <w:bCs/>
          <w:sz w:val="32"/>
          <w:szCs w:val="32"/>
        </w:rPr>
        <w:t>名退休干部举办荣退仪式。</w:t>
      </w:r>
    </w:p>
    <w:p w:rsidR="009C4651" w:rsidRDefault="0003357C">
      <w:pPr>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产出质量</w:t>
      </w:r>
    </w:p>
    <w:p w:rsidR="009C4651" w:rsidRDefault="0003357C">
      <w:pPr>
        <w:pStyle w:val="a4"/>
        <w:spacing w:line="560" w:lineRule="exact"/>
        <w:ind w:firstLineChars="200" w:firstLine="640"/>
        <w:rPr>
          <w:rFonts w:eastAsia="仿宋_GB2312"/>
        </w:rPr>
      </w:pPr>
      <w:r>
        <w:rPr>
          <w:rFonts w:eastAsia="仿宋_GB2312"/>
          <w:color w:val="000000"/>
          <w:kern w:val="0"/>
          <w:sz w:val="32"/>
          <w:szCs w:val="32"/>
        </w:rPr>
        <w:t>北京高校发展党员工作经验被中组部推广</w:t>
      </w:r>
      <w:r>
        <w:rPr>
          <w:rFonts w:eastAsia="仿宋_GB2312"/>
          <w:color w:val="000000"/>
          <w:kern w:val="0"/>
          <w:sz w:val="32"/>
          <w:szCs w:val="32"/>
        </w:rPr>
        <w:t>，</w:t>
      </w:r>
      <w:r>
        <w:rPr>
          <w:rFonts w:eastAsia="仿宋_GB2312"/>
          <w:color w:val="000000"/>
          <w:kern w:val="0"/>
          <w:sz w:val="32"/>
          <w:szCs w:val="32"/>
        </w:rPr>
        <w:t>师生党员基本培训全覆</w:t>
      </w:r>
      <w:r>
        <w:rPr>
          <w:rFonts w:eastAsia="仿宋_GB2312"/>
          <w:color w:val="000000"/>
          <w:kern w:val="0"/>
          <w:sz w:val="32"/>
          <w:szCs w:val="32"/>
        </w:rPr>
        <w:t>盖试点</w:t>
      </w:r>
      <w:r>
        <w:rPr>
          <w:rFonts w:eastAsia="仿宋_GB2312"/>
          <w:color w:val="000000"/>
          <w:kern w:val="0"/>
          <w:sz w:val="32"/>
          <w:szCs w:val="32"/>
        </w:rPr>
        <w:t>得到</w:t>
      </w:r>
      <w:r>
        <w:rPr>
          <w:rFonts w:eastAsia="仿宋_GB2312"/>
          <w:color w:val="000000"/>
          <w:kern w:val="0"/>
          <w:sz w:val="32"/>
          <w:szCs w:val="32"/>
        </w:rPr>
        <w:t>教育部、中央党校高度肯定。入选教育部全国高校示范党组织</w:t>
      </w:r>
      <w:r>
        <w:rPr>
          <w:rFonts w:eastAsia="仿宋_GB2312"/>
          <w:color w:val="000000"/>
          <w:kern w:val="0"/>
          <w:sz w:val="32"/>
          <w:szCs w:val="32"/>
        </w:rPr>
        <w:t>127</w:t>
      </w:r>
      <w:r>
        <w:rPr>
          <w:rFonts w:eastAsia="仿宋_GB2312"/>
          <w:color w:val="000000"/>
          <w:kern w:val="0"/>
          <w:sz w:val="32"/>
          <w:szCs w:val="32"/>
        </w:rPr>
        <w:t>个，连续四届全国第一。组织高校党员师生观廉展、创廉作、排廉剧、谱廉曲，相关经验得到《北京日报》《北京新闻》《组工动态》等主流媒体宣传报道近百次。</w:t>
      </w:r>
      <w:r>
        <w:rPr>
          <w:rFonts w:eastAsia="仿宋_GB2312"/>
          <w:sz w:val="32"/>
          <w:szCs w:val="32"/>
        </w:rPr>
        <w:t>2</w:t>
      </w:r>
      <w:r>
        <w:rPr>
          <w:rFonts w:eastAsia="仿宋_GB2312"/>
          <w:sz w:val="32"/>
          <w:szCs w:val="32"/>
        </w:rPr>
        <w:t>篇机关调研成果被《北京调研》刊登。</w:t>
      </w:r>
      <w:r>
        <w:rPr>
          <w:rFonts w:eastAsia="仿宋_GB2312"/>
          <w:color w:val="000000"/>
          <w:kern w:val="0"/>
          <w:sz w:val="32"/>
          <w:szCs w:val="32"/>
        </w:rPr>
        <w:t>开展两委机关系统</w:t>
      </w:r>
      <w:r>
        <w:rPr>
          <w:rFonts w:eastAsia="仿宋_GB2312"/>
          <w:color w:val="000000"/>
          <w:kern w:val="0"/>
          <w:sz w:val="32"/>
          <w:szCs w:val="32"/>
        </w:rPr>
        <w:t>“</w:t>
      </w:r>
      <w:r>
        <w:rPr>
          <w:rFonts w:eastAsia="仿宋_GB2312"/>
          <w:color w:val="000000"/>
          <w:kern w:val="0"/>
          <w:sz w:val="32"/>
          <w:szCs w:val="32"/>
        </w:rPr>
        <w:t>两优一先</w:t>
      </w:r>
      <w:r>
        <w:rPr>
          <w:rFonts w:eastAsia="仿宋_GB2312"/>
          <w:color w:val="000000"/>
          <w:kern w:val="0"/>
          <w:sz w:val="32"/>
          <w:szCs w:val="32"/>
        </w:rPr>
        <w:t>”</w:t>
      </w:r>
      <w:r>
        <w:rPr>
          <w:rFonts w:eastAsia="仿宋_GB2312"/>
          <w:color w:val="000000"/>
          <w:kern w:val="0"/>
          <w:sz w:val="32"/>
          <w:szCs w:val="32"/>
        </w:rPr>
        <w:t>评比表彰，评选出优秀党员</w:t>
      </w:r>
      <w:r>
        <w:rPr>
          <w:rFonts w:eastAsia="仿宋_GB2312"/>
          <w:color w:val="000000"/>
          <w:kern w:val="0"/>
          <w:sz w:val="32"/>
          <w:szCs w:val="32"/>
        </w:rPr>
        <w:t>89</w:t>
      </w:r>
      <w:r>
        <w:rPr>
          <w:rFonts w:eastAsia="仿宋_GB2312"/>
          <w:color w:val="000000"/>
          <w:kern w:val="0"/>
          <w:sz w:val="32"/>
          <w:szCs w:val="32"/>
        </w:rPr>
        <w:t>人，优秀党务工作者</w:t>
      </w:r>
      <w:r>
        <w:rPr>
          <w:rFonts w:eastAsia="仿宋_GB2312"/>
          <w:color w:val="000000"/>
          <w:kern w:val="0"/>
          <w:sz w:val="32"/>
          <w:szCs w:val="32"/>
        </w:rPr>
        <w:t>30</w:t>
      </w:r>
      <w:r>
        <w:rPr>
          <w:rFonts w:eastAsia="仿宋_GB2312"/>
          <w:color w:val="000000"/>
          <w:kern w:val="0"/>
          <w:sz w:val="32"/>
          <w:szCs w:val="32"/>
        </w:rPr>
        <w:t>人，先进基层党组织</w:t>
      </w:r>
      <w:r>
        <w:rPr>
          <w:rFonts w:eastAsia="仿宋_GB2312"/>
          <w:color w:val="000000"/>
          <w:kern w:val="0"/>
          <w:sz w:val="32"/>
          <w:szCs w:val="32"/>
        </w:rPr>
        <w:t>10</w:t>
      </w:r>
      <w:r>
        <w:rPr>
          <w:rFonts w:eastAsia="仿宋_GB2312"/>
          <w:color w:val="000000"/>
          <w:kern w:val="0"/>
          <w:sz w:val="32"/>
          <w:szCs w:val="32"/>
        </w:rPr>
        <w:t>个。</w:t>
      </w:r>
    </w:p>
    <w:p w:rsidR="009C4651" w:rsidRDefault="0003357C">
      <w:pPr>
        <w:spacing w:line="560" w:lineRule="exact"/>
        <w:ind w:firstLineChars="200" w:firstLine="640"/>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产出进度</w:t>
      </w:r>
    </w:p>
    <w:p w:rsidR="009C4651" w:rsidRDefault="0003357C">
      <w:pPr>
        <w:snapToGrid w:val="0"/>
        <w:spacing w:line="560" w:lineRule="exact"/>
        <w:ind w:firstLineChars="200" w:firstLine="640"/>
        <w:rPr>
          <w:rFonts w:eastAsia="仿宋_GB2312"/>
          <w:sz w:val="32"/>
          <w:szCs w:val="32"/>
          <w:lang w:val="en"/>
        </w:rPr>
      </w:pPr>
      <w:r>
        <w:rPr>
          <w:rFonts w:eastAsia="仿宋_GB2312"/>
          <w:kern w:val="0"/>
          <w:sz w:val="32"/>
          <w:szCs w:val="32"/>
          <w:lang w:bidi="ar"/>
        </w:rPr>
        <w:t>基本完成中小学校领导体制改革</w:t>
      </w:r>
      <w:r>
        <w:rPr>
          <w:rFonts w:eastAsia="仿宋_GB2312"/>
          <w:kern w:val="0"/>
          <w:sz w:val="32"/>
          <w:szCs w:val="32"/>
          <w:lang w:bidi="ar"/>
        </w:rPr>
        <w:t>“</w:t>
      </w:r>
      <w:r>
        <w:rPr>
          <w:rFonts w:eastAsia="仿宋_GB2312"/>
          <w:kern w:val="0"/>
          <w:sz w:val="32"/>
          <w:szCs w:val="32"/>
          <w:lang w:bidi="ar"/>
        </w:rPr>
        <w:t>三年三步走</w:t>
      </w:r>
      <w:r>
        <w:rPr>
          <w:rFonts w:eastAsia="仿宋_GB2312"/>
          <w:kern w:val="0"/>
          <w:sz w:val="32"/>
          <w:szCs w:val="32"/>
          <w:lang w:bidi="ar"/>
        </w:rPr>
        <w:t>”</w:t>
      </w:r>
      <w:r>
        <w:rPr>
          <w:rFonts w:eastAsia="仿宋_GB2312"/>
          <w:kern w:val="0"/>
          <w:sz w:val="32"/>
          <w:szCs w:val="32"/>
          <w:lang w:bidi="ar"/>
        </w:rPr>
        <w:t>任务目标，研究出台中小学校党建工作基本标准，全市中小学校党组织规范设置率、书记校长岗位编制配备率实现</w:t>
      </w:r>
      <w:r>
        <w:rPr>
          <w:rFonts w:eastAsia="仿宋_GB2312"/>
          <w:kern w:val="0"/>
          <w:sz w:val="32"/>
          <w:szCs w:val="32"/>
          <w:lang w:bidi="ar"/>
        </w:rPr>
        <w:t>100%</w:t>
      </w:r>
      <w:r>
        <w:rPr>
          <w:rFonts w:eastAsia="仿宋_GB2312"/>
          <w:kern w:val="0"/>
          <w:sz w:val="32"/>
          <w:szCs w:val="32"/>
          <w:lang w:bidi="ar"/>
        </w:rPr>
        <w:t>，书记校长实际到岗率达</w:t>
      </w:r>
      <w:r>
        <w:rPr>
          <w:rFonts w:eastAsia="仿宋_GB2312"/>
          <w:kern w:val="0"/>
          <w:sz w:val="32"/>
          <w:szCs w:val="32"/>
          <w:lang w:bidi="ar"/>
        </w:rPr>
        <w:t>95%</w:t>
      </w:r>
      <w:r>
        <w:rPr>
          <w:rFonts w:eastAsia="仿宋_GB2312"/>
          <w:kern w:val="0"/>
          <w:sz w:val="32"/>
          <w:szCs w:val="32"/>
          <w:lang w:bidi="ar"/>
        </w:rPr>
        <w:t>，选树</w:t>
      </w:r>
      <w:r>
        <w:rPr>
          <w:rFonts w:eastAsia="仿宋_GB2312"/>
          <w:kern w:val="0"/>
          <w:sz w:val="32"/>
          <w:szCs w:val="32"/>
          <w:lang w:bidi="ar"/>
        </w:rPr>
        <w:t>44</w:t>
      </w:r>
      <w:r>
        <w:rPr>
          <w:rFonts w:eastAsia="仿宋_GB2312"/>
          <w:kern w:val="0"/>
          <w:sz w:val="32"/>
          <w:szCs w:val="32"/>
          <w:lang w:bidi="ar"/>
        </w:rPr>
        <w:t>个中小学校示范党组织。全市学科类校外培训机构党建工作重点任务完成率达</w:t>
      </w:r>
      <w:r>
        <w:rPr>
          <w:rFonts w:eastAsia="仿宋_GB2312"/>
          <w:kern w:val="0"/>
          <w:sz w:val="32"/>
          <w:szCs w:val="32"/>
          <w:lang w:bidi="ar"/>
        </w:rPr>
        <w:t>100%</w:t>
      </w:r>
      <w:r>
        <w:rPr>
          <w:rFonts w:eastAsia="仿宋_GB2312"/>
          <w:kern w:val="0"/>
          <w:sz w:val="32"/>
          <w:szCs w:val="32"/>
          <w:lang w:bidi="ar"/>
        </w:rPr>
        <w:t>。推进学前教育普及普惠发展，全市适龄儿童入园率和普惠率均达到</w:t>
      </w:r>
      <w:r>
        <w:rPr>
          <w:rFonts w:eastAsia="仿宋_GB2312"/>
          <w:kern w:val="0"/>
          <w:sz w:val="32"/>
          <w:szCs w:val="32"/>
          <w:lang w:bidi="ar"/>
        </w:rPr>
        <w:t>93%</w:t>
      </w:r>
      <w:r>
        <w:rPr>
          <w:rFonts w:eastAsia="仿宋_GB2312"/>
          <w:kern w:val="0"/>
          <w:sz w:val="32"/>
          <w:szCs w:val="32"/>
          <w:lang w:bidi="ar"/>
        </w:rPr>
        <w:t>。推进义务教育优质均衡发展，城乡义务教育学校</w:t>
      </w:r>
      <w:r>
        <w:rPr>
          <w:rFonts w:eastAsia="仿宋_GB2312"/>
          <w:kern w:val="0"/>
          <w:sz w:val="32"/>
          <w:szCs w:val="32"/>
          <w:lang w:bidi="ar"/>
        </w:rPr>
        <w:t>“</w:t>
      </w:r>
      <w:r>
        <w:rPr>
          <w:rFonts w:eastAsia="仿宋_GB2312"/>
          <w:kern w:val="0"/>
          <w:sz w:val="32"/>
          <w:szCs w:val="32"/>
          <w:lang w:bidi="ar"/>
        </w:rPr>
        <w:t>手拉手</w:t>
      </w:r>
      <w:r>
        <w:rPr>
          <w:rFonts w:eastAsia="仿宋_GB2312"/>
          <w:kern w:val="0"/>
          <w:sz w:val="32"/>
          <w:szCs w:val="32"/>
          <w:lang w:bidi="ar"/>
        </w:rPr>
        <w:t>”</w:t>
      </w:r>
      <w:r>
        <w:rPr>
          <w:rFonts w:eastAsia="仿宋_GB2312"/>
          <w:kern w:val="0"/>
          <w:sz w:val="32"/>
          <w:szCs w:val="32"/>
          <w:lang w:bidi="ar"/>
        </w:rPr>
        <w:t>结对实现全覆盖。圆满完成</w:t>
      </w:r>
      <w:r>
        <w:rPr>
          <w:rFonts w:eastAsia="仿宋_GB2312"/>
          <w:kern w:val="0"/>
          <w:sz w:val="32"/>
          <w:szCs w:val="32"/>
          <w:lang w:bidi="ar"/>
        </w:rPr>
        <w:t>“</w:t>
      </w:r>
      <w:r>
        <w:rPr>
          <w:rFonts w:eastAsia="仿宋_GB2312"/>
          <w:kern w:val="0"/>
          <w:sz w:val="32"/>
          <w:szCs w:val="32"/>
          <w:lang w:bidi="ar"/>
        </w:rPr>
        <w:t>双减</w:t>
      </w:r>
      <w:r>
        <w:rPr>
          <w:rFonts w:eastAsia="仿宋_GB2312"/>
          <w:kern w:val="0"/>
          <w:sz w:val="32"/>
          <w:szCs w:val="32"/>
          <w:lang w:bidi="ar"/>
        </w:rPr>
        <w:t>”</w:t>
      </w:r>
      <w:r>
        <w:rPr>
          <w:rFonts w:eastAsia="仿宋_GB2312"/>
          <w:kern w:val="0"/>
          <w:sz w:val="32"/>
          <w:szCs w:val="32"/>
          <w:lang w:bidi="ar"/>
        </w:rPr>
        <w:t>改革三年目标收官任务。高标准完成通学车试点改革任务，顺利</w:t>
      </w:r>
      <w:r>
        <w:rPr>
          <w:rFonts w:eastAsia="仿宋_GB2312"/>
          <w:kern w:val="0"/>
          <w:sz w:val="32"/>
          <w:szCs w:val="32"/>
          <w:lang w:bidi="ar"/>
        </w:rPr>
        <w:t>完成</w:t>
      </w:r>
      <w:r>
        <w:rPr>
          <w:rFonts w:eastAsia="仿宋_GB2312"/>
          <w:kern w:val="0"/>
          <w:sz w:val="32"/>
          <w:szCs w:val="32"/>
          <w:lang w:bidi="ar"/>
        </w:rPr>
        <w:t>72</w:t>
      </w:r>
      <w:r>
        <w:rPr>
          <w:rFonts w:eastAsia="仿宋_GB2312"/>
          <w:kern w:val="0"/>
          <w:sz w:val="32"/>
          <w:szCs w:val="32"/>
          <w:lang w:bidi="ar"/>
        </w:rPr>
        <w:t>所学校周边交通秩序监测和交通环境</w:t>
      </w:r>
      <w:r>
        <w:rPr>
          <w:rFonts w:eastAsia="仿宋_GB2312"/>
          <w:kern w:val="0"/>
          <w:sz w:val="32"/>
          <w:szCs w:val="32"/>
          <w:lang w:bidi="ar"/>
        </w:rPr>
        <w:t>提升治理任务</w:t>
      </w:r>
      <w:r>
        <w:rPr>
          <w:rFonts w:eastAsia="仿宋_GB2312"/>
          <w:kern w:val="0"/>
          <w:sz w:val="32"/>
          <w:szCs w:val="32"/>
          <w:lang w:bidi="ar"/>
        </w:rPr>
        <w:t>。</w:t>
      </w:r>
    </w:p>
    <w:p w:rsidR="009C4651" w:rsidRDefault="0003357C">
      <w:pPr>
        <w:spacing w:line="56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产出成本</w:t>
      </w:r>
    </w:p>
    <w:p w:rsidR="009C4651" w:rsidRDefault="0003357C">
      <w:pPr>
        <w:spacing w:line="560" w:lineRule="exact"/>
        <w:ind w:leftChars="50" w:left="105" w:firstLineChars="200" w:firstLine="640"/>
        <w:rPr>
          <w:rFonts w:eastAsia="仿宋_GB2312"/>
          <w:color w:val="000000"/>
          <w:kern w:val="0"/>
          <w:sz w:val="32"/>
          <w:szCs w:val="32"/>
        </w:rPr>
      </w:pPr>
      <w:r>
        <w:rPr>
          <w:rFonts w:eastAsia="仿宋_GB2312"/>
          <w:color w:val="000000"/>
          <w:kern w:val="0"/>
          <w:sz w:val="32"/>
          <w:szCs w:val="32"/>
        </w:rPr>
        <w:t>202</w:t>
      </w:r>
      <w:r>
        <w:rPr>
          <w:rFonts w:eastAsia="仿宋_GB2312"/>
          <w:color w:val="000000"/>
          <w:kern w:val="0"/>
          <w:sz w:val="32"/>
          <w:szCs w:val="32"/>
        </w:rPr>
        <w:t>4</w:t>
      </w:r>
      <w:r>
        <w:rPr>
          <w:rFonts w:eastAsia="仿宋_GB2312"/>
          <w:color w:val="000000"/>
          <w:kern w:val="0"/>
          <w:sz w:val="32"/>
          <w:szCs w:val="32"/>
        </w:rPr>
        <w:t>年总支出</w:t>
      </w:r>
      <w:r>
        <w:rPr>
          <w:rFonts w:eastAsia="仿宋_GB2312"/>
          <w:sz w:val="32"/>
          <w:szCs w:val="32"/>
        </w:rPr>
        <w:t>28422.41</w:t>
      </w:r>
      <w:r>
        <w:rPr>
          <w:rFonts w:eastAsia="仿宋_GB2312"/>
          <w:color w:val="000000"/>
          <w:kern w:val="0"/>
          <w:sz w:val="32"/>
          <w:szCs w:val="32"/>
        </w:rPr>
        <w:t>万元，其中基本支出</w:t>
      </w:r>
      <w:r>
        <w:rPr>
          <w:rFonts w:eastAsia="仿宋_GB2312"/>
          <w:sz w:val="32"/>
          <w:szCs w:val="32"/>
        </w:rPr>
        <w:t>5398.24</w:t>
      </w:r>
      <w:r>
        <w:rPr>
          <w:rFonts w:eastAsia="仿宋_GB2312"/>
          <w:color w:val="000000"/>
          <w:kern w:val="0"/>
          <w:sz w:val="32"/>
          <w:szCs w:val="32"/>
        </w:rPr>
        <w:t>万元，占总支出的</w:t>
      </w:r>
      <w:r>
        <w:rPr>
          <w:rFonts w:eastAsia="仿宋_GB2312"/>
          <w:color w:val="000000"/>
          <w:kern w:val="0"/>
          <w:sz w:val="32"/>
          <w:szCs w:val="32"/>
        </w:rPr>
        <w:t>18.99</w:t>
      </w:r>
      <w:r>
        <w:rPr>
          <w:rFonts w:eastAsia="仿宋_GB2312"/>
          <w:color w:val="000000"/>
          <w:kern w:val="0"/>
          <w:sz w:val="32"/>
          <w:szCs w:val="32"/>
        </w:rPr>
        <w:t>%</w:t>
      </w:r>
      <w:r>
        <w:rPr>
          <w:rFonts w:eastAsia="仿宋_GB2312"/>
          <w:color w:val="000000"/>
          <w:kern w:val="0"/>
          <w:sz w:val="32"/>
          <w:szCs w:val="32"/>
        </w:rPr>
        <w:t>；项目支出</w:t>
      </w:r>
      <w:r>
        <w:rPr>
          <w:rFonts w:eastAsia="仿宋_GB2312"/>
          <w:sz w:val="32"/>
          <w:szCs w:val="32"/>
        </w:rPr>
        <w:t>23024.17</w:t>
      </w:r>
      <w:r>
        <w:rPr>
          <w:rFonts w:eastAsia="仿宋_GB2312"/>
          <w:color w:val="000000"/>
          <w:kern w:val="0"/>
          <w:sz w:val="32"/>
          <w:szCs w:val="32"/>
        </w:rPr>
        <w:t>万元，占总支出的</w:t>
      </w:r>
      <w:r>
        <w:rPr>
          <w:rFonts w:eastAsia="仿宋_GB2312"/>
          <w:color w:val="000000"/>
          <w:kern w:val="0"/>
          <w:sz w:val="32"/>
          <w:szCs w:val="32"/>
        </w:rPr>
        <w:t>81.01</w:t>
      </w:r>
      <w:r>
        <w:rPr>
          <w:rFonts w:eastAsia="仿宋_GB2312"/>
          <w:color w:val="000000"/>
          <w:kern w:val="0"/>
          <w:sz w:val="32"/>
          <w:szCs w:val="32"/>
        </w:rPr>
        <w:t>%</w:t>
      </w:r>
      <w:r>
        <w:rPr>
          <w:rFonts w:eastAsia="仿宋_GB2312"/>
          <w:color w:val="000000"/>
          <w:kern w:val="0"/>
          <w:sz w:val="32"/>
          <w:szCs w:val="32"/>
        </w:rPr>
        <w:t>。</w:t>
      </w:r>
      <w:r>
        <w:rPr>
          <w:rFonts w:eastAsia="仿宋_GB2312"/>
          <w:color w:val="000000"/>
          <w:kern w:val="0"/>
          <w:sz w:val="32"/>
          <w:szCs w:val="32"/>
        </w:rPr>
        <w:t>202</w:t>
      </w:r>
      <w:r>
        <w:rPr>
          <w:rFonts w:eastAsia="仿宋_GB2312"/>
          <w:color w:val="000000"/>
          <w:kern w:val="0"/>
          <w:sz w:val="32"/>
          <w:szCs w:val="32"/>
        </w:rPr>
        <w:t>4</w:t>
      </w:r>
      <w:r>
        <w:rPr>
          <w:rFonts w:eastAsia="仿宋_GB2312"/>
          <w:color w:val="000000"/>
          <w:kern w:val="0"/>
          <w:sz w:val="32"/>
          <w:szCs w:val="32"/>
        </w:rPr>
        <w:t>年总支出比</w:t>
      </w:r>
      <w:r>
        <w:rPr>
          <w:rFonts w:eastAsia="仿宋_GB2312"/>
          <w:color w:val="000000"/>
          <w:kern w:val="0"/>
          <w:sz w:val="32"/>
          <w:szCs w:val="32"/>
        </w:rPr>
        <w:t>202</w:t>
      </w:r>
      <w:r>
        <w:rPr>
          <w:rFonts w:eastAsia="仿宋_GB2312"/>
          <w:color w:val="000000"/>
          <w:kern w:val="0"/>
          <w:sz w:val="32"/>
          <w:szCs w:val="32"/>
        </w:rPr>
        <w:t>3</w:t>
      </w:r>
      <w:r>
        <w:rPr>
          <w:rFonts w:eastAsia="仿宋_GB2312"/>
          <w:color w:val="000000"/>
          <w:kern w:val="0"/>
          <w:sz w:val="32"/>
          <w:szCs w:val="32"/>
        </w:rPr>
        <w:t>年</w:t>
      </w:r>
      <w:r>
        <w:rPr>
          <w:rFonts w:eastAsia="仿宋_GB2312"/>
          <w:color w:val="000000"/>
          <w:kern w:val="0"/>
          <w:sz w:val="32"/>
          <w:szCs w:val="32"/>
        </w:rPr>
        <w:t>增加</w:t>
      </w:r>
      <w:r>
        <w:rPr>
          <w:rFonts w:eastAsia="仿宋_GB2312"/>
          <w:color w:val="000000"/>
          <w:kern w:val="0"/>
          <w:sz w:val="32"/>
          <w:szCs w:val="32"/>
        </w:rPr>
        <w:t>505.2</w:t>
      </w:r>
      <w:r>
        <w:rPr>
          <w:rFonts w:eastAsia="仿宋_GB2312"/>
          <w:color w:val="000000"/>
          <w:kern w:val="0"/>
          <w:sz w:val="32"/>
          <w:szCs w:val="32"/>
        </w:rPr>
        <w:t>万元，</w:t>
      </w:r>
      <w:r>
        <w:rPr>
          <w:rFonts w:eastAsia="仿宋_GB2312"/>
          <w:color w:val="000000"/>
          <w:kern w:val="0"/>
          <w:sz w:val="32"/>
          <w:szCs w:val="32"/>
        </w:rPr>
        <w:t>增</w:t>
      </w:r>
      <w:r>
        <w:rPr>
          <w:rFonts w:eastAsia="仿宋_GB2312"/>
          <w:color w:val="000000"/>
          <w:kern w:val="0"/>
          <w:sz w:val="32"/>
          <w:szCs w:val="32"/>
        </w:rPr>
        <w:t>幅</w:t>
      </w:r>
      <w:r>
        <w:rPr>
          <w:rFonts w:eastAsia="仿宋_GB2312"/>
          <w:color w:val="000000"/>
          <w:kern w:val="0"/>
          <w:sz w:val="32"/>
          <w:szCs w:val="32"/>
        </w:rPr>
        <w:t>1.81</w:t>
      </w:r>
      <w:r>
        <w:rPr>
          <w:rFonts w:eastAsia="仿宋_GB2312"/>
          <w:color w:val="000000"/>
          <w:kern w:val="0"/>
          <w:sz w:val="32"/>
          <w:szCs w:val="32"/>
        </w:rPr>
        <w:t>%</w:t>
      </w:r>
      <w:r>
        <w:rPr>
          <w:rFonts w:eastAsia="仿宋_GB2312"/>
          <w:color w:val="000000"/>
          <w:kern w:val="0"/>
          <w:sz w:val="32"/>
          <w:szCs w:val="32"/>
        </w:rPr>
        <w:t>，主要是根据事业发展规划，调整增加部分项目支出，无超预算支出、资金浪费等现象。</w:t>
      </w:r>
    </w:p>
    <w:p w:rsidR="009C4651" w:rsidRDefault="0003357C">
      <w:pPr>
        <w:spacing w:line="560" w:lineRule="exact"/>
        <w:ind w:leftChars="50" w:left="105" w:firstLineChars="200" w:firstLine="640"/>
        <w:rPr>
          <w:rFonts w:eastAsia="楷体_GB2312"/>
          <w:sz w:val="32"/>
          <w:szCs w:val="32"/>
        </w:rPr>
      </w:pPr>
      <w:r>
        <w:rPr>
          <w:rFonts w:eastAsia="楷体_GB2312"/>
          <w:sz w:val="32"/>
          <w:szCs w:val="32"/>
        </w:rPr>
        <w:t>（二）效果实现情况分析</w:t>
      </w:r>
    </w:p>
    <w:p w:rsidR="009C4651" w:rsidRDefault="0003357C">
      <w:pPr>
        <w:spacing w:line="560" w:lineRule="exact"/>
        <w:ind w:leftChars="50" w:left="105" w:firstLineChars="150" w:firstLine="48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社会效益</w:t>
      </w:r>
    </w:p>
    <w:p w:rsidR="009C4651" w:rsidRDefault="0003357C">
      <w:pPr>
        <w:snapToGrid w:val="0"/>
        <w:spacing w:line="560" w:lineRule="exact"/>
        <w:ind w:firstLineChars="200" w:firstLine="640"/>
        <w:rPr>
          <w:rFonts w:eastAsia="仿宋_GB2312"/>
          <w:sz w:val="32"/>
          <w:szCs w:val="32"/>
        </w:rPr>
      </w:pPr>
      <w:r>
        <w:rPr>
          <w:rFonts w:eastAsia="仿宋_GB2312"/>
          <w:sz w:val="32"/>
          <w:szCs w:val="32"/>
        </w:rPr>
        <w:t>建设京津冀职教改革示范园区，探索</w:t>
      </w:r>
      <w:r>
        <w:rPr>
          <w:rFonts w:eastAsia="仿宋_GB2312"/>
          <w:sz w:val="32"/>
          <w:szCs w:val="32"/>
        </w:rPr>
        <w:t>“</w:t>
      </w:r>
      <w:r>
        <w:rPr>
          <w:rFonts w:eastAsia="仿宋_GB2312"/>
          <w:sz w:val="32"/>
          <w:szCs w:val="32"/>
        </w:rPr>
        <w:t>三制五全</w:t>
      </w:r>
      <w:r>
        <w:rPr>
          <w:rFonts w:eastAsia="仿宋_GB2312"/>
          <w:sz w:val="32"/>
          <w:szCs w:val="32"/>
        </w:rPr>
        <w:t>”</w:t>
      </w:r>
      <w:r>
        <w:rPr>
          <w:rFonts w:eastAsia="仿宋_GB2312"/>
          <w:sz w:val="32"/>
          <w:szCs w:val="32"/>
        </w:rPr>
        <w:t>育人特色。推动</w:t>
      </w:r>
      <w:r>
        <w:rPr>
          <w:rFonts w:eastAsia="仿宋_GB2312"/>
          <w:sz w:val="32"/>
          <w:szCs w:val="32"/>
        </w:rPr>
        <w:t>11</w:t>
      </w:r>
      <w:r>
        <w:rPr>
          <w:rFonts w:eastAsia="仿宋_GB2312"/>
          <w:sz w:val="32"/>
          <w:szCs w:val="32"/>
        </w:rPr>
        <w:t>个市域产教联合体和</w:t>
      </w:r>
      <w:r>
        <w:rPr>
          <w:rFonts w:eastAsia="仿宋_GB2312"/>
          <w:sz w:val="32"/>
          <w:szCs w:val="32"/>
        </w:rPr>
        <w:t>29</w:t>
      </w:r>
      <w:r>
        <w:rPr>
          <w:rFonts w:eastAsia="仿宋_GB2312"/>
          <w:sz w:val="32"/>
          <w:szCs w:val="32"/>
        </w:rPr>
        <w:t>个行业产教融合共同体建设</w:t>
      </w:r>
      <w:r>
        <w:rPr>
          <w:rFonts w:eastAsia="仿宋_GB2312"/>
          <w:sz w:val="32"/>
          <w:szCs w:val="32"/>
        </w:rPr>
        <w:t>。</w:t>
      </w:r>
      <w:r>
        <w:rPr>
          <w:rFonts w:eastAsia="仿宋_GB2312"/>
          <w:sz w:val="32"/>
          <w:szCs w:val="32"/>
        </w:rPr>
        <w:t>京蒙教育协作、京藏京疆京青教育对口支援取得新进展，</w:t>
      </w:r>
      <w:r>
        <w:rPr>
          <w:rFonts w:eastAsia="仿宋_GB2312"/>
          <w:sz w:val="32"/>
          <w:szCs w:val="32"/>
        </w:rPr>
        <w:t>“</w:t>
      </w:r>
      <w:r>
        <w:rPr>
          <w:rFonts w:eastAsia="仿宋_GB2312"/>
          <w:sz w:val="32"/>
          <w:szCs w:val="32"/>
        </w:rPr>
        <w:t>融铸式</w:t>
      </w:r>
      <w:r>
        <w:rPr>
          <w:rFonts w:eastAsia="仿宋_GB2312"/>
          <w:sz w:val="32"/>
          <w:szCs w:val="32"/>
        </w:rPr>
        <w:t>”</w:t>
      </w:r>
      <w:r>
        <w:rPr>
          <w:rFonts w:eastAsia="仿宋_GB2312"/>
          <w:sz w:val="32"/>
          <w:szCs w:val="32"/>
        </w:rPr>
        <w:t>铸牢中华民族共同体意识。</w:t>
      </w:r>
      <w:r>
        <w:rPr>
          <w:rFonts w:eastAsia="仿宋_GB2312"/>
          <w:sz w:val="32"/>
          <w:szCs w:val="32"/>
        </w:rPr>
        <w:t>高标准举办服贸会教育专题展，做强做优</w:t>
      </w:r>
      <w:r>
        <w:rPr>
          <w:rFonts w:eastAsia="仿宋_GB2312"/>
          <w:sz w:val="32"/>
          <w:szCs w:val="32"/>
        </w:rPr>
        <w:t>“</w:t>
      </w:r>
      <w:r>
        <w:rPr>
          <w:rFonts w:eastAsia="仿宋_GB2312"/>
          <w:sz w:val="32"/>
          <w:szCs w:val="32"/>
        </w:rPr>
        <w:t>留学北京</w:t>
      </w:r>
      <w:r>
        <w:rPr>
          <w:rFonts w:eastAsia="仿宋_GB2312"/>
          <w:sz w:val="32"/>
          <w:szCs w:val="32"/>
        </w:rPr>
        <w:t>”</w:t>
      </w:r>
      <w:r>
        <w:rPr>
          <w:rFonts w:eastAsia="仿宋_GB2312"/>
          <w:sz w:val="32"/>
          <w:szCs w:val="32"/>
        </w:rPr>
        <w:t>品牌。</w:t>
      </w:r>
      <w:r>
        <w:rPr>
          <w:rFonts w:eastAsia="仿宋_GB2312"/>
          <w:sz w:val="32"/>
          <w:szCs w:val="32"/>
        </w:rPr>
        <w:t>8</w:t>
      </w:r>
      <w:r>
        <w:rPr>
          <w:rFonts w:eastAsia="仿宋_GB2312"/>
          <w:sz w:val="32"/>
          <w:szCs w:val="32"/>
        </w:rPr>
        <w:t>月</w:t>
      </w:r>
      <w:r>
        <w:rPr>
          <w:rFonts w:eastAsia="仿宋_GB2312"/>
          <w:sz w:val="32"/>
          <w:szCs w:val="32"/>
        </w:rPr>
        <w:t>31</w:t>
      </w:r>
      <w:r>
        <w:rPr>
          <w:rFonts w:eastAsia="仿宋_GB2312"/>
          <w:sz w:val="32"/>
          <w:szCs w:val="32"/>
        </w:rPr>
        <w:t>日北京高校毕业生总体去向落实率超</w:t>
      </w:r>
      <w:r>
        <w:rPr>
          <w:rFonts w:eastAsia="仿宋_GB2312"/>
          <w:sz w:val="32"/>
          <w:szCs w:val="32"/>
        </w:rPr>
        <w:t>90%</w:t>
      </w:r>
      <w:r>
        <w:rPr>
          <w:rFonts w:eastAsia="仿宋_GB2312"/>
          <w:sz w:val="32"/>
          <w:szCs w:val="32"/>
        </w:rPr>
        <w:t>。</w:t>
      </w:r>
      <w:bookmarkStart w:id="0" w:name="_GoBack"/>
      <w:bookmarkEnd w:id="0"/>
    </w:p>
    <w:p w:rsidR="009C4651" w:rsidRDefault="0003357C">
      <w:pPr>
        <w:spacing w:line="560" w:lineRule="exact"/>
        <w:ind w:leftChars="50" w:left="105" w:firstLineChars="150" w:firstLine="48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环境效益</w:t>
      </w:r>
    </w:p>
    <w:p w:rsidR="009C4651" w:rsidRDefault="0003357C">
      <w:pPr>
        <w:spacing w:line="560" w:lineRule="exact"/>
        <w:ind w:leftChars="50" w:left="105" w:firstLineChars="150" w:firstLine="480"/>
        <w:rPr>
          <w:rFonts w:eastAsia="仿宋_GB2312"/>
          <w:sz w:val="32"/>
          <w:szCs w:val="32"/>
        </w:rPr>
      </w:pPr>
      <w:r>
        <w:rPr>
          <w:rFonts w:eastAsia="仿宋_GB2312"/>
          <w:sz w:val="32"/>
          <w:szCs w:val="32"/>
        </w:rPr>
        <w:t>扎实开展党纪学习教育，编发警示教育案例集，赴警示教育基地开展专题学习，推动全体党员干部受警醒、知敬畏。召开北京教育系统全面从严治党工作会暨警示教育大会，制作警示教育</w:t>
      </w:r>
      <w:r>
        <w:rPr>
          <w:rFonts w:eastAsia="仿宋_GB2312"/>
          <w:sz w:val="32"/>
          <w:szCs w:val="32"/>
        </w:rPr>
        <w:t>片，强化警示震慑。加强对市委巡视高校整改情况、医药领域腐败问题集中整治工作的督促指导，打造北京高校全面从严治党主体责任工作坊和巡察工作坊。政治巡察</w:t>
      </w:r>
      <w:r>
        <w:rPr>
          <w:rFonts w:eastAsia="仿宋_GB2312"/>
          <w:sz w:val="32"/>
          <w:szCs w:val="32"/>
        </w:rPr>
        <w:t>6</w:t>
      </w:r>
      <w:r>
        <w:rPr>
          <w:rFonts w:eastAsia="仿宋_GB2312"/>
          <w:sz w:val="32"/>
          <w:szCs w:val="32"/>
        </w:rPr>
        <w:t>家直属单位，纠治问题</w:t>
      </w:r>
      <w:r>
        <w:rPr>
          <w:rFonts w:eastAsia="仿宋_GB2312"/>
          <w:sz w:val="32"/>
          <w:szCs w:val="32"/>
        </w:rPr>
        <w:t>150</w:t>
      </w:r>
      <w:r>
        <w:rPr>
          <w:rFonts w:eastAsia="仿宋_GB2312"/>
          <w:sz w:val="32"/>
          <w:szCs w:val="32"/>
        </w:rPr>
        <w:t>余个。启动实施北京高校廉洁文化建设行动，一体推动党风政风、师德师风、校风学风。持续深化</w:t>
      </w:r>
      <w:r>
        <w:rPr>
          <w:rFonts w:eastAsia="仿宋_GB2312"/>
          <w:sz w:val="32"/>
          <w:szCs w:val="32"/>
        </w:rPr>
        <w:t>“</w:t>
      </w:r>
      <w:r>
        <w:rPr>
          <w:rFonts w:eastAsia="仿宋_GB2312"/>
          <w:sz w:val="32"/>
          <w:szCs w:val="32"/>
        </w:rPr>
        <w:t>接诉即办</w:t>
      </w:r>
      <w:r>
        <w:rPr>
          <w:rFonts w:eastAsia="仿宋_GB2312"/>
          <w:sz w:val="32"/>
          <w:szCs w:val="32"/>
        </w:rPr>
        <w:t>”</w:t>
      </w:r>
      <w:r>
        <w:rPr>
          <w:rFonts w:eastAsia="仿宋_GB2312"/>
          <w:sz w:val="32"/>
          <w:szCs w:val="32"/>
        </w:rPr>
        <w:t>，多元化解矛盾纠纷。深化信访问题源头治理三年攻坚行动，信访事项按期办结率达</w:t>
      </w:r>
      <w:r>
        <w:rPr>
          <w:rFonts w:eastAsia="仿宋_GB2312"/>
          <w:sz w:val="32"/>
          <w:szCs w:val="32"/>
        </w:rPr>
        <w:t>100%</w:t>
      </w:r>
      <w:r>
        <w:rPr>
          <w:rFonts w:eastAsia="仿宋_GB2312"/>
          <w:sz w:val="32"/>
          <w:szCs w:val="32"/>
        </w:rPr>
        <w:t>。在全市集中开展教育领域群众身边不正之风和腐败问题集中整治，围绕阳光招生、</w:t>
      </w:r>
      <w:r>
        <w:rPr>
          <w:rFonts w:eastAsia="仿宋_GB2312"/>
          <w:sz w:val="32"/>
          <w:szCs w:val="32"/>
        </w:rPr>
        <w:t>“</w:t>
      </w:r>
      <w:r>
        <w:rPr>
          <w:rFonts w:eastAsia="仿宋_GB2312"/>
          <w:sz w:val="32"/>
          <w:szCs w:val="32"/>
        </w:rPr>
        <w:t>双减</w:t>
      </w:r>
      <w:r>
        <w:rPr>
          <w:rFonts w:eastAsia="仿宋_GB2312"/>
          <w:sz w:val="32"/>
          <w:szCs w:val="32"/>
        </w:rPr>
        <w:t>”</w:t>
      </w:r>
      <w:r>
        <w:rPr>
          <w:rFonts w:eastAsia="仿宋_GB2312"/>
          <w:sz w:val="32"/>
          <w:szCs w:val="32"/>
        </w:rPr>
        <w:t>执行、</w:t>
      </w:r>
      <w:r>
        <w:rPr>
          <w:rFonts w:eastAsia="仿宋_GB2312"/>
          <w:sz w:val="32"/>
          <w:szCs w:val="32"/>
        </w:rPr>
        <w:t>“</w:t>
      </w:r>
      <w:r>
        <w:rPr>
          <w:rFonts w:eastAsia="仿宋_GB2312"/>
          <w:sz w:val="32"/>
          <w:szCs w:val="32"/>
        </w:rPr>
        <w:t>校园餐</w:t>
      </w:r>
      <w:r>
        <w:rPr>
          <w:rFonts w:eastAsia="仿宋_GB2312"/>
          <w:sz w:val="32"/>
          <w:szCs w:val="32"/>
        </w:rPr>
        <w:t>”</w:t>
      </w:r>
      <w:r>
        <w:rPr>
          <w:rFonts w:eastAsia="仿宋_GB2312"/>
          <w:sz w:val="32"/>
          <w:szCs w:val="32"/>
        </w:rPr>
        <w:t>质量等重点领域，严厉惩治</w:t>
      </w:r>
      <w:r>
        <w:rPr>
          <w:rFonts w:eastAsia="仿宋_GB2312"/>
          <w:sz w:val="32"/>
          <w:szCs w:val="32"/>
        </w:rPr>
        <w:t>破坏教育公平等突出</w:t>
      </w:r>
      <w:r>
        <w:rPr>
          <w:rFonts w:eastAsia="仿宋_GB2312"/>
          <w:sz w:val="32"/>
          <w:szCs w:val="32"/>
        </w:rPr>
        <w:t>问题。</w:t>
      </w:r>
    </w:p>
    <w:p w:rsidR="009C4651" w:rsidRDefault="0003357C">
      <w:pPr>
        <w:spacing w:line="560" w:lineRule="exact"/>
        <w:ind w:leftChars="50" w:left="105" w:firstLineChars="150" w:firstLine="480"/>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可持续性影响</w:t>
      </w:r>
    </w:p>
    <w:p w:rsidR="009C4651" w:rsidRDefault="0003357C">
      <w:pPr>
        <w:spacing w:line="560" w:lineRule="exact"/>
        <w:ind w:leftChars="50" w:left="105" w:firstLineChars="150" w:firstLine="480"/>
        <w:rPr>
          <w:rFonts w:eastAsia="仿宋_GB2312"/>
          <w:sz w:val="32"/>
          <w:szCs w:val="32"/>
        </w:rPr>
      </w:pPr>
      <w:r>
        <w:rPr>
          <w:rFonts w:eastAsia="仿宋_GB2312"/>
          <w:sz w:val="32"/>
          <w:szCs w:val="32"/>
        </w:rPr>
        <w:t>加强顶层设计和长远谋划，印发《市委教育工委、市教委贯彻落实市委〈实施意见〉重要改革举措分工方案》，研制《北京市贯彻〈教育强国建设规划纲要（</w:t>
      </w:r>
      <w:r>
        <w:rPr>
          <w:rFonts w:eastAsia="仿宋_GB2312"/>
          <w:sz w:val="32"/>
          <w:szCs w:val="32"/>
        </w:rPr>
        <w:t>2024</w:t>
      </w:r>
      <w:r>
        <w:rPr>
          <w:rFonts w:eastAsia="仿宋_GB2312"/>
          <w:sz w:val="32"/>
          <w:szCs w:val="32"/>
        </w:rPr>
        <w:t>年</w:t>
      </w:r>
      <w:r>
        <w:rPr>
          <w:rFonts w:eastAsia="仿宋_GB2312"/>
          <w:sz w:val="32"/>
          <w:szCs w:val="32"/>
        </w:rPr>
        <w:t>—2035</w:t>
      </w:r>
      <w:r>
        <w:rPr>
          <w:rFonts w:eastAsia="仿宋_GB2312"/>
          <w:sz w:val="32"/>
          <w:szCs w:val="32"/>
        </w:rPr>
        <w:t>年）〉的实施方案》《人口结构变化下的北京教育资源配置工作方案（</w:t>
      </w:r>
      <w:r>
        <w:rPr>
          <w:rFonts w:eastAsia="仿宋_GB2312"/>
          <w:sz w:val="32"/>
          <w:szCs w:val="32"/>
        </w:rPr>
        <w:t>2024—2028</w:t>
      </w:r>
      <w:r>
        <w:rPr>
          <w:rFonts w:eastAsia="仿宋_GB2312"/>
          <w:sz w:val="32"/>
          <w:szCs w:val="32"/>
        </w:rPr>
        <w:t>年）》。</w:t>
      </w:r>
      <w:r>
        <w:rPr>
          <w:rFonts w:eastAsia="仿宋_GB2312"/>
          <w:sz w:val="32"/>
          <w:szCs w:val="32"/>
        </w:rPr>
        <w:t>推进高等教育实践教学改革，加强产学研深度协同育人平台建设。打造中关村学院等新型人才培养和科研创新平台。</w:t>
      </w:r>
    </w:p>
    <w:p w:rsidR="009C4651" w:rsidRDefault="0003357C">
      <w:pPr>
        <w:spacing w:line="560" w:lineRule="exact"/>
        <w:ind w:leftChars="50" w:left="105" w:firstLineChars="150" w:firstLine="480"/>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服务对象满意度</w:t>
      </w:r>
    </w:p>
    <w:p w:rsidR="009C4651" w:rsidRDefault="0003357C">
      <w:pPr>
        <w:spacing w:line="560" w:lineRule="exact"/>
        <w:ind w:leftChars="50" w:left="105" w:firstLineChars="150" w:firstLine="480"/>
        <w:rPr>
          <w:rFonts w:eastAsia="仿宋_GB2312"/>
          <w:bCs/>
          <w:sz w:val="32"/>
          <w:szCs w:val="32"/>
        </w:rPr>
      </w:pPr>
      <w:r>
        <w:rPr>
          <w:rFonts w:eastAsia="仿宋_GB2312"/>
          <w:bCs/>
          <w:sz w:val="32"/>
          <w:szCs w:val="32"/>
        </w:rPr>
        <w:t>全力完成</w:t>
      </w:r>
      <w:r>
        <w:rPr>
          <w:rFonts w:eastAsia="仿宋_GB2312"/>
          <w:bCs/>
          <w:sz w:val="32"/>
          <w:szCs w:val="32"/>
        </w:rPr>
        <w:t>“</w:t>
      </w:r>
      <w:r>
        <w:rPr>
          <w:rFonts w:eastAsia="仿宋_GB2312"/>
          <w:bCs/>
          <w:sz w:val="32"/>
          <w:szCs w:val="32"/>
        </w:rPr>
        <w:t>七有</w:t>
      </w:r>
      <w:r>
        <w:rPr>
          <w:rFonts w:eastAsia="仿宋_GB2312"/>
          <w:bCs/>
          <w:sz w:val="32"/>
          <w:szCs w:val="32"/>
        </w:rPr>
        <w:t>”“</w:t>
      </w:r>
      <w:r>
        <w:rPr>
          <w:rFonts w:eastAsia="仿宋_GB2312"/>
          <w:bCs/>
          <w:sz w:val="32"/>
          <w:szCs w:val="32"/>
        </w:rPr>
        <w:t>五性</w:t>
      </w:r>
      <w:r>
        <w:rPr>
          <w:rFonts w:eastAsia="仿宋_GB2312"/>
          <w:bCs/>
          <w:sz w:val="32"/>
          <w:szCs w:val="32"/>
        </w:rPr>
        <w:t>”</w:t>
      </w:r>
      <w:r>
        <w:rPr>
          <w:rFonts w:eastAsia="仿宋_GB2312"/>
          <w:bCs/>
          <w:sz w:val="32"/>
          <w:szCs w:val="32"/>
        </w:rPr>
        <w:t>重</w:t>
      </w:r>
      <w:r>
        <w:rPr>
          <w:rFonts w:eastAsia="仿宋_GB2312"/>
          <w:bCs/>
          <w:sz w:val="32"/>
          <w:szCs w:val="32"/>
        </w:rPr>
        <w:t>要民生实事</w:t>
      </w:r>
      <w:r>
        <w:rPr>
          <w:rFonts w:eastAsia="仿宋_GB2312"/>
          <w:bCs/>
          <w:sz w:val="32"/>
          <w:szCs w:val="32"/>
        </w:rPr>
        <w:t>，</w:t>
      </w:r>
      <w:r>
        <w:rPr>
          <w:rFonts w:eastAsia="仿宋_GB2312"/>
          <w:bCs/>
          <w:sz w:val="32"/>
          <w:szCs w:val="32"/>
        </w:rPr>
        <w:t>提前超额完成</w:t>
      </w:r>
      <w:r>
        <w:rPr>
          <w:rFonts w:eastAsia="仿宋_GB2312"/>
          <w:bCs/>
          <w:sz w:val="32"/>
          <w:szCs w:val="32"/>
        </w:rPr>
        <w:t>2024</w:t>
      </w:r>
      <w:r>
        <w:rPr>
          <w:rFonts w:eastAsia="仿宋_GB2312"/>
          <w:bCs/>
          <w:sz w:val="32"/>
          <w:szCs w:val="32"/>
        </w:rPr>
        <w:t>年度</w:t>
      </w:r>
      <w:r>
        <w:rPr>
          <w:rFonts w:eastAsia="仿宋_GB2312"/>
          <w:bCs/>
          <w:sz w:val="32"/>
          <w:szCs w:val="32"/>
        </w:rPr>
        <w:t>“</w:t>
      </w:r>
      <w:r>
        <w:rPr>
          <w:rFonts w:eastAsia="仿宋_GB2312"/>
          <w:bCs/>
          <w:sz w:val="32"/>
          <w:szCs w:val="32"/>
        </w:rPr>
        <w:t>新增中小学学位</w:t>
      </w:r>
      <w:r>
        <w:rPr>
          <w:rFonts w:eastAsia="仿宋_GB2312"/>
          <w:bCs/>
          <w:sz w:val="32"/>
          <w:szCs w:val="32"/>
        </w:rPr>
        <w:t>2</w:t>
      </w:r>
      <w:r>
        <w:rPr>
          <w:rFonts w:eastAsia="仿宋_GB2312"/>
          <w:bCs/>
          <w:sz w:val="32"/>
          <w:szCs w:val="32"/>
        </w:rPr>
        <w:t>万个</w:t>
      </w:r>
      <w:r>
        <w:rPr>
          <w:rFonts w:eastAsia="仿宋_GB2312"/>
          <w:bCs/>
          <w:sz w:val="32"/>
          <w:szCs w:val="32"/>
        </w:rPr>
        <w:t>”</w:t>
      </w:r>
      <w:r>
        <w:rPr>
          <w:rFonts w:eastAsia="仿宋_GB2312"/>
          <w:bCs/>
          <w:sz w:val="32"/>
          <w:szCs w:val="32"/>
        </w:rPr>
        <w:t>重要民生实事任务。在城六区和通州区、大兴区等</w:t>
      </w:r>
      <w:r>
        <w:rPr>
          <w:rFonts w:eastAsia="仿宋_GB2312"/>
          <w:bCs/>
          <w:sz w:val="32"/>
          <w:szCs w:val="32"/>
        </w:rPr>
        <w:t>8</w:t>
      </w:r>
      <w:r>
        <w:rPr>
          <w:rFonts w:eastAsia="仿宋_GB2312"/>
          <w:bCs/>
          <w:sz w:val="32"/>
          <w:szCs w:val="32"/>
        </w:rPr>
        <w:t>个区持续开展通学公交服务，运行线路</w:t>
      </w:r>
      <w:r>
        <w:rPr>
          <w:rFonts w:eastAsia="仿宋_GB2312"/>
          <w:bCs/>
          <w:sz w:val="32"/>
          <w:szCs w:val="32"/>
        </w:rPr>
        <w:t>294</w:t>
      </w:r>
      <w:r>
        <w:rPr>
          <w:rFonts w:eastAsia="仿宋_GB2312"/>
          <w:bCs/>
          <w:sz w:val="32"/>
          <w:szCs w:val="32"/>
        </w:rPr>
        <w:t>条，服务学校</w:t>
      </w:r>
      <w:r>
        <w:rPr>
          <w:rFonts w:eastAsia="仿宋_GB2312"/>
          <w:bCs/>
          <w:sz w:val="32"/>
          <w:szCs w:val="32"/>
        </w:rPr>
        <w:t>113</w:t>
      </w:r>
      <w:r>
        <w:rPr>
          <w:rFonts w:eastAsia="仿宋_GB2312"/>
          <w:bCs/>
          <w:sz w:val="32"/>
          <w:szCs w:val="32"/>
        </w:rPr>
        <w:t>所，服务学生</w:t>
      </w:r>
      <w:r>
        <w:rPr>
          <w:rFonts w:eastAsia="仿宋_GB2312"/>
          <w:bCs/>
          <w:sz w:val="32"/>
          <w:szCs w:val="32"/>
        </w:rPr>
        <w:t>1.6</w:t>
      </w:r>
      <w:r>
        <w:rPr>
          <w:rFonts w:eastAsia="仿宋_GB2312"/>
          <w:bCs/>
          <w:sz w:val="32"/>
          <w:szCs w:val="32"/>
        </w:rPr>
        <w:t>万余人。促进毕业生高质量就业，落实</w:t>
      </w:r>
      <w:r>
        <w:rPr>
          <w:rFonts w:eastAsia="仿宋_GB2312"/>
          <w:bCs/>
          <w:sz w:val="32"/>
          <w:szCs w:val="32"/>
        </w:rPr>
        <w:t>“</w:t>
      </w:r>
      <w:r>
        <w:rPr>
          <w:rFonts w:eastAsia="仿宋_GB2312"/>
          <w:bCs/>
          <w:sz w:val="32"/>
          <w:szCs w:val="32"/>
        </w:rPr>
        <w:t>访企拓岗促就业</w:t>
      </w:r>
      <w:r>
        <w:rPr>
          <w:rFonts w:eastAsia="仿宋_GB2312"/>
          <w:bCs/>
          <w:sz w:val="32"/>
          <w:szCs w:val="32"/>
        </w:rPr>
        <w:t>”</w:t>
      </w:r>
      <w:r>
        <w:rPr>
          <w:rFonts w:eastAsia="仿宋_GB2312"/>
          <w:bCs/>
          <w:sz w:val="32"/>
          <w:szCs w:val="32"/>
        </w:rPr>
        <w:t>专项行动，实施重点群体兜底帮扶。优化调整义务教育学校课间为</w:t>
      </w:r>
      <w:r>
        <w:rPr>
          <w:rFonts w:eastAsia="仿宋_GB2312"/>
          <w:bCs/>
          <w:sz w:val="32"/>
          <w:szCs w:val="32"/>
        </w:rPr>
        <w:t>15</w:t>
      </w:r>
      <w:r>
        <w:rPr>
          <w:rFonts w:eastAsia="仿宋_GB2312"/>
          <w:bCs/>
          <w:sz w:val="32"/>
          <w:szCs w:val="32"/>
        </w:rPr>
        <w:t>分钟，推动教师参与课间活动，首批</w:t>
      </w:r>
      <w:r>
        <w:rPr>
          <w:rFonts w:eastAsia="仿宋_GB2312"/>
          <w:bCs/>
          <w:sz w:val="32"/>
          <w:szCs w:val="32"/>
        </w:rPr>
        <w:t>21</w:t>
      </w:r>
      <w:r>
        <w:rPr>
          <w:rFonts w:eastAsia="仿宋_GB2312"/>
          <w:bCs/>
          <w:sz w:val="32"/>
          <w:szCs w:val="32"/>
        </w:rPr>
        <w:t>台智能机器人进驻学校试点支持课间管理应用，超</w:t>
      </w:r>
      <w:r>
        <w:rPr>
          <w:rFonts w:eastAsia="仿宋_GB2312"/>
          <w:bCs/>
          <w:sz w:val="32"/>
          <w:szCs w:val="32"/>
        </w:rPr>
        <w:t>94%</w:t>
      </w:r>
      <w:r>
        <w:rPr>
          <w:rFonts w:eastAsia="仿宋_GB2312"/>
          <w:bCs/>
          <w:sz w:val="32"/>
          <w:szCs w:val="32"/>
        </w:rPr>
        <w:t>的学生给予好评。</w:t>
      </w:r>
    </w:p>
    <w:p w:rsidR="009C4651" w:rsidRDefault="0003357C">
      <w:pPr>
        <w:spacing w:line="560" w:lineRule="exact"/>
        <w:ind w:leftChars="50" w:left="105" w:firstLineChars="150" w:firstLine="480"/>
        <w:rPr>
          <w:rFonts w:eastAsia="黑体"/>
          <w:color w:val="000000"/>
          <w:kern w:val="0"/>
          <w:sz w:val="32"/>
          <w:szCs w:val="32"/>
        </w:rPr>
      </w:pPr>
      <w:r>
        <w:rPr>
          <w:rFonts w:eastAsia="黑体"/>
          <w:color w:val="000000"/>
          <w:kern w:val="0"/>
          <w:sz w:val="32"/>
          <w:szCs w:val="32"/>
        </w:rPr>
        <w:t>四、预算管理情况分析</w:t>
      </w:r>
    </w:p>
    <w:p w:rsidR="009C4651" w:rsidRDefault="0003357C">
      <w:pPr>
        <w:spacing w:line="560" w:lineRule="exact"/>
        <w:ind w:leftChars="50" w:left="105" w:firstLineChars="150" w:firstLine="480"/>
        <w:rPr>
          <w:rFonts w:eastAsia="楷体_GB2312"/>
          <w:sz w:val="32"/>
          <w:szCs w:val="32"/>
        </w:rPr>
      </w:pPr>
      <w:r>
        <w:rPr>
          <w:rFonts w:eastAsia="楷体_GB2312"/>
          <w:sz w:val="32"/>
          <w:szCs w:val="32"/>
        </w:rPr>
        <w:t>（一）财务管理</w:t>
      </w:r>
    </w:p>
    <w:p w:rsidR="009C4651" w:rsidRDefault="0003357C">
      <w:pPr>
        <w:spacing w:line="560" w:lineRule="exact"/>
        <w:ind w:leftChars="50" w:left="105" w:firstLineChars="150" w:firstLine="48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财务管理制度健全性</w:t>
      </w:r>
    </w:p>
    <w:p w:rsidR="009C4651" w:rsidRDefault="0003357C">
      <w:pPr>
        <w:snapToGrid w:val="0"/>
        <w:spacing w:line="560" w:lineRule="exact"/>
        <w:ind w:firstLineChars="200" w:firstLine="640"/>
        <w:rPr>
          <w:rFonts w:eastAsia="仿宋_GB2312"/>
          <w:sz w:val="32"/>
          <w:szCs w:val="32"/>
        </w:rPr>
      </w:pPr>
      <w:r>
        <w:rPr>
          <w:rFonts w:eastAsia="仿宋_GB2312"/>
          <w:color w:val="000000"/>
          <w:kern w:val="0"/>
          <w:sz w:val="32"/>
          <w:szCs w:val="32"/>
        </w:rPr>
        <w:t>进一步提高市委教育工委财务管理的规范性、科学性，完善单位内部控制管理体系，制定《市委教育工委预算管理办法（试行）》、《市委教育工委合同管理办法（试行）》</w:t>
      </w:r>
      <w:r>
        <w:rPr>
          <w:rFonts w:eastAsia="仿宋_GB2312"/>
          <w:color w:val="000000"/>
          <w:kern w:val="0"/>
          <w:sz w:val="32"/>
          <w:szCs w:val="32"/>
        </w:rPr>
        <w:t>，</w:t>
      </w:r>
      <w:r>
        <w:rPr>
          <w:rFonts w:eastAsia="仿宋_GB2312"/>
          <w:color w:val="000000"/>
          <w:kern w:val="0"/>
          <w:sz w:val="32"/>
          <w:szCs w:val="32"/>
        </w:rPr>
        <w:t>修订《市委教育工委财务工作管理办法》、《市委教育工委财务工作领导小组工作规则》、《市委教育工委政府采购管理办法》、《市委教育工委固定资产管理办法》。</w:t>
      </w:r>
    </w:p>
    <w:p w:rsidR="009C4651" w:rsidRDefault="0003357C">
      <w:pPr>
        <w:spacing w:line="560" w:lineRule="exact"/>
        <w:ind w:leftChars="50" w:left="105" w:firstLineChars="150" w:firstLine="48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资金使用合规性和安全性</w:t>
      </w:r>
    </w:p>
    <w:p w:rsidR="009C4651" w:rsidRDefault="0003357C">
      <w:pPr>
        <w:spacing w:line="560" w:lineRule="exact"/>
        <w:ind w:leftChars="50" w:left="105" w:firstLineChars="200" w:firstLine="640"/>
        <w:rPr>
          <w:rFonts w:eastAsia="仿宋_GB2312"/>
          <w:color w:val="000000"/>
          <w:kern w:val="0"/>
          <w:sz w:val="32"/>
          <w:szCs w:val="32"/>
        </w:rPr>
      </w:pPr>
      <w:r>
        <w:rPr>
          <w:rFonts w:eastAsia="仿宋_GB2312"/>
          <w:color w:val="000000"/>
          <w:kern w:val="0"/>
          <w:sz w:val="32"/>
          <w:szCs w:val="32"/>
        </w:rPr>
        <w:t>持续强化预算管理</w:t>
      </w:r>
      <w:r>
        <w:rPr>
          <w:rFonts w:eastAsia="仿宋_GB2312"/>
          <w:color w:val="000000"/>
          <w:kern w:val="0"/>
          <w:sz w:val="32"/>
          <w:szCs w:val="32"/>
        </w:rPr>
        <w:t>，</w:t>
      </w:r>
      <w:r>
        <w:rPr>
          <w:rFonts w:eastAsia="仿宋_GB2312"/>
          <w:color w:val="000000"/>
          <w:kern w:val="0"/>
          <w:sz w:val="32"/>
          <w:szCs w:val="32"/>
        </w:rPr>
        <w:t>进一步优化项目分类，结合预算执行实际开展专题研究分析，制定完善项目经费管理办法，强化预算执行刚性，严格审核经费支出，不断提高预算的科学性、精准性和执行率</w:t>
      </w:r>
      <w:r>
        <w:rPr>
          <w:rFonts w:eastAsia="仿宋_GB2312"/>
          <w:color w:val="000000"/>
          <w:kern w:val="0"/>
          <w:sz w:val="32"/>
          <w:szCs w:val="32"/>
        </w:rPr>
        <w:t>，</w:t>
      </w:r>
      <w:r>
        <w:rPr>
          <w:rFonts w:eastAsia="仿宋_GB2312"/>
          <w:color w:val="000000"/>
          <w:kern w:val="0"/>
          <w:sz w:val="32"/>
          <w:szCs w:val="32"/>
        </w:rPr>
        <w:t>确保各项资金安全规范有效使用。</w:t>
      </w:r>
    </w:p>
    <w:p w:rsidR="009C4651" w:rsidRDefault="0003357C">
      <w:pPr>
        <w:spacing w:line="560" w:lineRule="exact"/>
        <w:ind w:leftChars="50" w:left="105" w:firstLineChars="150" w:firstLine="480"/>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会计基础信息完善性</w:t>
      </w:r>
    </w:p>
    <w:p w:rsidR="009C4651" w:rsidRDefault="0003357C">
      <w:pPr>
        <w:spacing w:line="560" w:lineRule="exact"/>
        <w:ind w:leftChars="50" w:left="105" w:firstLineChars="200" w:firstLine="640"/>
        <w:rPr>
          <w:rFonts w:eastAsia="仿宋_GB2312"/>
          <w:color w:val="000000"/>
          <w:kern w:val="0"/>
          <w:sz w:val="32"/>
          <w:szCs w:val="32"/>
        </w:rPr>
      </w:pPr>
      <w:r>
        <w:rPr>
          <w:rFonts w:eastAsia="仿宋_GB2312"/>
          <w:color w:val="000000"/>
          <w:kern w:val="0"/>
          <w:sz w:val="32"/>
          <w:szCs w:val="32"/>
        </w:rPr>
        <w:t>加强会计基础工作，确保会计信息的真实性、准确性和完整性，提高会计信息质量。</w:t>
      </w:r>
      <w:r>
        <w:rPr>
          <w:rFonts w:eastAsia="仿宋_GB2312"/>
          <w:color w:val="000000"/>
          <w:kern w:val="0"/>
          <w:sz w:val="32"/>
          <w:szCs w:val="32"/>
        </w:rPr>
        <w:t>组织</w:t>
      </w:r>
      <w:r>
        <w:rPr>
          <w:rFonts w:eastAsia="仿宋_GB2312"/>
          <w:color w:val="000000"/>
          <w:kern w:val="0"/>
          <w:sz w:val="32"/>
          <w:szCs w:val="32"/>
        </w:rPr>
        <w:t>往来款项清理</w:t>
      </w:r>
      <w:r>
        <w:rPr>
          <w:rFonts w:eastAsia="仿宋_GB2312"/>
          <w:color w:val="000000"/>
          <w:kern w:val="0"/>
          <w:sz w:val="32"/>
          <w:szCs w:val="32"/>
        </w:rPr>
        <w:t>，</w:t>
      </w:r>
      <w:r>
        <w:rPr>
          <w:rFonts w:eastAsia="仿宋_GB2312"/>
          <w:color w:val="000000"/>
          <w:kern w:val="0"/>
          <w:sz w:val="32"/>
          <w:szCs w:val="32"/>
        </w:rPr>
        <w:t>解决</w:t>
      </w:r>
      <w:r>
        <w:rPr>
          <w:rFonts w:eastAsia="仿宋_GB2312"/>
          <w:color w:val="000000"/>
          <w:kern w:val="0"/>
          <w:sz w:val="32"/>
          <w:szCs w:val="32"/>
        </w:rPr>
        <w:t>历史遗留</w:t>
      </w:r>
      <w:r>
        <w:rPr>
          <w:rFonts w:eastAsia="仿宋_GB2312"/>
          <w:color w:val="000000"/>
          <w:kern w:val="0"/>
          <w:sz w:val="32"/>
          <w:szCs w:val="32"/>
        </w:rPr>
        <w:t>问题</w:t>
      </w:r>
      <w:r>
        <w:rPr>
          <w:rFonts w:eastAsia="仿宋_GB2312"/>
          <w:color w:val="000000"/>
          <w:kern w:val="0"/>
          <w:sz w:val="32"/>
          <w:szCs w:val="32"/>
        </w:rPr>
        <w:t>，</w:t>
      </w:r>
      <w:r>
        <w:rPr>
          <w:rFonts w:eastAsia="仿宋_GB2312"/>
          <w:color w:val="000000"/>
          <w:kern w:val="0"/>
          <w:sz w:val="32"/>
          <w:szCs w:val="32"/>
        </w:rPr>
        <w:t>盘活</w:t>
      </w:r>
      <w:r>
        <w:rPr>
          <w:rFonts w:eastAsia="仿宋_GB2312"/>
          <w:color w:val="000000"/>
          <w:kern w:val="0"/>
          <w:sz w:val="32"/>
          <w:szCs w:val="32"/>
        </w:rPr>
        <w:t>存量资金</w:t>
      </w:r>
      <w:r>
        <w:rPr>
          <w:rFonts w:eastAsia="仿宋_GB2312"/>
          <w:color w:val="000000"/>
          <w:kern w:val="0"/>
          <w:sz w:val="32"/>
          <w:szCs w:val="32"/>
        </w:rPr>
        <w:t>，不断提高财务基础工作的水平。</w:t>
      </w:r>
    </w:p>
    <w:p w:rsidR="009C4651" w:rsidRDefault="0003357C">
      <w:pPr>
        <w:spacing w:line="560" w:lineRule="exact"/>
        <w:ind w:leftChars="50" w:left="105" w:firstLineChars="150" w:firstLine="480"/>
        <w:rPr>
          <w:rFonts w:eastAsia="楷体_GB2312"/>
          <w:sz w:val="32"/>
          <w:szCs w:val="32"/>
        </w:rPr>
      </w:pPr>
      <w:r>
        <w:rPr>
          <w:rFonts w:eastAsia="楷体_GB2312"/>
          <w:sz w:val="32"/>
          <w:szCs w:val="32"/>
        </w:rPr>
        <w:t>（二）资产管理</w:t>
      </w:r>
    </w:p>
    <w:p w:rsidR="009C4651" w:rsidRDefault="0003357C">
      <w:pPr>
        <w:spacing w:line="560" w:lineRule="exact"/>
        <w:ind w:leftChars="50" w:left="105" w:firstLineChars="200" w:firstLine="640"/>
        <w:rPr>
          <w:rFonts w:eastAsia="楷体_GB2312"/>
          <w:sz w:val="32"/>
          <w:szCs w:val="32"/>
        </w:rPr>
      </w:pPr>
      <w:r>
        <w:rPr>
          <w:rFonts w:eastAsia="仿宋_GB2312"/>
          <w:color w:val="000000"/>
          <w:sz w:val="32"/>
          <w:szCs w:val="32"/>
        </w:rPr>
        <w:t>严格执行《市委教育工委固定资产管理办法》，严格资产配置的审批程序，坚持资产配置与部门履行职能需要相适应，坚持资产管理与预算管理相结合。定期开展资产清查盘点，充分了解掌握资产现状，根据存量提出资产配置方案，能通过资产调剂解决的，原则上不重新购置，盘活了存量资产，提高了资产使用效益。</w:t>
      </w:r>
    </w:p>
    <w:p w:rsidR="009C4651" w:rsidRDefault="0003357C">
      <w:pPr>
        <w:spacing w:line="560" w:lineRule="exact"/>
        <w:ind w:leftChars="50" w:left="105" w:firstLineChars="150" w:firstLine="480"/>
        <w:rPr>
          <w:rFonts w:eastAsia="楷体_GB2312"/>
          <w:sz w:val="32"/>
          <w:szCs w:val="32"/>
        </w:rPr>
      </w:pPr>
      <w:r>
        <w:rPr>
          <w:rFonts w:eastAsia="楷体_GB2312"/>
          <w:sz w:val="32"/>
          <w:szCs w:val="32"/>
        </w:rPr>
        <w:t>（三）绩效管理</w:t>
      </w:r>
    </w:p>
    <w:p w:rsidR="009C4651" w:rsidRDefault="0003357C">
      <w:pPr>
        <w:spacing w:line="560" w:lineRule="exact"/>
        <w:ind w:leftChars="50" w:left="105" w:firstLineChars="150" w:firstLine="480"/>
        <w:rPr>
          <w:rFonts w:eastAsia="仿宋_GB2312"/>
          <w:sz w:val="32"/>
          <w:szCs w:val="32"/>
        </w:rPr>
      </w:pPr>
      <w:r>
        <w:rPr>
          <w:rFonts w:eastAsia="仿宋_GB2312"/>
          <w:sz w:val="32"/>
          <w:szCs w:val="32"/>
        </w:rPr>
        <w:t>将绩效理念深度融入预算编制、执行、监督全过程，坚持</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，规范年初预算项目绩效目标填报，新增项目严格开展事前绩效评估。印发《市委教育工委关于做好</w:t>
      </w:r>
      <w:r>
        <w:rPr>
          <w:rFonts w:eastAsia="仿宋_GB2312"/>
          <w:sz w:val="32"/>
          <w:szCs w:val="32"/>
        </w:rPr>
        <w:t>2025</w:t>
      </w:r>
      <w:r>
        <w:rPr>
          <w:rFonts w:eastAsia="仿宋_GB2312"/>
          <w:sz w:val="32"/>
          <w:szCs w:val="32"/>
        </w:rPr>
        <w:t>年预算绩效管理工作的通知》，明确工作内容和</w:t>
      </w:r>
      <w:r>
        <w:rPr>
          <w:rFonts w:eastAsia="仿宋_GB2312"/>
          <w:sz w:val="32"/>
          <w:szCs w:val="32"/>
        </w:rPr>
        <w:t>职责分工，组织各处室稳步做好项目支出绩效自评、重点项目绩效评价、部门整体绩效评价等工作</w:t>
      </w:r>
      <w:r>
        <w:rPr>
          <w:rFonts w:eastAsia="仿宋_GB2312"/>
          <w:sz w:val="32"/>
          <w:szCs w:val="32"/>
        </w:rPr>
        <w:t>。</w:t>
      </w:r>
      <w:r>
        <w:rPr>
          <w:rFonts w:eastAsia="仿宋_GB2312"/>
          <w:sz w:val="32"/>
          <w:szCs w:val="32"/>
        </w:rPr>
        <w:t>继续选择典型项目开展成本绩效分析，全面衡量项目投入成本和产出绩效，完善本部门支出标准体系。</w:t>
      </w:r>
    </w:p>
    <w:p w:rsidR="009C4651" w:rsidRDefault="0003357C">
      <w:pPr>
        <w:spacing w:line="560" w:lineRule="exact"/>
        <w:ind w:leftChars="50" w:left="105" w:firstLineChars="150" w:firstLine="480"/>
        <w:rPr>
          <w:rFonts w:eastAsia="楷体_GB2312"/>
          <w:sz w:val="32"/>
          <w:szCs w:val="32"/>
        </w:rPr>
      </w:pPr>
      <w:r>
        <w:rPr>
          <w:rFonts w:eastAsia="楷体_GB2312"/>
          <w:sz w:val="32"/>
          <w:szCs w:val="32"/>
        </w:rPr>
        <w:t>（四）结转结余率</w:t>
      </w:r>
    </w:p>
    <w:p w:rsidR="009C4651" w:rsidRDefault="0003357C">
      <w:pPr>
        <w:snapToGrid w:val="0"/>
        <w:spacing w:line="560" w:lineRule="exact"/>
        <w:ind w:firstLineChars="200" w:firstLine="640"/>
        <w:rPr>
          <w:rFonts w:eastAsia="仿宋_GB2312"/>
          <w:sz w:val="32"/>
          <w:szCs w:val="32"/>
        </w:rPr>
      </w:pPr>
      <w:r>
        <w:rPr>
          <w:rFonts w:eastAsia="仿宋_GB2312"/>
          <w:sz w:val="32"/>
          <w:szCs w:val="32"/>
        </w:rPr>
        <w:t>202</w:t>
      </w:r>
      <w:r>
        <w:rPr>
          <w:rFonts w:eastAsia="仿宋_GB2312"/>
          <w:sz w:val="32"/>
          <w:szCs w:val="32"/>
        </w:rPr>
        <w:t>4</w:t>
      </w:r>
      <w:r>
        <w:rPr>
          <w:rFonts w:eastAsia="仿宋_GB2312"/>
          <w:sz w:val="32"/>
          <w:szCs w:val="32"/>
        </w:rPr>
        <w:t>年末总结转结余</w:t>
      </w:r>
      <w:r>
        <w:rPr>
          <w:rFonts w:eastAsia="仿宋_GB2312"/>
          <w:sz w:val="32"/>
          <w:szCs w:val="32"/>
        </w:rPr>
        <w:t>资金</w:t>
      </w:r>
      <w:r>
        <w:rPr>
          <w:rFonts w:eastAsia="仿宋_GB2312"/>
          <w:sz w:val="32"/>
          <w:szCs w:val="32"/>
        </w:rPr>
        <w:t>946.36</w:t>
      </w:r>
      <w:r>
        <w:rPr>
          <w:rFonts w:eastAsia="仿宋_GB2312"/>
          <w:sz w:val="32"/>
          <w:szCs w:val="32"/>
        </w:rPr>
        <w:t>万元，结</w:t>
      </w:r>
      <w:r>
        <w:rPr>
          <w:rFonts w:eastAsia="仿宋_GB2312"/>
          <w:sz w:val="32"/>
          <w:szCs w:val="32"/>
        </w:rPr>
        <w:t>转结余率为</w:t>
      </w:r>
      <w:r>
        <w:rPr>
          <w:rFonts w:eastAsia="仿宋_GB2312"/>
          <w:sz w:val="32"/>
          <w:szCs w:val="32"/>
        </w:rPr>
        <w:t>3.22</w:t>
      </w:r>
      <w:r>
        <w:rPr>
          <w:rFonts w:eastAsia="仿宋_GB2312"/>
          <w:sz w:val="32"/>
          <w:szCs w:val="32"/>
        </w:rPr>
        <w:t>%</w:t>
      </w:r>
      <w:r>
        <w:rPr>
          <w:rFonts w:eastAsia="仿宋_GB2312"/>
          <w:sz w:val="32"/>
          <w:szCs w:val="32"/>
        </w:rPr>
        <w:t>，按照资金来源划分，其中：一般公共预算财政拨款结转结余</w:t>
      </w:r>
      <w:r>
        <w:rPr>
          <w:rFonts w:eastAsia="仿宋_GB2312"/>
          <w:sz w:val="32"/>
          <w:szCs w:val="32"/>
        </w:rPr>
        <w:t>583.31</w:t>
      </w:r>
      <w:r>
        <w:rPr>
          <w:rFonts w:eastAsia="仿宋_GB2312"/>
          <w:sz w:val="32"/>
          <w:szCs w:val="32"/>
        </w:rPr>
        <w:t>万元，包括基本支出结转</w:t>
      </w:r>
      <w:r>
        <w:rPr>
          <w:rFonts w:eastAsia="仿宋_GB2312"/>
          <w:sz w:val="32"/>
          <w:szCs w:val="32"/>
        </w:rPr>
        <w:t>210.31</w:t>
      </w:r>
      <w:r>
        <w:rPr>
          <w:rFonts w:eastAsia="仿宋_GB2312"/>
          <w:sz w:val="32"/>
          <w:szCs w:val="32"/>
        </w:rPr>
        <w:t>万元，项目支出结余</w:t>
      </w:r>
      <w:r>
        <w:rPr>
          <w:rFonts w:eastAsia="仿宋_GB2312"/>
          <w:sz w:val="32"/>
          <w:szCs w:val="32"/>
        </w:rPr>
        <w:t>373</w:t>
      </w:r>
      <w:r>
        <w:rPr>
          <w:rFonts w:eastAsia="仿宋_GB2312"/>
          <w:sz w:val="32"/>
          <w:szCs w:val="32"/>
        </w:rPr>
        <w:t>万元，主要是因任务条件发生变化个别项目未安排支出导致的经费结余</w:t>
      </w:r>
      <w:r>
        <w:rPr>
          <w:rFonts w:eastAsia="仿宋_GB2312"/>
          <w:sz w:val="32"/>
          <w:szCs w:val="32"/>
        </w:rPr>
        <w:t>；其他收入</w:t>
      </w:r>
      <w:r>
        <w:rPr>
          <w:rFonts w:eastAsia="仿宋_GB2312"/>
          <w:sz w:val="32"/>
          <w:szCs w:val="32"/>
        </w:rPr>
        <w:t>结转结余</w:t>
      </w:r>
      <w:r>
        <w:rPr>
          <w:rFonts w:eastAsia="仿宋_GB2312"/>
          <w:sz w:val="32"/>
          <w:szCs w:val="32"/>
        </w:rPr>
        <w:t>363.05</w:t>
      </w:r>
      <w:r>
        <w:rPr>
          <w:rFonts w:eastAsia="仿宋_GB2312"/>
          <w:sz w:val="32"/>
          <w:szCs w:val="32"/>
        </w:rPr>
        <w:t>万元，为历年</w:t>
      </w:r>
      <w:r>
        <w:rPr>
          <w:rFonts w:eastAsia="仿宋_GB2312"/>
          <w:sz w:val="32"/>
          <w:szCs w:val="32"/>
        </w:rPr>
        <w:t>非财政拨款收入</w:t>
      </w:r>
      <w:r>
        <w:rPr>
          <w:rFonts w:eastAsia="仿宋_GB2312"/>
          <w:sz w:val="32"/>
          <w:szCs w:val="32"/>
        </w:rPr>
        <w:t>滚存收</w:t>
      </w:r>
      <w:r>
        <w:rPr>
          <w:rFonts w:eastAsia="仿宋_GB2312"/>
          <w:sz w:val="32"/>
          <w:szCs w:val="32"/>
        </w:rPr>
        <w:t>支结转。</w:t>
      </w:r>
    </w:p>
    <w:p w:rsidR="009C4651" w:rsidRDefault="0003357C">
      <w:pPr>
        <w:spacing w:line="560" w:lineRule="exact"/>
        <w:ind w:leftChars="50" w:left="105" w:firstLineChars="150" w:firstLine="480"/>
        <w:rPr>
          <w:rFonts w:eastAsia="楷体_GB2312"/>
          <w:sz w:val="32"/>
          <w:szCs w:val="32"/>
        </w:rPr>
      </w:pPr>
      <w:r>
        <w:rPr>
          <w:rFonts w:eastAsia="楷体_GB2312"/>
          <w:sz w:val="32"/>
          <w:szCs w:val="32"/>
        </w:rPr>
        <w:t>（五）部门预决算差异率</w:t>
      </w:r>
    </w:p>
    <w:p w:rsidR="009C4651" w:rsidRDefault="0003357C">
      <w:pPr>
        <w:snapToGrid w:val="0"/>
        <w:spacing w:line="560" w:lineRule="exact"/>
        <w:ind w:firstLineChars="200" w:firstLine="640"/>
        <w:rPr>
          <w:rFonts w:eastAsia="仿宋_GB2312"/>
          <w:sz w:val="32"/>
          <w:szCs w:val="32"/>
        </w:rPr>
      </w:pPr>
      <w:r>
        <w:rPr>
          <w:rFonts w:eastAsia="仿宋_GB2312"/>
          <w:sz w:val="32"/>
          <w:szCs w:val="32"/>
        </w:rPr>
        <w:t>202</w:t>
      </w:r>
      <w:r>
        <w:rPr>
          <w:rFonts w:eastAsia="仿宋_GB2312"/>
          <w:sz w:val="32"/>
          <w:szCs w:val="32"/>
        </w:rPr>
        <w:t>4</w:t>
      </w:r>
      <w:r>
        <w:rPr>
          <w:rFonts w:eastAsia="仿宋_GB2312"/>
          <w:sz w:val="32"/>
          <w:szCs w:val="32"/>
        </w:rPr>
        <w:t>年支出决算数为</w:t>
      </w:r>
      <w:r>
        <w:rPr>
          <w:rFonts w:eastAsia="仿宋_GB2312"/>
          <w:sz w:val="32"/>
          <w:szCs w:val="32"/>
        </w:rPr>
        <w:t>28422.41</w:t>
      </w:r>
      <w:r>
        <w:rPr>
          <w:rFonts w:eastAsia="仿宋_GB2312"/>
          <w:sz w:val="32"/>
          <w:szCs w:val="32"/>
        </w:rPr>
        <w:t>万元，年初预算数为</w:t>
      </w:r>
      <w:r>
        <w:rPr>
          <w:rFonts w:eastAsia="仿宋_GB2312"/>
          <w:sz w:val="32"/>
          <w:szCs w:val="32"/>
        </w:rPr>
        <w:t>31866.63</w:t>
      </w:r>
      <w:r>
        <w:rPr>
          <w:rFonts w:eastAsia="仿宋_GB2312"/>
          <w:sz w:val="32"/>
          <w:szCs w:val="32"/>
        </w:rPr>
        <w:t>万元，支出决算数比年初预算数少</w:t>
      </w:r>
      <w:r>
        <w:rPr>
          <w:rFonts w:eastAsia="仿宋_GB2312"/>
          <w:sz w:val="32"/>
          <w:szCs w:val="32"/>
        </w:rPr>
        <w:t>3444.22</w:t>
      </w:r>
      <w:r>
        <w:rPr>
          <w:rFonts w:eastAsia="仿宋_GB2312"/>
          <w:sz w:val="32"/>
          <w:szCs w:val="32"/>
        </w:rPr>
        <w:t>万元，差异率为</w:t>
      </w:r>
      <w:r>
        <w:rPr>
          <w:rFonts w:eastAsia="仿宋_GB2312"/>
          <w:sz w:val="32"/>
          <w:szCs w:val="32"/>
        </w:rPr>
        <w:t>10.81</w:t>
      </w:r>
      <w:r>
        <w:rPr>
          <w:rFonts w:eastAsia="仿宋_GB2312"/>
          <w:sz w:val="32"/>
          <w:szCs w:val="32"/>
        </w:rPr>
        <w:t>%</w:t>
      </w:r>
      <w:r>
        <w:rPr>
          <w:rFonts w:eastAsia="仿宋_GB2312"/>
          <w:sz w:val="32"/>
          <w:szCs w:val="32"/>
        </w:rPr>
        <w:t>。其中，基本支出年初预算数为</w:t>
      </w:r>
      <w:r>
        <w:rPr>
          <w:rFonts w:eastAsia="仿宋_GB2312"/>
          <w:sz w:val="32"/>
          <w:szCs w:val="32"/>
        </w:rPr>
        <w:t>5638.5</w:t>
      </w:r>
      <w:r>
        <w:rPr>
          <w:rFonts w:eastAsia="仿宋_GB2312"/>
          <w:sz w:val="32"/>
          <w:szCs w:val="32"/>
        </w:rPr>
        <w:t>万元，决算数为</w:t>
      </w:r>
      <w:r>
        <w:rPr>
          <w:rFonts w:eastAsia="仿宋_GB2312"/>
          <w:sz w:val="32"/>
          <w:szCs w:val="32"/>
        </w:rPr>
        <w:t>5398.24</w:t>
      </w:r>
      <w:r>
        <w:rPr>
          <w:rFonts w:eastAsia="仿宋_GB2312"/>
          <w:sz w:val="32"/>
          <w:szCs w:val="32"/>
        </w:rPr>
        <w:t>万元，决算数比年初预算数</w:t>
      </w:r>
      <w:r>
        <w:rPr>
          <w:rFonts w:eastAsia="仿宋_GB2312"/>
          <w:sz w:val="32"/>
          <w:szCs w:val="32"/>
        </w:rPr>
        <w:t>减少</w:t>
      </w:r>
      <w:r>
        <w:rPr>
          <w:rFonts w:eastAsia="仿宋_GB2312"/>
          <w:sz w:val="32"/>
          <w:szCs w:val="32"/>
        </w:rPr>
        <w:t>240.2</w:t>
      </w:r>
      <w:r>
        <w:rPr>
          <w:rFonts w:eastAsia="仿宋_GB2312"/>
          <w:sz w:val="32"/>
          <w:szCs w:val="32"/>
        </w:rPr>
        <w:t>6</w:t>
      </w:r>
      <w:r>
        <w:rPr>
          <w:rFonts w:eastAsia="仿宋_GB2312"/>
          <w:sz w:val="32"/>
          <w:szCs w:val="32"/>
        </w:rPr>
        <w:t>万元，产生差异的主要原因是</w:t>
      </w:r>
      <w:r>
        <w:rPr>
          <w:rFonts w:eastAsia="仿宋_GB2312"/>
          <w:sz w:val="32"/>
          <w:szCs w:val="32"/>
        </w:rPr>
        <w:t>：</w:t>
      </w:r>
      <w:r>
        <w:rPr>
          <w:rFonts w:eastAsia="仿宋_GB2312"/>
          <w:sz w:val="32"/>
          <w:szCs w:val="32"/>
        </w:rPr>
        <w:t>进一步落实过紧日子要求，压缩机关运行经费，基本支出有所减少</w:t>
      </w:r>
      <w:r>
        <w:rPr>
          <w:rFonts w:eastAsia="仿宋_GB2312"/>
          <w:sz w:val="32"/>
          <w:szCs w:val="32"/>
        </w:rPr>
        <w:t>；项目支出年初预算数为</w:t>
      </w:r>
      <w:r>
        <w:rPr>
          <w:rFonts w:eastAsia="仿宋_GB2312"/>
          <w:sz w:val="32"/>
          <w:szCs w:val="32"/>
        </w:rPr>
        <w:t>26228.13</w:t>
      </w:r>
      <w:r>
        <w:rPr>
          <w:rFonts w:eastAsia="仿宋_GB2312"/>
          <w:sz w:val="32"/>
          <w:szCs w:val="32"/>
        </w:rPr>
        <w:t>万元，决算数为</w:t>
      </w:r>
      <w:r>
        <w:rPr>
          <w:rFonts w:eastAsia="仿宋_GB2312"/>
          <w:sz w:val="32"/>
          <w:szCs w:val="32"/>
        </w:rPr>
        <w:t>23024.1</w:t>
      </w:r>
      <w:r>
        <w:rPr>
          <w:rFonts w:eastAsia="仿宋_GB2312"/>
          <w:sz w:val="32"/>
          <w:szCs w:val="32"/>
        </w:rPr>
        <w:t>7</w:t>
      </w:r>
      <w:r>
        <w:rPr>
          <w:rFonts w:eastAsia="仿宋_GB2312"/>
          <w:sz w:val="32"/>
          <w:szCs w:val="32"/>
        </w:rPr>
        <w:t>万元，决算数比年初预算数减少</w:t>
      </w:r>
      <w:r>
        <w:rPr>
          <w:rFonts w:eastAsia="仿宋_GB2312"/>
          <w:sz w:val="32"/>
          <w:szCs w:val="32"/>
        </w:rPr>
        <w:t>3203.95</w:t>
      </w:r>
      <w:r>
        <w:rPr>
          <w:rFonts w:eastAsia="仿宋_GB2312"/>
          <w:sz w:val="32"/>
          <w:szCs w:val="32"/>
        </w:rPr>
        <w:t>万元，主要原因是</w:t>
      </w:r>
      <w:r>
        <w:rPr>
          <w:rFonts w:eastAsia="仿宋_GB2312"/>
          <w:sz w:val="32"/>
          <w:szCs w:val="32"/>
        </w:rPr>
        <w:t>根据事业发展规划，调减部分项目支出。</w:t>
      </w:r>
    </w:p>
    <w:p w:rsidR="009C4651" w:rsidRDefault="0003357C">
      <w:pPr>
        <w:spacing w:line="560" w:lineRule="exact"/>
        <w:ind w:leftChars="50" w:left="105" w:firstLineChars="150" w:firstLine="480"/>
        <w:rPr>
          <w:rFonts w:eastAsia="黑体"/>
          <w:sz w:val="32"/>
          <w:szCs w:val="32"/>
        </w:rPr>
      </w:pPr>
      <w:r>
        <w:rPr>
          <w:rFonts w:eastAsia="黑体"/>
          <w:sz w:val="32"/>
          <w:szCs w:val="32"/>
        </w:rPr>
        <w:t>五、总体评价结论</w:t>
      </w:r>
    </w:p>
    <w:p w:rsidR="009C4651" w:rsidRDefault="0003357C">
      <w:pPr>
        <w:spacing w:line="560" w:lineRule="exact"/>
        <w:ind w:leftChars="50" w:left="105" w:firstLineChars="150" w:firstLine="480"/>
        <w:rPr>
          <w:rFonts w:eastAsia="楷体_GB2312"/>
          <w:sz w:val="32"/>
          <w:szCs w:val="32"/>
        </w:rPr>
      </w:pPr>
      <w:r>
        <w:rPr>
          <w:rFonts w:eastAsia="楷体_GB2312"/>
          <w:sz w:val="32"/>
          <w:szCs w:val="32"/>
        </w:rPr>
        <w:t>（一）评价得分情况</w:t>
      </w:r>
    </w:p>
    <w:p w:rsidR="009C4651" w:rsidRDefault="0003357C">
      <w:pPr>
        <w:spacing w:line="560" w:lineRule="exact"/>
        <w:ind w:leftChars="50" w:left="105" w:firstLineChars="200" w:firstLine="640"/>
        <w:rPr>
          <w:rFonts w:eastAsia="仿宋_GB2312"/>
          <w:sz w:val="32"/>
          <w:szCs w:val="32"/>
        </w:rPr>
      </w:pPr>
      <w:r>
        <w:rPr>
          <w:rFonts w:eastAsia="仿宋_GB2312"/>
          <w:sz w:val="32"/>
          <w:szCs w:val="32"/>
        </w:rPr>
        <w:t>经综合评价，市委教育工委</w:t>
      </w:r>
      <w:r>
        <w:rPr>
          <w:rFonts w:eastAsia="仿宋_GB2312"/>
          <w:sz w:val="32"/>
          <w:szCs w:val="32"/>
        </w:rPr>
        <w:t>202</w:t>
      </w:r>
      <w:r>
        <w:rPr>
          <w:rFonts w:eastAsia="仿宋_GB2312" w:hint="eastAsia"/>
          <w:sz w:val="32"/>
          <w:szCs w:val="32"/>
        </w:rPr>
        <w:t>4</w:t>
      </w:r>
      <w:r>
        <w:rPr>
          <w:rFonts w:eastAsia="仿宋_GB2312"/>
          <w:sz w:val="32"/>
          <w:szCs w:val="32"/>
        </w:rPr>
        <w:t>年部门整体绩效评价得分为</w:t>
      </w:r>
      <w:r>
        <w:rPr>
          <w:rFonts w:eastAsia="仿宋_GB2312"/>
          <w:sz w:val="32"/>
        </w:rPr>
        <w:t>97.59</w:t>
      </w:r>
      <w:r>
        <w:rPr>
          <w:rFonts w:eastAsia="仿宋_GB2312"/>
          <w:sz w:val="32"/>
        </w:rPr>
        <w:t>分</w:t>
      </w:r>
      <w:r>
        <w:rPr>
          <w:rFonts w:eastAsia="仿宋_GB2312"/>
          <w:sz w:val="32"/>
          <w:szCs w:val="32"/>
        </w:rPr>
        <w:t>。</w:t>
      </w:r>
    </w:p>
    <w:p w:rsidR="009C4651" w:rsidRDefault="0003357C">
      <w:pPr>
        <w:spacing w:line="560" w:lineRule="exact"/>
        <w:ind w:leftChars="50" w:left="105" w:firstLineChars="150" w:firstLine="480"/>
        <w:rPr>
          <w:rFonts w:eastAsia="楷体_GB2312"/>
          <w:sz w:val="32"/>
          <w:szCs w:val="32"/>
        </w:rPr>
      </w:pPr>
      <w:r>
        <w:rPr>
          <w:rFonts w:eastAsia="楷体_GB2312"/>
          <w:sz w:val="32"/>
          <w:szCs w:val="32"/>
        </w:rPr>
        <w:t>（二）存在的问题及原因分析</w:t>
      </w:r>
    </w:p>
    <w:p w:rsidR="009C4651" w:rsidRDefault="0003357C">
      <w:pPr>
        <w:spacing w:line="560" w:lineRule="exact"/>
        <w:ind w:leftChars="50" w:left="105" w:firstLineChars="200" w:firstLine="640"/>
        <w:rPr>
          <w:rFonts w:eastAsia="仿宋_GB2312"/>
          <w:sz w:val="32"/>
          <w:szCs w:val="32"/>
        </w:rPr>
      </w:pPr>
      <w:r>
        <w:rPr>
          <w:rFonts w:eastAsia="仿宋_GB2312"/>
          <w:sz w:val="32"/>
          <w:szCs w:val="32"/>
        </w:rPr>
        <w:t>一是绩效管理的意识有待加强。对预算绩效管理的重要性认识还不够深刻</w:t>
      </w:r>
      <w:r>
        <w:rPr>
          <w:rFonts w:eastAsia="仿宋_GB2312"/>
          <w:sz w:val="32"/>
          <w:szCs w:val="32"/>
        </w:rPr>
        <w:t>，</w:t>
      </w:r>
      <w:r>
        <w:rPr>
          <w:rFonts w:eastAsia="仿宋_GB2312"/>
          <w:sz w:val="32"/>
          <w:szCs w:val="32"/>
        </w:rPr>
        <w:t>项目负责人对预算绩效管理参与积极性不高。</w:t>
      </w:r>
    </w:p>
    <w:p w:rsidR="009C4651" w:rsidRDefault="0003357C">
      <w:pPr>
        <w:snapToGrid w:val="0"/>
        <w:spacing w:line="560" w:lineRule="exact"/>
        <w:ind w:firstLineChars="200" w:firstLine="640"/>
        <w:rPr>
          <w:rFonts w:eastAsia="仿宋_GB2312"/>
          <w:sz w:val="32"/>
          <w:szCs w:val="32"/>
        </w:rPr>
      </w:pPr>
      <w:r>
        <w:rPr>
          <w:rFonts w:eastAsia="仿宋_GB2312"/>
          <w:sz w:val="32"/>
          <w:szCs w:val="32"/>
        </w:rPr>
        <w:t>二是绩效管理</w:t>
      </w:r>
      <w:r>
        <w:rPr>
          <w:rFonts w:eastAsia="仿宋_GB2312"/>
          <w:sz w:val="32"/>
          <w:szCs w:val="32"/>
        </w:rPr>
        <w:t>的成效不够明显</w:t>
      </w:r>
      <w:r>
        <w:rPr>
          <w:rFonts w:eastAsia="仿宋_GB2312"/>
          <w:sz w:val="32"/>
          <w:szCs w:val="32"/>
        </w:rPr>
        <w:t>。部分项目</w:t>
      </w:r>
      <w:r>
        <w:rPr>
          <w:rFonts w:eastAsia="仿宋_GB2312"/>
          <w:sz w:val="32"/>
          <w:szCs w:val="32"/>
        </w:rPr>
        <w:t>预算绩效目标编制质量不高，定性指标多、定量指标少，缺乏可衡量性和可实现性。绩效评价结果应用不广泛，对改进管理和提高绩效的作用不明显。</w:t>
      </w:r>
    </w:p>
    <w:p w:rsidR="009C4651" w:rsidRDefault="0003357C">
      <w:pPr>
        <w:spacing w:line="560" w:lineRule="exact"/>
        <w:ind w:firstLineChars="200" w:firstLine="640"/>
        <w:rPr>
          <w:rFonts w:eastAsia="仿宋_GB2312"/>
          <w:color w:val="000000"/>
          <w:kern w:val="0"/>
          <w:sz w:val="32"/>
          <w:szCs w:val="32"/>
        </w:rPr>
      </w:pPr>
      <w:r>
        <w:rPr>
          <w:rFonts w:eastAsia="黑体"/>
          <w:color w:val="000000"/>
          <w:kern w:val="0"/>
          <w:sz w:val="32"/>
          <w:szCs w:val="32"/>
        </w:rPr>
        <w:t>六、措施建议</w:t>
      </w:r>
    </w:p>
    <w:p w:rsidR="009C4651" w:rsidRDefault="0003357C">
      <w:pPr>
        <w:spacing w:line="560" w:lineRule="exact"/>
        <w:ind w:firstLineChars="200" w:firstLine="640"/>
        <w:rPr>
          <w:rFonts w:eastAsia="仿宋_GB2312"/>
          <w:color w:val="000000"/>
          <w:kern w:val="0"/>
          <w:sz w:val="32"/>
          <w:szCs w:val="32"/>
        </w:rPr>
      </w:pPr>
      <w:r>
        <w:rPr>
          <w:rFonts w:eastAsia="仿宋_GB2312"/>
          <w:color w:val="000000"/>
          <w:kern w:val="0"/>
          <w:sz w:val="32"/>
          <w:szCs w:val="32"/>
        </w:rPr>
        <w:t>一是加大绩效管理相关政策的宣传。开展政策培训和经验交流，加大实操指导力度。</w:t>
      </w:r>
      <w:r>
        <w:rPr>
          <w:rFonts w:eastAsia="仿宋_GB2312"/>
          <w:sz w:val="32"/>
          <w:szCs w:val="32"/>
        </w:rPr>
        <w:t>落实绩效管理主体责任，完善本部门绩效管理长效机制，</w:t>
      </w:r>
      <w:r>
        <w:rPr>
          <w:rFonts w:eastAsia="仿宋_GB2312"/>
          <w:color w:val="000000"/>
          <w:kern w:val="0"/>
          <w:sz w:val="32"/>
          <w:szCs w:val="32"/>
        </w:rPr>
        <w:t>督促各项目负责人树立绩效管理意识，营造人人参与绩效管理的良好氛围。</w:t>
      </w:r>
    </w:p>
    <w:p w:rsidR="009C4651" w:rsidRDefault="0003357C">
      <w:pPr>
        <w:snapToGrid w:val="0"/>
        <w:spacing w:line="560" w:lineRule="exact"/>
        <w:ind w:firstLineChars="200" w:firstLine="640"/>
        <w:rPr>
          <w:rFonts w:eastAsia="楷体_GB2312"/>
          <w:b/>
          <w:sz w:val="32"/>
          <w:szCs w:val="32"/>
        </w:rPr>
      </w:pPr>
      <w:r>
        <w:rPr>
          <w:rFonts w:eastAsia="仿宋_GB2312"/>
          <w:color w:val="000000"/>
          <w:kern w:val="0"/>
          <w:sz w:val="32"/>
          <w:szCs w:val="32"/>
        </w:rPr>
        <w:t>二是</w:t>
      </w:r>
      <w:r>
        <w:rPr>
          <w:rFonts w:eastAsia="仿宋_GB2312"/>
          <w:color w:val="000000"/>
          <w:kern w:val="0"/>
          <w:sz w:val="32"/>
          <w:szCs w:val="32"/>
        </w:rPr>
        <w:t>进一步完善</w:t>
      </w:r>
      <w:r>
        <w:rPr>
          <w:rFonts w:eastAsia="仿宋_GB2312"/>
          <w:color w:val="000000"/>
          <w:kern w:val="0"/>
          <w:sz w:val="32"/>
          <w:szCs w:val="32"/>
        </w:rPr>
        <w:t>绩效指标体系建设</w:t>
      </w:r>
      <w:r>
        <w:rPr>
          <w:rFonts w:eastAsia="仿宋_GB2312"/>
          <w:color w:val="000000"/>
          <w:kern w:val="0"/>
          <w:sz w:val="32"/>
          <w:szCs w:val="32"/>
        </w:rPr>
        <w:t>。</w:t>
      </w:r>
      <w:r>
        <w:rPr>
          <w:rFonts w:eastAsia="仿宋_GB2312"/>
          <w:sz w:val="32"/>
          <w:szCs w:val="32"/>
        </w:rPr>
        <w:t>分类规范项目预算绩效目标和考核指标，探索实施全成本核算，科学测算、全面衡量项目投入成本和产出绩效，确保成本标准和支出标准相匹配，逐步完善本部门支出标准体系。</w:t>
      </w:r>
    </w:p>
    <w:p w:rsidR="009C4651" w:rsidRDefault="0003357C">
      <w:pPr>
        <w:pStyle w:val="1"/>
        <w:spacing w:line="560" w:lineRule="exact"/>
        <w:rPr>
          <w:rFonts w:ascii="Times New Roman" w:hAnsi="Times New Roman" w:cs="Times New Roman"/>
          <w:sz w:val="32"/>
          <w:szCs w:val="32"/>
        </w:rPr>
      </w:pPr>
      <w:bookmarkStart w:id="1" w:name="_Toc103006301"/>
      <w:r>
        <w:rPr>
          <w:rFonts w:ascii="Times New Roman" w:hAnsi="Times New Roman" w:cs="Times New Roman"/>
          <w:sz w:val="32"/>
          <w:szCs w:val="32"/>
        </w:rPr>
        <w:t>七、附件</w:t>
      </w:r>
      <w:bookmarkEnd w:id="1"/>
    </w:p>
    <w:p w:rsidR="009C4651" w:rsidRDefault="0003357C">
      <w:pPr>
        <w:spacing w:line="560" w:lineRule="exact"/>
        <w:ind w:firstLine="641"/>
        <w:rPr>
          <w:rFonts w:eastAsia="仿宋_GB2312"/>
          <w:color w:val="000000"/>
          <w:kern w:val="0"/>
          <w:sz w:val="32"/>
          <w:szCs w:val="32"/>
        </w:rPr>
      </w:pPr>
      <w:r>
        <w:rPr>
          <w:rFonts w:eastAsia="仿宋_GB2312"/>
          <w:sz w:val="32"/>
          <w:szCs w:val="32"/>
        </w:rPr>
        <w:t>202</w:t>
      </w:r>
      <w:r>
        <w:rPr>
          <w:rFonts w:eastAsia="仿宋_GB2312"/>
          <w:sz w:val="32"/>
          <w:szCs w:val="32"/>
        </w:rPr>
        <w:t>4</w:t>
      </w:r>
      <w:r>
        <w:rPr>
          <w:rFonts w:eastAsia="仿宋_GB2312"/>
          <w:sz w:val="32"/>
          <w:szCs w:val="32"/>
        </w:rPr>
        <w:t>年部门整体绩效评价指标体系评分</w:t>
      </w:r>
    </w:p>
    <w:p w:rsidR="009C4651" w:rsidRDefault="009C4651">
      <w:pPr>
        <w:sectPr w:rsidR="009C4651">
          <w:footerReference w:type="default" r:id="rId7"/>
          <w:pgSz w:w="11906" w:h="16838"/>
          <w:pgMar w:top="2098" w:right="1474" w:bottom="1984" w:left="1587" w:header="851" w:footer="1247" w:gutter="0"/>
          <w:pgNumType w:start="1"/>
          <w:cols w:space="0"/>
          <w:docGrid w:type="lines" w:linePitch="435"/>
        </w:sectPr>
      </w:pPr>
    </w:p>
    <w:tbl>
      <w:tblPr>
        <w:tblW w:w="5000" w:type="pct"/>
        <w:tblLayout w:type="fixed"/>
        <w:tblLook w:val="04A0" w:firstRow="1" w:lastRow="0" w:firstColumn="1" w:lastColumn="0" w:noHBand="0" w:noVBand="1"/>
      </w:tblPr>
      <w:tblGrid>
        <w:gridCol w:w="1098"/>
        <w:gridCol w:w="1100"/>
        <w:gridCol w:w="1011"/>
        <w:gridCol w:w="1348"/>
        <w:gridCol w:w="851"/>
        <w:gridCol w:w="818"/>
        <w:gridCol w:w="851"/>
        <w:gridCol w:w="3464"/>
        <w:gridCol w:w="3417"/>
      </w:tblGrid>
      <w:tr w:rsidR="009C4651">
        <w:trPr>
          <w:cantSplit/>
          <w:trHeight w:val="90"/>
        </w:trPr>
        <w:tc>
          <w:tcPr>
            <w:tcW w:w="5000" w:type="pct"/>
            <w:gridSpan w:val="9"/>
            <w:tcBorders>
              <w:top w:val="nil"/>
              <w:left w:val="nil"/>
              <w:bottom w:val="single" w:sz="4" w:space="0" w:color="auto"/>
              <w:right w:val="nil"/>
            </w:tcBorders>
            <w:noWrap/>
            <w:vAlign w:val="bottom"/>
          </w:tcPr>
          <w:p w:rsidR="009C4651" w:rsidRDefault="0003357C">
            <w:pPr>
              <w:widowControl/>
              <w:jc w:val="center"/>
              <w:rPr>
                <w:rFonts w:ascii="方正小标宋简体" w:eastAsia="方正小标宋简体" w:hAnsi="黑体" w:cs="宋体"/>
                <w:color w:val="000000"/>
                <w:kern w:val="0"/>
                <w:sz w:val="44"/>
                <w:szCs w:val="44"/>
                <w:highlight w:val="yellow"/>
              </w:rPr>
            </w:pPr>
            <w:r>
              <w:rPr>
                <w:rFonts w:ascii="方正小标宋简体" w:eastAsia="方正小标宋简体" w:hAnsi="黑体" w:cs="宋体" w:hint="eastAsia"/>
                <w:color w:val="000000"/>
                <w:kern w:val="0"/>
                <w:sz w:val="44"/>
                <w:szCs w:val="44"/>
              </w:rPr>
              <w:t>202</w:t>
            </w:r>
            <w:r>
              <w:rPr>
                <w:rFonts w:ascii="方正小标宋简体" w:eastAsia="方正小标宋简体" w:hAnsi="黑体" w:cs="宋体" w:hint="eastAsia"/>
                <w:color w:val="000000"/>
                <w:kern w:val="0"/>
                <w:sz w:val="44"/>
                <w:szCs w:val="44"/>
              </w:rPr>
              <w:t>4</w:t>
            </w:r>
            <w:r>
              <w:rPr>
                <w:rFonts w:ascii="方正小标宋简体" w:eastAsia="方正小标宋简体" w:hAnsi="黑体" w:cs="宋体" w:hint="eastAsia"/>
                <w:color w:val="000000"/>
                <w:kern w:val="0"/>
                <w:sz w:val="44"/>
                <w:szCs w:val="44"/>
              </w:rPr>
              <w:t>年部门整体绩效评价指标体系评分表</w:t>
            </w:r>
          </w:p>
        </w:tc>
      </w:tr>
      <w:tr w:rsidR="009C4651">
        <w:trPr>
          <w:cantSplit/>
          <w:trHeight w:val="470"/>
        </w:trPr>
        <w:tc>
          <w:tcPr>
            <w:tcW w:w="5000" w:type="pct"/>
            <w:gridSpan w:val="9"/>
            <w:tcBorders>
              <w:top w:val="single" w:sz="4" w:space="0" w:color="auto"/>
              <w:left w:val="single" w:sz="4" w:space="0" w:color="auto"/>
              <w:bottom w:val="single" w:sz="4" w:space="0" w:color="000000"/>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一、</w:t>
            </w:r>
            <w:r>
              <w:rPr>
                <w:rFonts w:ascii="宋体" w:hAnsi="宋体" w:cs="宋体" w:hint="eastAsia"/>
                <w:color w:val="000000"/>
                <w:kern w:val="0"/>
                <w:sz w:val="20"/>
                <w:szCs w:val="20"/>
              </w:rPr>
              <w:t>当年预算执行情况（</w:t>
            </w:r>
            <w:r>
              <w:rPr>
                <w:rFonts w:ascii="宋体" w:hAnsi="宋体" w:cs="宋体" w:hint="eastAsia"/>
                <w:color w:val="000000"/>
                <w:kern w:val="0"/>
                <w:sz w:val="20"/>
                <w:szCs w:val="20"/>
              </w:rPr>
              <w:t>20</w:t>
            </w:r>
            <w:r>
              <w:rPr>
                <w:rFonts w:ascii="宋体" w:hAnsi="宋体" w:cs="宋体" w:hint="eastAsia"/>
                <w:color w:val="000000"/>
                <w:kern w:val="0"/>
                <w:sz w:val="20"/>
                <w:szCs w:val="20"/>
              </w:rPr>
              <w:t>分）</w:t>
            </w:r>
          </w:p>
        </w:tc>
      </w:tr>
      <w:tr w:rsidR="009C4651">
        <w:trPr>
          <w:cantSplit/>
          <w:trHeight w:val="660"/>
        </w:trPr>
        <w:tc>
          <w:tcPr>
            <w:tcW w:w="393"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一</w:t>
            </w:r>
            <w:r>
              <w:rPr>
                <w:rFonts w:ascii="宋体" w:hAnsi="宋体" w:cs="宋体"/>
                <w:color w:val="000000"/>
                <w:kern w:val="0"/>
                <w:sz w:val="20"/>
                <w:szCs w:val="20"/>
              </w:rPr>
              <w:t>级指标</w:t>
            </w:r>
            <w:r>
              <w:rPr>
                <w:rFonts w:ascii="宋体" w:hAnsi="宋体" w:cs="宋体" w:hint="eastAsia"/>
                <w:color w:val="000000"/>
                <w:kern w:val="0"/>
                <w:sz w:val="20"/>
                <w:szCs w:val="20"/>
              </w:rPr>
              <w:t xml:space="preserve">　</w:t>
            </w:r>
          </w:p>
        </w:tc>
        <w:tc>
          <w:tcPr>
            <w:tcW w:w="394"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二</w:t>
            </w:r>
            <w:r>
              <w:rPr>
                <w:rFonts w:ascii="宋体" w:hAnsi="宋体" w:cs="宋体"/>
                <w:color w:val="000000"/>
                <w:kern w:val="0"/>
                <w:sz w:val="20"/>
                <w:szCs w:val="20"/>
              </w:rPr>
              <w:t>级指标</w:t>
            </w:r>
            <w:r>
              <w:rPr>
                <w:rFonts w:ascii="宋体" w:hAnsi="宋体" w:cs="宋体" w:hint="eastAsia"/>
                <w:color w:val="000000"/>
                <w:kern w:val="0"/>
                <w:sz w:val="20"/>
                <w:szCs w:val="20"/>
              </w:rPr>
              <w:t xml:space="preserve">　</w:t>
            </w:r>
          </w:p>
        </w:tc>
        <w:tc>
          <w:tcPr>
            <w:tcW w:w="362"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预算数（万元）</w:t>
            </w:r>
          </w:p>
        </w:tc>
        <w:tc>
          <w:tcPr>
            <w:tcW w:w="482"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执行数</w:t>
            </w:r>
          </w:p>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（万元）</w:t>
            </w:r>
          </w:p>
        </w:tc>
        <w:tc>
          <w:tcPr>
            <w:tcW w:w="304"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预算执行率</w:t>
            </w:r>
          </w:p>
        </w:tc>
        <w:tc>
          <w:tcPr>
            <w:tcW w:w="293"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305"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241"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指标解释</w:t>
            </w:r>
          </w:p>
        </w:tc>
        <w:tc>
          <w:tcPr>
            <w:tcW w:w="1223"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r>
      <w:tr w:rsidR="009C4651">
        <w:trPr>
          <w:cantSplit/>
          <w:trHeight w:val="630"/>
        </w:trPr>
        <w:tc>
          <w:tcPr>
            <w:tcW w:w="393" w:type="pct"/>
            <w:vMerge w:val="restart"/>
            <w:tcBorders>
              <w:top w:val="nil"/>
              <w:left w:val="single" w:sz="4" w:space="0" w:color="auto"/>
              <w:bottom w:val="single" w:sz="4" w:space="0" w:color="000000"/>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当年预算执行情况（</w:t>
            </w:r>
            <w:r>
              <w:rPr>
                <w:rFonts w:ascii="宋体" w:hAnsi="宋体" w:cs="宋体" w:hint="eastAsia"/>
                <w:color w:val="000000"/>
                <w:kern w:val="0"/>
                <w:sz w:val="20"/>
                <w:szCs w:val="20"/>
              </w:rPr>
              <w:t>20</w:t>
            </w:r>
            <w:r>
              <w:rPr>
                <w:rFonts w:ascii="宋体" w:hAnsi="宋体" w:cs="宋体" w:hint="eastAsia"/>
                <w:color w:val="000000"/>
                <w:kern w:val="0"/>
                <w:sz w:val="20"/>
                <w:szCs w:val="20"/>
              </w:rPr>
              <w:t>）</w:t>
            </w:r>
          </w:p>
        </w:tc>
        <w:tc>
          <w:tcPr>
            <w:tcW w:w="394"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资金总体</w:t>
            </w:r>
          </w:p>
        </w:tc>
        <w:tc>
          <w:tcPr>
            <w:tcW w:w="362"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29012.15</w:t>
            </w:r>
          </w:p>
        </w:tc>
        <w:tc>
          <w:tcPr>
            <w:tcW w:w="482"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28422.41</w:t>
            </w:r>
          </w:p>
        </w:tc>
        <w:tc>
          <w:tcPr>
            <w:tcW w:w="304"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97.97</w:t>
            </w:r>
            <w:r>
              <w:rPr>
                <w:rFonts w:ascii="宋体" w:hAnsi="宋体" w:cs="宋体" w:hint="eastAsia"/>
                <w:color w:val="000000"/>
                <w:kern w:val="0"/>
                <w:sz w:val="20"/>
                <w:szCs w:val="20"/>
              </w:rPr>
              <w:t>%</w:t>
            </w:r>
            <w:r>
              <w:rPr>
                <w:rFonts w:ascii="宋体" w:hAnsi="宋体" w:cs="宋体" w:hint="eastAsia"/>
                <w:color w:val="000000"/>
                <w:kern w:val="0"/>
                <w:sz w:val="20"/>
                <w:szCs w:val="20"/>
              </w:rPr>
              <w:t xml:space="preserve">　</w:t>
            </w:r>
          </w:p>
        </w:tc>
        <w:tc>
          <w:tcPr>
            <w:tcW w:w="293" w:type="pct"/>
            <w:vMerge w:val="restart"/>
            <w:tcBorders>
              <w:top w:val="single" w:sz="4" w:space="0" w:color="auto"/>
              <w:left w:val="single" w:sz="4" w:space="0" w:color="auto"/>
              <w:bottom w:val="single" w:sz="4" w:space="0" w:color="auto"/>
              <w:right w:val="single" w:sz="4" w:space="0" w:color="auto"/>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05" w:type="pct"/>
            <w:vMerge w:val="restart"/>
            <w:tcBorders>
              <w:top w:val="single" w:sz="4" w:space="0" w:color="auto"/>
              <w:left w:val="single" w:sz="4" w:space="0" w:color="auto"/>
              <w:bottom w:val="single" w:sz="4" w:space="0" w:color="auto"/>
              <w:right w:val="single" w:sz="4" w:space="0" w:color="auto"/>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19.59</w:t>
            </w:r>
          </w:p>
        </w:tc>
        <w:tc>
          <w:tcPr>
            <w:tcW w:w="1241" w:type="pct"/>
            <w:vMerge w:val="restar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部门全年执行数与全年预算数的比率。资金总体</w:t>
            </w:r>
            <w:r>
              <w:rPr>
                <w:rFonts w:ascii="宋体" w:hAnsi="宋体" w:cs="宋体" w:hint="eastAsia"/>
                <w:color w:val="000000"/>
                <w:kern w:val="0"/>
                <w:sz w:val="18"/>
                <w:szCs w:val="18"/>
              </w:rPr>
              <w:t>=</w:t>
            </w:r>
            <w:r>
              <w:rPr>
                <w:rFonts w:ascii="宋体" w:hAnsi="宋体" w:cs="宋体" w:hint="eastAsia"/>
                <w:color w:val="000000"/>
                <w:kern w:val="0"/>
                <w:sz w:val="18"/>
                <w:szCs w:val="18"/>
              </w:rPr>
              <w:t>基本支出</w:t>
            </w:r>
            <w:r>
              <w:rPr>
                <w:rFonts w:ascii="宋体" w:hAnsi="宋体" w:cs="宋体" w:hint="eastAsia"/>
                <w:color w:val="000000"/>
                <w:kern w:val="0"/>
                <w:sz w:val="18"/>
                <w:szCs w:val="18"/>
              </w:rPr>
              <w:t>+</w:t>
            </w:r>
            <w:r>
              <w:rPr>
                <w:rFonts w:ascii="宋体" w:hAnsi="宋体" w:cs="宋体" w:hint="eastAsia"/>
                <w:color w:val="000000"/>
                <w:kern w:val="0"/>
                <w:sz w:val="18"/>
                <w:szCs w:val="18"/>
              </w:rPr>
              <w:t>项目支出</w:t>
            </w:r>
            <w:r>
              <w:rPr>
                <w:rFonts w:ascii="宋体" w:hAnsi="宋体" w:cs="宋体" w:hint="eastAsia"/>
                <w:color w:val="000000"/>
                <w:kern w:val="0"/>
                <w:sz w:val="18"/>
                <w:szCs w:val="18"/>
              </w:rPr>
              <w:t>+</w:t>
            </w:r>
            <w:r>
              <w:rPr>
                <w:rFonts w:ascii="宋体" w:hAnsi="宋体" w:cs="宋体" w:hint="eastAsia"/>
                <w:color w:val="000000"/>
                <w:kern w:val="0"/>
                <w:sz w:val="18"/>
                <w:szCs w:val="18"/>
              </w:rPr>
              <w:t>其他</w:t>
            </w:r>
          </w:p>
        </w:tc>
        <w:tc>
          <w:tcPr>
            <w:tcW w:w="1223" w:type="pct"/>
            <w:vMerge w:val="restart"/>
            <w:tcBorders>
              <w:top w:val="nil"/>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①得分一档最高不能超过该指标分值上限（</w:t>
            </w:r>
            <w:r>
              <w:rPr>
                <w:rFonts w:ascii="宋体" w:hAnsi="宋体" w:cs="宋体" w:hint="eastAsia"/>
                <w:color w:val="000000"/>
                <w:kern w:val="0"/>
                <w:sz w:val="18"/>
                <w:szCs w:val="18"/>
              </w:rPr>
              <w:t>20</w:t>
            </w:r>
            <w:r>
              <w:rPr>
                <w:rFonts w:ascii="宋体" w:hAnsi="宋体" w:cs="宋体" w:hint="eastAsia"/>
                <w:color w:val="000000"/>
                <w:kern w:val="0"/>
                <w:sz w:val="18"/>
                <w:szCs w:val="18"/>
              </w:rPr>
              <w:t>分）。</w:t>
            </w:r>
            <w:r>
              <w:rPr>
                <w:rFonts w:ascii="宋体" w:hAnsi="宋体" w:cs="宋体" w:hint="eastAsia"/>
                <w:color w:val="000000"/>
                <w:kern w:val="0"/>
                <w:sz w:val="18"/>
                <w:szCs w:val="18"/>
              </w:rPr>
              <w:br/>
            </w:r>
            <w:r>
              <w:rPr>
                <w:rFonts w:ascii="宋体" w:hAnsi="宋体" w:cs="宋体" w:hint="eastAsia"/>
                <w:color w:val="000000"/>
                <w:kern w:val="0"/>
                <w:sz w:val="18"/>
                <w:szCs w:val="18"/>
              </w:rPr>
              <w:t>②该指标若为正向指标，则得分计算方法应用全年实际值（</w:t>
            </w:r>
            <w:r>
              <w:rPr>
                <w:rFonts w:ascii="宋体" w:hAnsi="宋体" w:cs="宋体" w:hint="eastAsia"/>
                <w:color w:val="000000"/>
                <w:kern w:val="0"/>
                <w:sz w:val="18"/>
                <w:szCs w:val="18"/>
              </w:rPr>
              <w:t>B</w:t>
            </w:r>
            <w:r>
              <w:rPr>
                <w:rFonts w:ascii="宋体" w:hAnsi="宋体" w:cs="宋体" w:hint="eastAsia"/>
                <w:color w:val="000000"/>
                <w:kern w:val="0"/>
                <w:sz w:val="18"/>
                <w:szCs w:val="18"/>
              </w:rPr>
              <w:t>）</w:t>
            </w:r>
            <w:r>
              <w:rPr>
                <w:rFonts w:ascii="宋体" w:hAnsi="宋体" w:cs="宋体" w:hint="eastAsia"/>
                <w:color w:val="000000"/>
                <w:kern w:val="0"/>
                <w:sz w:val="18"/>
                <w:szCs w:val="18"/>
              </w:rPr>
              <w:t>/</w:t>
            </w:r>
            <w:r>
              <w:rPr>
                <w:rFonts w:ascii="宋体" w:hAnsi="宋体" w:cs="宋体" w:hint="eastAsia"/>
                <w:color w:val="000000"/>
                <w:kern w:val="0"/>
                <w:sz w:val="18"/>
                <w:szCs w:val="18"/>
              </w:rPr>
              <w:t>年度指标值（</w:t>
            </w:r>
            <w:r>
              <w:rPr>
                <w:rFonts w:ascii="宋体" w:hAnsi="宋体" w:cs="宋体" w:hint="eastAsia"/>
                <w:color w:val="000000"/>
                <w:kern w:val="0"/>
                <w:sz w:val="18"/>
                <w:szCs w:val="18"/>
              </w:rPr>
              <w:t>A</w:t>
            </w:r>
            <w:r>
              <w:rPr>
                <w:rFonts w:ascii="宋体" w:hAnsi="宋体" w:cs="宋体" w:hint="eastAsia"/>
                <w:color w:val="000000"/>
                <w:kern w:val="0"/>
                <w:sz w:val="18"/>
                <w:szCs w:val="18"/>
              </w:rPr>
              <w:t>）</w:t>
            </w:r>
            <w:r>
              <w:rPr>
                <w:rFonts w:ascii="宋体" w:hAnsi="宋体" w:cs="宋体" w:hint="eastAsia"/>
                <w:color w:val="000000"/>
                <w:kern w:val="0"/>
                <w:sz w:val="18"/>
                <w:szCs w:val="18"/>
              </w:rPr>
              <w:t>*</w:t>
            </w:r>
            <w:r>
              <w:rPr>
                <w:rFonts w:ascii="宋体" w:hAnsi="宋体" w:cs="宋体" w:hint="eastAsia"/>
                <w:color w:val="000000"/>
                <w:kern w:val="0"/>
                <w:sz w:val="18"/>
                <w:szCs w:val="18"/>
              </w:rPr>
              <w:t>该指标分值；若定量指标为反向指标，则得分计算方法应用年度指标值（</w:t>
            </w:r>
            <w:r>
              <w:rPr>
                <w:rFonts w:ascii="宋体" w:hAnsi="宋体" w:cs="宋体" w:hint="eastAsia"/>
                <w:color w:val="000000"/>
                <w:kern w:val="0"/>
                <w:sz w:val="18"/>
                <w:szCs w:val="18"/>
              </w:rPr>
              <w:t>A</w:t>
            </w:r>
            <w:r>
              <w:rPr>
                <w:rFonts w:ascii="宋体" w:hAnsi="宋体" w:cs="宋体" w:hint="eastAsia"/>
                <w:color w:val="000000"/>
                <w:kern w:val="0"/>
                <w:sz w:val="18"/>
                <w:szCs w:val="18"/>
              </w:rPr>
              <w:t>）</w:t>
            </w:r>
            <w:r>
              <w:rPr>
                <w:rFonts w:ascii="宋体" w:hAnsi="宋体" w:cs="宋体" w:hint="eastAsia"/>
                <w:color w:val="000000"/>
                <w:kern w:val="0"/>
                <w:sz w:val="18"/>
                <w:szCs w:val="18"/>
              </w:rPr>
              <w:t>/</w:t>
            </w:r>
            <w:r>
              <w:rPr>
                <w:rFonts w:ascii="宋体" w:hAnsi="宋体" w:cs="宋体" w:hint="eastAsia"/>
                <w:color w:val="000000"/>
                <w:kern w:val="0"/>
                <w:sz w:val="18"/>
                <w:szCs w:val="18"/>
              </w:rPr>
              <w:t>全年实际值（</w:t>
            </w:r>
            <w:r>
              <w:rPr>
                <w:rFonts w:ascii="宋体" w:hAnsi="宋体" w:cs="宋体" w:hint="eastAsia"/>
                <w:color w:val="000000"/>
                <w:kern w:val="0"/>
                <w:sz w:val="18"/>
                <w:szCs w:val="18"/>
              </w:rPr>
              <w:t>B</w:t>
            </w:r>
            <w:r>
              <w:rPr>
                <w:rFonts w:ascii="宋体" w:hAnsi="宋体" w:cs="宋体" w:hint="eastAsia"/>
                <w:color w:val="000000"/>
                <w:kern w:val="0"/>
                <w:sz w:val="18"/>
                <w:szCs w:val="18"/>
              </w:rPr>
              <w:t>）</w:t>
            </w:r>
            <w:r>
              <w:rPr>
                <w:rFonts w:ascii="宋体" w:hAnsi="宋体" w:cs="宋体" w:hint="eastAsia"/>
                <w:color w:val="000000"/>
                <w:kern w:val="0"/>
                <w:sz w:val="18"/>
                <w:szCs w:val="18"/>
              </w:rPr>
              <w:t>*</w:t>
            </w:r>
            <w:r>
              <w:rPr>
                <w:rFonts w:ascii="宋体" w:hAnsi="宋体" w:cs="宋体" w:hint="eastAsia"/>
                <w:color w:val="000000"/>
                <w:kern w:val="0"/>
                <w:sz w:val="18"/>
                <w:szCs w:val="18"/>
              </w:rPr>
              <w:t>该指标分值。若年初指标值设定偏低，则得分计算方法应用（全年实际值（</w:t>
            </w:r>
            <w:r>
              <w:rPr>
                <w:rFonts w:ascii="宋体" w:hAnsi="宋体" w:cs="宋体" w:hint="eastAsia"/>
                <w:color w:val="000000"/>
                <w:kern w:val="0"/>
                <w:sz w:val="18"/>
                <w:szCs w:val="18"/>
              </w:rPr>
              <w:t>B</w:t>
            </w:r>
            <w:r>
              <w:rPr>
                <w:rFonts w:ascii="宋体" w:hAnsi="宋体" w:cs="宋体" w:hint="eastAsia"/>
                <w:color w:val="000000"/>
                <w:kern w:val="0"/>
                <w:sz w:val="18"/>
                <w:szCs w:val="18"/>
              </w:rPr>
              <w:t>）—年度指标值（</w:t>
            </w:r>
            <w:r>
              <w:rPr>
                <w:rFonts w:ascii="宋体" w:hAnsi="宋体" w:cs="宋体" w:hint="eastAsia"/>
                <w:color w:val="000000"/>
                <w:kern w:val="0"/>
                <w:sz w:val="18"/>
                <w:szCs w:val="18"/>
              </w:rPr>
              <w:t>A</w:t>
            </w:r>
            <w:r>
              <w:rPr>
                <w:rFonts w:ascii="宋体" w:hAnsi="宋体" w:cs="宋体" w:hint="eastAsia"/>
                <w:color w:val="000000"/>
                <w:kern w:val="0"/>
                <w:sz w:val="18"/>
                <w:szCs w:val="18"/>
              </w:rPr>
              <w:t>））</w:t>
            </w:r>
            <w:r>
              <w:rPr>
                <w:rFonts w:ascii="宋体" w:hAnsi="宋体" w:cs="宋体" w:hint="eastAsia"/>
                <w:color w:val="000000"/>
                <w:kern w:val="0"/>
                <w:sz w:val="18"/>
                <w:szCs w:val="18"/>
              </w:rPr>
              <w:t>/</w:t>
            </w:r>
            <w:r>
              <w:rPr>
                <w:rFonts w:ascii="宋体" w:hAnsi="宋体" w:cs="宋体" w:hint="eastAsia"/>
                <w:color w:val="000000"/>
                <w:kern w:val="0"/>
                <w:sz w:val="18"/>
                <w:szCs w:val="18"/>
              </w:rPr>
              <w:t>年度指标值（</w:t>
            </w:r>
            <w:r>
              <w:rPr>
                <w:rFonts w:ascii="宋体" w:hAnsi="宋体" w:cs="宋体" w:hint="eastAsia"/>
                <w:color w:val="000000"/>
                <w:kern w:val="0"/>
                <w:sz w:val="18"/>
                <w:szCs w:val="18"/>
              </w:rPr>
              <w:t>A</w:t>
            </w:r>
            <w:r>
              <w:rPr>
                <w:rFonts w:ascii="宋体" w:hAnsi="宋体" w:cs="宋体" w:hint="eastAsia"/>
                <w:color w:val="000000"/>
                <w:kern w:val="0"/>
                <w:sz w:val="18"/>
                <w:szCs w:val="18"/>
              </w:rPr>
              <w:t>）</w:t>
            </w:r>
            <w:r>
              <w:rPr>
                <w:rFonts w:ascii="宋体" w:hAnsi="宋体" w:cs="宋体" w:hint="eastAsia"/>
                <w:color w:val="000000"/>
                <w:kern w:val="0"/>
                <w:sz w:val="18"/>
                <w:szCs w:val="18"/>
              </w:rPr>
              <w:t>*100%</w:t>
            </w:r>
            <w:r>
              <w:rPr>
                <w:rFonts w:ascii="宋体" w:hAnsi="宋体" w:cs="宋体" w:hint="eastAsia"/>
                <w:color w:val="000000"/>
                <w:kern w:val="0"/>
                <w:sz w:val="18"/>
                <w:szCs w:val="18"/>
              </w:rPr>
              <w:t>。若计算结果在</w:t>
            </w:r>
            <w:r>
              <w:rPr>
                <w:rFonts w:ascii="宋体" w:hAnsi="宋体" w:cs="宋体" w:hint="eastAsia"/>
                <w:color w:val="000000"/>
                <w:kern w:val="0"/>
                <w:sz w:val="18"/>
                <w:szCs w:val="18"/>
              </w:rPr>
              <w:t>200%-300%</w:t>
            </w:r>
            <w:r>
              <w:rPr>
                <w:rFonts w:ascii="宋体" w:hAnsi="宋体" w:cs="宋体" w:hint="eastAsia"/>
                <w:color w:val="000000"/>
                <w:kern w:val="0"/>
                <w:sz w:val="18"/>
                <w:szCs w:val="18"/>
              </w:rPr>
              <w:t>（含</w:t>
            </w:r>
            <w:r>
              <w:rPr>
                <w:rFonts w:ascii="宋体" w:hAnsi="宋体" w:cs="宋体" w:hint="eastAsia"/>
                <w:color w:val="000000"/>
                <w:kern w:val="0"/>
                <w:sz w:val="18"/>
                <w:szCs w:val="18"/>
              </w:rPr>
              <w:t>200%</w:t>
            </w:r>
            <w:r>
              <w:rPr>
                <w:rFonts w:ascii="宋体" w:hAnsi="宋体" w:cs="宋体" w:hint="eastAsia"/>
                <w:color w:val="000000"/>
                <w:kern w:val="0"/>
                <w:sz w:val="18"/>
                <w:szCs w:val="18"/>
              </w:rPr>
              <w:t>）区间，则按</w:t>
            </w:r>
            <w:r>
              <w:rPr>
                <w:rFonts w:ascii="宋体" w:hAnsi="宋体" w:cs="宋体" w:hint="eastAsia"/>
                <w:color w:val="000000"/>
                <w:kern w:val="0"/>
                <w:sz w:val="18"/>
                <w:szCs w:val="18"/>
              </w:rPr>
              <w:t>照该指标分值的</w:t>
            </w:r>
            <w:r>
              <w:rPr>
                <w:rFonts w:ascii="宋体" w:hAnsi="宋体" w:cs="宋体" w:hint="eastAsia"/>
                <w:color w:val="000000"/>
                <w:kern w:val="0"/>
                <w:sz w:val="18"/>
                <w:szCs w:val="18"/>
              </w:rPr>
              <w:t>10%</w:t>
            </w:r>
            <w:r>
              <w:rPr>
                <w:rFonts w:ascii="宋体" w:hAnsi="宋体" w:cs="宋体" w:hint="eastAsia"/>
                <w:color w:val="000000"/>
                <w:kern w:val="0"/>
                <w:sz w:val="18"/>
                <w:szCs w:val="18"/>
              </w:rPr>
              <w:t>扣分；计算结果在</w:t>
            </w:r>
            <w:r>
              <w:rPr>
                <w:rFonts w:ascii="宋体" w:hAnsi="宋体" w:cs="宋体" w:hint="eastAsia"/>
                <w:color w:val="000000"/>
                <w:kern w:val="0"/>
                <w:sz w:val="18"/>
                <w:szCs w:val="18"/>
              </w:rPr>
              <w:t>300%-500%</w:t>
            </w:r>
            <w:r>
              <w:rPr>
                <w:rFonts w:ascii="宋体" w:hAnsi="宋体" w:cs="宋体" w:hint="eastAsia"/>
                <w:color w:val="000000"/>
                <w:kern w:val="0"/>
                <w:sz w:val="18"/>
                <w:szCs w:val="18"/>
              </w:rPr>
              <w:t>（含</w:t>
            </w:r>
            <w:r>
              <w:rPr>
                <w:rFonts w:ascii="宋体" w:hAnsi="宋体" w:cs="宋体" w:hint="eastAsia"/>
                <w:color w:val="000000"/>
                <w:kern w:val="0"/>
                <w:sz w:val="18"/>
                <w:szCs w:val="18"/>
              </w:rPr>
              <w:t>300%</w:t>
            </w:r>
            <w:r>
              <w:rPr>
                <w:rFonts w:ascii="宋体" w:hAnsi="宋体" w:cs="宋体" w:hint="eastAsia"/>
                <w:color w:val="000000"/>
                <w:kern w:val="0"/>
                <w:sz w:val="18"/>
                <w:szCs w:val="18"/>
              </w:rPr>
              <w:t>）区间，则按照该指标分值的</w:t>
            </w:r>
            <w:r>
              <w:rPr>
                <w:rFonts w:ascii="宋体" w:hAnsi="宋体" w:cs="宋体" w:hint="eastAsia"/>
                <w:color w:val="000000"/>
                <w:kern w:val="0"/>
                <w:sz w:val="18"/>
                <w:szCs w:val="18"/>
              </w:rPr>
              <w:t>20%</w:t>
            </w:r>
            <w:r>
              <w:rPr>
                <w:rFonts w:ascii="宋体" w:hAnsi="宋体" w:cs="宋体" w:hint="eastAsia"/>
                <w:color w:val="000000"/>
                <w:kern w:val="0"/>
                <w:sz w:val="18"/>
                <w:szCs w:val="18"/>
              </w:rPr>
              <w:t>扣分；计算结果高于</w:t>
            </w:r>
            <w:r>
              <w:rPr>
                <w:rFonts w:ascii="宋体" w:hAnsi="宋体" w:cs="宋体" w:hint="eastAsia"/>
                <w:color w:val="000000"/>
                <w:kern w:val="0"/>
                <w:sz w:val="18"/>
                <w:szCs w:val="18"/>
              </w:rPr>
              <w:t>500%</w:t>
            </w:r>
            <w:r>
              <w:rPr>
                <w:rFonts w:ascii="宋体" w:hAnsi="宋体" w:cs="宋体" w:hint="eastAsia"/>
                <w:color w:val="000000"/>
                <w:kern w:val="0"/>
                <w:sz w:val="18"/>
                <w:szCs w:val="18"/>
              </w:rPr>
              <w:t>（含</w:t>
            </w:r>
            <w:r>
              <w:rPr>
                <w:rFonts w:ascii="宋体" w:hAnsi="宋体" w:cs="宋体" w:hint="eastAsia"/>
                <w:color w:val="000000"/>
                <w:kern w:val="0"/>
                <w:sz w:val="18"/>
                <w:szCs w:val="18"/>
              </w:rPr>
              <w:t>500%</w:t>
            </w:r>
            <w:r>
              <w:rPr>
                <w:rFonts w:ascii="宋体" w:hAnsi="宋体" w:cs="宋体" w:hint="eastAsia"/>
                <w:color w:val="000000"/>
                <w:kern w:val="0"/>
                <w:sz w:val="18"/>
                <w:szCs w:val="18"/>
              </w:rPr>
              <w:t>），则按照该指标分值的</w:t>
            </w:r>
            <w:r>
              <w:rPr>
                <w:rFonts w:ascii="宋体" w:hAnsi="宋体" w:cs="宋体" w:hint="eastAsia"/>
                <w:color w:val="000000"/>
                <w:kern w:val="0"/>
                <w:sz w:val="18"/>
                <w:szCs w:val="18"/>
              </w:rPr>
              <w:t>30%</w:t>
            </w:r>
            <w:r>
              <w:rPr>
                <w:rFonts w:ascii="宋体" w:hAnsi="宋体" w:cs="宋体" w:hint="eastAsia"/>
                <w:color w:val="000000"/>
                <w:kern w:val="0"/>
                <w:sz w:val="18"/>
                <w:szCs w:val="18"/>
              </w:rPr>
              <w:t>扣分。</w:t>
            </w:r>
          </w:p>
        </w:tc>
      </w:tr>
      <w:tr w:rsidR="009C4651">
        <w:trPr>
          <w:cantSplit/>
          <w:trHeight w:val="600"/>
        </w:trPr>
        <w:tc>
          <w:tcPr>
            <w:tcW w:w="393" w:type="pct"/>
            <w:vMerge/>
            <w:tcBorders>
              <w:top w:val="nil"/>
              <w:left w:val="single" w:sz="4" w:space="0" w:color="auto"/>
              <w:bottom w:val="single" w:sz="4" w:space="0" w:color="000000"/>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tcBorders>
              <w:top w:val="single" w:sz="4" w:space="0" w:color="auto"/>
              <w:left w:val="single" w:sz="4" w:space="0" w:color="auto"/>
              <w:bottom w:val="single" w:sz="4" w:space="0" w:color="auto"/>
              <w:right w:val="nil"/>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基本支出</w:t>
            </w:r>
          </w:p>
        </w:tc>
        <w:tc>
          <w:tcPr>
            <w:tcW w:w="362"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5608.55</w:t>
            </w:r>
          </w:p>
        </w:tc>
        <w:tc>
          <w:tcPr>
            <w:tcW w:w="48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5398.24</w:t>
            </w:r>
          </w:p>
        </w:tc>
        <w:tc>
          <w:tcPr>
            <w:tcW w:w="304" w:type="pct"/>
            <w:vMerge w:val="restar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293" w:type="pct"/>
            <w:vMerge/>
            <w:tcBorders>
              <w:top w:val="single" w:sz="4" w:space="0" w:color="auto"/>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05" w:type="pct"/>
            <w:vMerge/>
            <w:tcBorders>
              <w:top w:val="single" w:sz="4" w:space="0" w:color="auto"/>
              <w:left w:val="nil"/>
              <w:bottom w:val="single" w:sz="4" w:space="0" w:color="auto"/>
              <w:right w:val="nil"/>
            </w:tcBorders>
            <w:vAlign w:val="center"/>
          </w:tcPr>
          <w:p w:rsidR="009C4651" w:rsidRDefault="009C4651">
            <w:pPr>
              <w:widowControl/>
              <w:jc w:val="left"/>
              <w:rPr>
                <w:rFonts w:ascii="宋体" w:hAnsi="宋体" w:cs="宋体"/>
                <w:color w:val="000000"/>
                <w:kern w:val="0"/>
                <w:sz w:val="20"/>
                <w:szCs w:val="20"/>
              </w:rPr>
            </w:pPr>
          </w:p>
        </w:tc>
        <w:tc>
          <w:tcPr>
            <w:tcW w:w="1241" w:type="pct"/>
            <w:vMerge/>
            <w:tcBorders>
              <w:top w:val="single" w:sz="4" w:space="0" w:color="auto"/>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c>
          <w:tcPr>
            <w:tcW w:w="1223" w:type="pct"/>
            <w:vMerge/>
            <w:tcBorders>
              <w:top w:val="nil"/>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r>
      <w:tr w:rsidR="009C4651">
        <w:trPr>
          <w:cantSplit/>
          <w:trHeight w:val="615"/>
        </w:trPr>
        <w:tc>
          <w:tcPr>
            <w:tcW w:w="393" w:type="pct"/>
            <w:vMerge/>
            <w:tcBorders>
              <w:top w:val="nil"/>
              <w:left w:val="single" w:sz="4" w:space="0" w:color="auto"/>
              <w:bottom w:val="single" w:sz="4" w:space="0" w:color="000000"/>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tcBorders>
              <w:top w:val="single" w:sz="4" w:space="0" w:color="auto"/>
              <w:left w:val="single" w:sz="4" w:space="0" w:color="auto"/>
              <w:bottom w:val="single" w:sz="4" w:space="0" w:color="auto"/>
              <w:right w:val="nil"/>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项目支出</w:t>
            </w:r>
          </w:p>
        </w:tc>
        <w:tc>
          <w:tcPr>
            <w:tcW w:w="362"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23403.60</w:t>
            </w:r>
          </w:p>
        </w:tc>
        <w:tc>
          <w:tcPr>
            <w:tcW w:w="48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23024.17</w:t>
            </w:r>
          </w:p>
        </w:tc>
        <w:tc>
          <w:tcPr>
            <w:tcW w:w="304" w:type="pct"/>
            <w:vMerge/>
            <w:tcBorders>
              <w:top w:val="single" w:sz="4" w:space="0" w:color="auto"/>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293" w:type="pct"/>
            <w:vMerge/>
            <w:tcBorders>
              <w:top w:val="single" w:sz="4" w:space="0" w:color="auto"/>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05" w:type="pct"/>
            <w:vMerge/>
            <w:tcBorders>
              <w:top w:val="single" w:sz="4" w:space="0" w:color="auto"/>
              <w:left w:val="nil"/>
              <w:bottom w:val="single" w:sz="4" w:space="0" w:color="auto"/>
              <w:right w:val="nil"/>
            </w:tcBorders>
            <w:vAlign w:val="center"/>
          </w:tcPr>
          <w:p w:rsidR="009C4651" w:rsidRDefault="009C4651">
            <w:pPr>
              <w:widowControl/>
              <w:jc w:val="left"/>
              <w:rPr>
                <w:rFonts w:ascii="宋体" w:hAnsi="宋体" w:cs="宋体"/>
                <w:color w:val="000000"/>
                <w:kern w:val="0"/>
                <w:sz w:val="20"/>
                <w:szCs w:val="20"/>
              </w:rPr>
            </w:pPr>
          </w:p>
        </w:tc>
        <w:tc>
          <w:tcPr>
            <w:tcW w:w="1241" w:type="pct"/>
            <w:vMerge/>
            <w:tcBorders>
              <w:top w:val="single" w:sz="4" w:space="0" w:color="auto"/>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c>
          <w:tcPr>
            <w:tcW w:w="1223" w:type="pct"/>
            <w:vMerge/>
            <w:tcBorders>
              <w:top w:val="nil"/>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r>
      <w:tr w:rsidR="009C4651">
        <w:trPr>
          <w:cantSplit/>
          <w:trHeight w:val="3167"/>
        </w:trPr>
        <w:tc>
          <w:tcPr>
            <w:tcW w:w="393" w:type="pct"/>
            <w:vMerge/>
            <w:tcBorders>
              <w:top w:val="nil"/>
              <w:left w:val="single" w:sz="4" w:space="0" w:color="auto"/>
              <w:bottom w:val="single" w:sz="4" w:space="0" w:color="000000"/>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36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r>
              <w:rPr>
                <w:rFonts w:ascii="宋体" w:hAnsi="宋体" w:cs="宋体" w:hint="eastAsia"/>
                <w:color w:val="000000"/>
                <w:kern w:val="0"/>
                <w:sz w:val="20"/>
                <w:szCs w:val="20"/>
              </w:rPr>
              <w:t xml:space="preserve">　</w:t>
            </w:r>
          </w:p>
        </w:tc>
        <w:tc>
          <w:tcPr>
            <w:tcW w:w="48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p>
        </w:tc>
        <w:tc>
          <w:tcPr>
            <w:tcW w:w="304" w:type="pct"/>
            <w:vMerge/>
            <w:tcBorders>
              <w:top w:val="single" w:sz="4" w:space="0" w:color="auto"/>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293" w:type="pct"/>
            <w:vMerge/>
            <w:tcBorders>
              <w:top w:val="single" w:sz="4" w:space="0" w:color="auto"/>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05" w:type="pct"/>
            <w:vMerge/>
            <w:tcBorders>
              <w:top w:val="single" w:sz="4" w:space="0" w:color="auto"/>
              <w:left w:val="nil"/>
              <w:bottom w:val="single" w:sz="4" w:space="0" w:color="auto"/>
              <w:right w:val="nil"/>
            </w:tcBorders>
            <w:vAlign w:val="center"/>
          </w:tcPr>
          <w:p w:rsidR="009C4651" w:rsidRDefault="009C4651">
            <w:pPr>
              <w:widowControl/>
              <w:jc w:val="left"/>
              <w:rPr>
                <w:rFonts w:ascii="宋体" w:hAnsi="宋体" w:cs="宋体"/>
                <w:color w:val="000000"/>
                <w:kern w:val="0"/>
                <w:sz w:val="20"/>
                <w:szCs w:val="20"/>
              </w:rPr>
            </w:pPr>
          </w:p>
        </w:tc>
        <w:tc>
          <w:tcPr>
            <w:tcW w:w="1241" w:type="pct"/>
            <w:vMerge/>
            <w:tcBorders>
              <w:top w:val="single" w:sz="4" w:space="0" w:color="auto"/>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c>
          <w:tcPr>
            <w:tcW w:w="1223" w:type="pct"/>
            <w:vMerge/>
            <w:tcBorders>
              <w:top w:val="nil"/>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r>
      <w:tr w:rsidR="009C4651">
        <w:trPr>
          <w:cantSplit/>
          <w:trHeight w:val="479"/>
        </w:trPr>
        <w:tc>
          <w:tcPr>
            <w:tcW w:w="5000" w:type="pct"/>
            <w:gridSpan w:val="9"/>
            <w:tcBorders>
              <w:top w:val="nil"/>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二</w:t>
            </w:r>
            <w:r>
              <w:rPr>
                <w:rFonts w:ascii="宋体" w:hAnsi="宋体" w:cs="宋体"/>
                <w:color w:val="000000"/>
                <w:kern w:val="0"/>
                <w:sz w:val="18"/>
                <w:szCs w:val="18"/>
              </w:rPr>
              <w:t>、</w:t>
            </w:r>
            <w:r>
              <w:rPr>
                <w:rFonts w:ascii="宋体" w:hAnsi="宋体" w:cs="宋体" w:hint="eastAsia"/>
                <w:color w:val="000000"/>
                <w:kern w:val="0"/>
                <w:sz w:val="20"/>
                <w:szCs w:val="20"/>
              </w:rPr>
              <w:t>整体绩效目标实现情况（</w:t>
            </w:r>
            <w:r>
              <w:rPr>
                <w:rFonts w:ascii="宋体" w:hAnsi="宋体" w:cs="宋体" w:hint="eastAsia"/>
                <w:color w:val="000000"/>
                <w:kern w:val="0"/>
                <w:sz w:val="20"/>
                <w:szCs w:val="20"/>
              </w:rPr>
              <w:t>60</w:t>
            </w:r>
            <w:r>
              <w:rPr>
                <w:rFonts w:ascii="宋体" w:hAnsi="宋体" w:cs="宋体" w:hint="eastAsia"/>
                <w:color w:val="000000"/>
                <w:kern w:val="0"/>
                <w:sz w:val="20"/>
                <w:szCs w:val="20"/>
              </w:rPr>
              <w:t>分）</w:t>
            </w:r>
          </w:p>
        </w:tc>
      </w:tr>
      <w:tr w:rsidR="009C4651">
        <w:trPr>
          <w:cantSplit/>
          <w:trHeight w:val="499"/>
        </w:trPr>
        <w:tc>
          <w:tcPr>
            <w:tcW w:w="393"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一</w:t>
            </w:r>
            <w:r>
              <w:rPr>
                <w:rFonts w:ascii="宋体" w:hAnsi="宋体" w:cs="宋体"/>
                <w:color w:val="000000"/>
                <w:kern w:val="0"/>
                <w:sz w:val="20"/>
                <w:szCs w:val="20"/>
              </w:rPr>
              <w:t>级指标</w:t>
            </w:r>
          </w:p>
        </w:tc>
        <w:tc>
          <w:tcPr>
            <w:tcW w:w="394"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二</w:t>
            </w:r>
            <w:r>
              <w:rPr>
                <w:rFonts w:ascii="宋体" w:hAnsi="宋体" w:cs="宋体"/>
                <w:color w:val="000000"/>
                <w:kern w:val="0"/>
                <w:sz w:val="20"/>
                <w:szCs w:val="20"/>
              </w:rPr>
              <w:t>级指标</w:t>
            </w:r>
            <w:r>
              <w:rPr>
                <w:rFonts w:ascii="宋体" w:hAnsi="宋体" w:cs="宋体" w:hint="eastAsia"/>
                <w:color w:val="000000"/>
                <w:kern w:val="0"/>
                <w:sz w:val="20"/>
                <w:szCs w:val="20"/>
              </w:rPr>
              <w:t xml:space="preserve">　</w:t>
            </w:r>
          </w:p>
        </w:tc>
        <w:tc>
          <w:tcPr>
            <w:tcW w:w="36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三</w:t>
            </w:r>
            <w:r>
              <w:rPr>
                <w:rFonts w:ascii="宋体" w:hAnsi="宋体" w:cs="宋体"/>
                <w:color w:val="000000"/>
                <w:kern w:val="0"/>
                <w:sz w:val="20"/>
                <w:szCs w:val="20"/>
              </w:rPr>
              <w:t>级指标</w:t>
            </w:r>
            <w:r>
              <w:rPr>
                <w:rFonts w:ascii="宋体" w:hAnsi="宋体" w:cs="宋体" w:hint="eastAsia"/>
                <w:color w:val="000000"/>
                <w:kern w:val="0"/>
                <w:sz w:val="20"/>
                <w:szCs w:val="20"/>
              </w:rPr>
              <w:t xml:space="preserve">　</w:t>
            </w:r>
          </w:p>
        </w:tc>
        <w:tc>
          <w:tcPr>
            <w:tcW w:w="48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指标值</w:t>
            </w:r>
          </w:p>
        </w:tc>
        <w:tc>
          <w:tcPr>
            <w:tcW w:w="304"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完成值</w:t>
            </w:r>
          </w:p>
        </w:tc>
        <w:tc>
          <w:tcPr>
            <w:tcW w:w="293"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305" w:type="pct"/>
            <w:tcBorders>
              <w:top w:val="single" w:sz="4" w:space="0" w:color="auto"/>
              <w:left w:val="nil"/>
              <w:bottom w:val="single" w:sz="4" w:space="0" w:color="auto"/>
              <w:right w:val="nil"/>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241"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指标</w:t>
            </w:r>
            <w:r>
              <w:rPr>
                <w:rFonts w:ascii="宋体" w:hAnsi="宋体" w:cs="宋体"/>
                <w:bCs/>
                <w:color w:val="000000"/>
                <w:kern w:val="0"/>
                <w:sz w:val="18"/>
                <w:szCs w:val="18"/>
              </w:rPr>
              <w:t>解释</w:t>
            </w:r>
          </w:p>
        </w:tc>
        <w:tc>
          <w:tcPr>
            <w:tcW w:w="1223"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18"/>
                <w:szCs w:val="18"/>
              </w:rPr>
            </w:pPr>
            <w:r>
              <w:rPr>
                <w:rFonts w:ascii="宋体" w:hAnsi="宋体" w:cs="宋体" w:hint="eastAsia"/>
                <w:color w:val="000000"/>
                <w:kern w:val="0"/>
                <w:sz w:val="18"/>
                <w:szCs w:val="18"/>
              </w:rPr>
              <w:t>评</w:t>
            </w:r>
            <w:r>
              <w:rPr>
                <w:rFonts w:ascii="宋体" w:hAnsi="宋体" w:cs="宋体"/>
                <w:color w:val="000000"/>
                <w:kern w:val="0"/>
                <w:sz w:val="18"/>
                <w:szCs w:val="18"/>
              </w:rPr>
              <w:t>分标准</w:t>
            </w:r>
          </w:p>
        </w:tc>
      </w:tr>
      <w:tr w:rsidR="009C4651">
        <w:trPr>
          <w:cantSplit/>
          <w:trHeight w:val="2422"/>
        </w:trPr>
        <w:tc>
          <w:tcPr>
            <w:tcW w:w="393" w:type="pct"/>
            <w:vMerge w:val="restart"/>
            <w:tcBorders>
              <w:top w:val="single" w:sz="4" w:space="0" w:color="auto"/>
              <w:left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整体绩效目标实现情况（</w:t>
            </w:r>
            <w:r>
              <w:rPr>
                <w:rFonts w:ascii="宋体" w:hAnsi="宋体" w:cs="宋体" w:hint="eastAsia"/>
                <w:color w:val="000000"/>
                <w:kern w:val="0"/>
                <w:sz w:val="20"/>
                <w:szCs w:val="20"/>
              </w:rPr>
              <w:t>60</w:t>
            </w:r>
            <w:r>
              <w:rPr>
                <w:rFonts w:ascii="宋体" w:hAnsi="宋体" w:cs="宋体" w:hint="eastAsia"/>
                <w:color w:val="000000"/>
                <w:kern w:val="0"/>
                <w:sz w:val="20"/>
                <w:szCs w:val="20"/>
              </w:rPr>
              <w:t>）</w:t>
            </w:r>
          </w:p>
        </w:tc>
        <w:tc>
          <w:tcPr>
            <w:tcW w:w="394" w:type="pct"/>
            <w:vMerge w:val="restart"/>
            <w:tcBorders>
              <w:top w:val="single" w:sz="4" w:space="0" w:color="auto"/>
              <w:left w:val="nil"/>
              <w:right w:val="single" w:sz="4" w:space="0" w:color="auto"/>
            </w:tcBorders>
            <w:vAlign w:val="center"/>
          </w:tcPr>
          <w:p w:rsidR="009C4651" w:rsidRDefault="009C4651">
            <w:pPr>
              <w:widowControl/>
              <w:jc w:val="center"/>
              <w:rPr>
                <w:rFonts w:ascii="宋体" w:hAnsi="宋体" w:cs="宋体"/>
                <w:color w:val="000000"/>
                <w:kern w:val="0"/>
                <w:sz w:val="20"/>
                <w:szCs w:val="20"/>
              </w:rPr>
            </w:pPr>
          </w:p>
          <w:p w:rsidR="009C4651" w:rsidRDefault="0003357C">
            <w:pPr>
              <w:jc w:val="center"/>
              <w:rPr>
                <w:rFonts w:ascii="宋体" w:hAnsi="宋体" w:cs="宋体"/>
                <w:color w:val="000000"/>
                <w:kern w:val="0"/>
                <w:sz w:val="20"/>
                <w:szCs w:val="20"/>
              </w:rPr>
            </w:pPr>
            <w:r>
              <w:rPr>
                <w:rFonts w:ascii="宋体" w:hAnsi="宋体" w:cs="宋体" w:hint="eastAsia"/>
                <w:color w:val="000000"/>
                <w:kern w:val="0"/>
                <w:sz w:val="20"/>
                <w:szCs w:val="20"/>
              </w:rPr>
              <w:t>产出（</w:t>
            </w:r>
            <w:r>
              <w:rPr>
                <w:rFonts w:ascii="宋体" w:hAnsi="宋体" w:cs="宋体" w:hint="eastAsia"/>
                <w:color w:val="000000"/>
                <w:kern w:val="0"/>
                <w:sz w:val="20"/>
                <w:szCs w:val="20"/>
              </w:rPr>
              <w:t>30</w:t>
            </w:r>
            <w:r>
              <w:rPr>
                <w:rFonts w:ascii="宋体" w:hAnsi="宋体" w:cs="宋体" w:hint="eastAsia"/>
                <w:color w:val="000000"/>
                <w:kern w:val="0"/>
                <w:sz w:val="20"/>
                <w:szCs w:val="20"/>
              </w:rPr>
              <w:t>）</w:t>
            </w:r>
          </w:p>
        </w:tc>
        <w:tc>
          <w:tcPr>
            <w:tcW w:w="362" w:type="pct"/>
            <w:tcBorders>
              <w:top w:val="single" w:sz="4" w:space="0" w:color="auto"/>
              <w:left w:val="nil"/>
              <w:bottom w:val="single" w:sz="4" w:space="0" w:color="auto"/>
              <w:right w:val="single" w:sz="4" w:space="0" w:color="auto"/>
            </w:tcBorders>
            <w:vAlign w:val="center"/>
          </w:tcPr>
          <w:p w:rsidR="009C4651" w:rsidRDefault="0003357C">
            <w:pPr>
              <w:jc w:val="center"/>
              <w:rPr>
                <w:rFonts w:ascii="宋体" w:hAnsi="宋体" w:cs="宋体"/>
                <w:color w:val="000000"/>
                <w:kern w:val="0"/>
                <w:sz w:val="20"/>
                <w:szCs w:val="20"/>
              </w:rPr>
            </w:pPr>
            <w:r>
              <w:rPr>
                <w:rFonts w:ascii="宋体" w:hAnsi="宋体" w:cs="宋体" w:hint="eastAsia"/>
                <w:color w:val="000000"/>
                <w:kern w:val="0"/>
                <w:sz w:val="20"/>
                <w:szCs w:val="20"/>
              </w:rPr>
              <w:t>产出数量</w:t>
            </w:r>
          </w:p>
        </w:tc>
        <w:tc>
          <w:tcPr>
            <w:tcW w:w="482" w:type="pct"/>
            <w:tcBorders>
              <w:top w:val="single" w:sz="4" w:space="0" w:color="auto"/>
              <w:left w:val="nil"/>
              <w:bottom w:val="single" w:sz="4" w:space="0" w:color="auto"/>
              <w:right w:val="single" w:sz="4" w:space="0" w:color="auto"/>
            </w:tcBorders>
            <w:vAlign w:val="center"/>
          </w:tcPr>
          <w:p w:rsidR="009C4651" w:rsidRDefault="0003357C">
            <w:pPr>
              <w:jc w:val="center"/>
              <w:rPr>
                <w:rFonts w:ascii="宋体" w:hAnsi="宋体" w:cs="宋体"/>
                <w:color w:val="000000"/>
                <w:kern w:val="0"/>
                <w:sz w:val="18"/>
                <w:szCs w:val="18"/>
              </w:rPr>
            </w:pPr>
            <w:r>
              <w:rPr>
                <w:rFonts w:ascii="宋体" w:hAnsi="宋体" w:cs="宋体" w:hint="eastAsia"/>
                <w:color w:val="000000"/>
                <w:kern w:val="0"/>
                <w:sz w:val="18"/>
                <w:szCs w:val="18"/>
              </w:rPr>
              <w:t>完成重大任务</w:t>
            </w:r>
            <w:r>
              <w:rPr>
                <w:rFonts w:ascii="宋体" w:hAnsi="宋体" w:cs="宋体" w:hint="eastAsia"/>
                <w:color w:val="000000"/>
                <w:kern w:val="0"/>
                <w:sz w:val="18"/>
                <w:szCs w:val="18"/>
              </w:rPr>
              <w:t>、</w:t>
            </w:r>
            <w:r>
              <w:rPr>
                <w:rFonts w:ascii="宋体" w:hAnsi="宋体" w:cs="宋体" w:hint="eastAsia"/>
                <w:color w:val="000000"/>
                <w:kern w:val="0"/>
                <w:sz w:val="18"/>
                <w:szCs w:val="18"/>
              </w:rPr>
              <w:t>落实立德树人</w:t>
            </w:r>
            <w:r>
              <w:rPr>
                <w:rFonts w:ascii="宋体" w:hAnsi="宋体" w:cs="宋体" w:hint="eastAsia"/>
                <w:color w:val="000000"/>
                <w:kern w:val="0"/>
                <w:sz w:val="18"/>
                <w:szCs w:val="18"/>
              </w:rPr>
              <w:t>、加强党的建设、维护校园安稳、加强干部人才队伍建设等</w:t>
            </w:r>
          </w:p>
        </w:tc>
        <w:tc>
          <w:tcPr>
            <w:tcW w:w="304" w:type="pct"/>
            <w:tcBorders>
              <w:top w:val="single" w:sz="4" w:space="0" w:color="auto"/>
              <w:left w:val="nil"/>
              <w:bottom w:val="single" w:sz="4" w:space="0" w:color="auto"/>
              <w:right w:val="single" w:sz="4" w:space="0" w:color="auto"/>
            </w:tcBorders>
            <w:vAlign w:val="center"/>
          </w:tcPr>
          <w:p w:rsidR="009C4651" w:rsidRDefault="0003357C">
            <w:pPr>
              <w:jc w:val="center"/>
              <w:rPr>
                <w:rFonts w:ascii="宋体" w:hAnsi="宋体" w:cs="宋体"/>
                <w:color w:val="000000"/>
                <w:kern w:val="0"/>
                <w:sz w:val="20"/>
                <w:szCs w:val="20"/>
              </w:rPr>
            </w:pPr>
            <w:r>
              <w:rPr>
                <w:rFonts w:ascii="宋体" w:hAnsi="宋体" w:cs="宋体" w:hint="eastAsia"/>
                <w:color w:val="000000"/>
                <w:kern w:val="0"/>
                <w:sz w:val="20"/>
                <w:szCs w:val="20"/>
              </w:rPr>
              <w:t>优</w:t>
            </w:r>
          </w:p>
        </w:tc>
        <w:tc>
          <w:tcPr>
            <w:tcW w:w="293" w:type="pct"/>
            <w:vMerge w:val="restart"/>
            <w:tcBorders>
              <w:top w:val="single" w:sz="4" w:space="0" w:color="auto"/>
              <w:left w:val="nil"/>
              <w:bottom w:val="single" w:sz="4" w:space="0" w:color="auto"/>
              <w:right w:val="single" w:sz="4" w:space="0" w:color="auto"/>
            </w:tcBorders>
            <w:vAlign w:val="center"/>
          </w:tcPr>
          <w:p w:rsidR="009C4651" w:rsidRDefault="009C4651">
            <w:pPr>
              <w:widowControl/>
              <w:jc w:val="center"/>
              <w:rPr>
                <w:rFonts w:ascii="宋体" w:hAnsi="宋体" w:cs="宋体"/>
                <w:color w:val="000000"/>
                <w:kern w:val="0"/>
                <w:sz w:val="20"/>
                <w:szCs w:val="20"/>
              </w:rPr>
            </w:pPr>
          </w:p>
          <w:p w:rsidR="009C4651" w:rsidRDefault="0003357C">
            <w:pPr>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05" w:type="pct"/>
            <w:tcBorders>
              <w:top w:val="single" w:sz="4" w:space="0" w:color="auto"/>
              <w:left w:val="nil"/>
              <w:bottom w:val="single" w:sz="4" w:space="0" w:color="auto"/>
              <w:right w:val="nil"/>
            </w:tcBorders>
            <w:vAlign w:val="center"/>
          </w:tcPr>
          <w:p w:rsidR="009C4651" w:rsidRDefault="009C4651">
            <w:pPr>
              <w:widowControl/>
              <w:jc w:val="center"/>
              <w:rPr>
                <w:rFonts w:ascii="宋体" w:hAnsi="宋体" w:cs="宋体"/>
                <w:color w:val="000000"/>
                <w:kern w:val="0"/>
                <w:sz w:val="20"/>
                <w:szCs w:val="20"/>
              </w:rPr>
            </w:pPr>
          </w:p>
          <w:p w:rsidR="009C4651" w:rsidRDefault="0003357C">
            <w:pPr>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241" w:type="pct"/>
            <w:vMerge w:val="restar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产出数量</w:t>
            </w:r>
            <w:r>
              <w:rPr>
                <w:rFonts w:ascii="宋体" w:hAnsi="宋体" w:cs="宋体" w:hint="eastAsia"/>
                <w:color w:val="000000"/>
                <w:kern w:val="0"/>
                <w:sz w:val="18"/>
                <w:szCs w:val="18"/>
              </w:rPr>
              <w:t>：计划完成率</w:t>
            </w:r>
            <w:r>
              <w:rPr>
                <w:rFonts w:ascii="宋体" w:hAnsi="宋体" w:cs="宋体" w:hint="eastAsia"/>
                <w:color w:val="000000"/>
                <w:kern w:val="0"/>
                <w:sz w:val="18"/>
                <w:szCs w:val="18"/>
              </w:rPr>
              <w:t>=</w:t>
            </w:r>
            <w:r>
              <w:rPr>
                <w:rFonts w:ascii="宋体" w:hAnsi="宋体" w:cs="宋体" w:hint="eastAsia"/>
                <w:color w:val="000000"/>
                <w:kern w:val="0"/>
                <w:sz w:val="18"/>
                <w:szCs w:val="18"/>
              </w:rPr>
              <w:t>（实际完成工作数</w:t>
            </w:r>
            <w:r>
              <w:rPr>
                <w:rFonts w:ascii="宋体" w:hAnsi="宋体" w:cs="宋体" w:hint="eastAsia"/>
                <w:color w:val="000000"/>
                <w:kern w:val="0"/>
                <w:sz w:val="18"/>
                <w:szCs w:val="18"/>
              </w:rPr>
              <w:t>/</w:t>
            </w:r>
            <w:r>
              <w:rPr>
                <w:rFonts w:ascii="宋体" w:hAnsi="宋体" w:cs="宋体" w:hint="eastAsia"/>
                <w:color w:val="000000"/>
                <w:kern w:val="0"/>
                <w:sz w:val="18"/>
                <w:szCs w:val="18"/>
              </w:rPr>
              <w:t>计划工作数）×</w:t>
            </w:r>
            <w:r>
              <w:rPr>
                <w:rFonts w:ascii="宋体" w:hAnsi="宋体" w:cs="宋体" w:hint="eastAsia"/>
                <w:color w:val="000000"/>
                <w:kern w:val="0"/>
                <w:sz w:val="18"/>
                <w:szCs w:val="18"/>
              </w:rPr>
              <w:t>100%</w:t>
            </w:r>
            <w:r>
              <w:rPr>
                <w:rFonts w:ascii="宋体" w:hAnsi="宋体" w:cs="宋体" w:hint="eastAsia"/>
                <w:color w:val="000000"/>
                <w:kern w:val="0"/>
                <w:sz w:val="18"/>
                <w:szCs w:val="18"/>
              </w:rPr>
              <w:t>。实际完成工作数：一定时期（年度或规划期）内部门（单位）实际完成工作任务的数量。计划工作数：部门（单位）整体绩效目标确定的一定时期（年度或规划期）内预计完成工作任务的数量。</w:t>
            </w:r>
            <w:r>
              <w:rPr>
                <w:rFonts w:ascii="宋体" w:hAnsi="宋体" w:cs="宋体" w:hint="eastAsia"/>
                <w:b/>
                <w:bCs/>
                <w:color w:val="000000"/>
                <w:kern w:val="0"/>
                <w:sz w:val="18"/>
                <w:szCs w:val="18"/>
              </w:rPr>
              <w:t>产出质量</w:t>
            </w:r>
            <w:r>
              <w:rPr>
                <w:rFonts w:ascii="宋体" w:hAnsi="宋体" w:cs="宋体" w:hint="eastAsia"/>
                <w:color w:val="000000"/>
                <w:kern w:val="0"/>
                <w:sz w:val="18"/>
                <w:szCs w:val="18"/>
              </w:rPr>
              <w:t>：质量达标率</w:t>
            </w:r>
            <w:r>
              <w:rPr>
                <w:rFonts w:ascii="宋体" w:hAnsi="宋体" w:cs="宋体" w:hint="eastAsia"/>
                <w:color w:val="000000"/>
                <w:kern w:val="0"/>
                <w:sz w:val="18"/>
                <w:szCs w:val="18"/>
              </w:rPr>
              <w:t>=</w:t>
            </w:r>
            <w:r>
              <w:rPr>
                <w:rFonts w:ascii="宋体" w:hAnsi="宋体" w:cs="宋体" w:hint="eastAsia"/>
                <w:color w:val="000000"/>
                <w:kern w:val="0"/>
                <w:sz w:val="18"/>
                <w:szCs w:val="18"/>
              </w:rPr>
              <w:t>质量达标工作数</w:t>
            </w:r>
            <w:r>
              <w:rPr>
                <w:rFonts w:ascii="宋体" w:hAnsi="宋体" w:cs="宋体" w:hint="eastAsia"/>
                <w:color w:val="000000"/>
                <w:kern w:val="0"/>
                <w:sz w:val="18"/>
                <w:szCs w:val="18"/>
              </w:rPr>
              <w:t>/</w:t>
            </w:r>
            <w:r>
              <w:rPr>
                <w:rFonts w:ascii="宋体" w:hAnsi="宋体" w:cs="宋体" w:hint="eastAsia"/>
                <w:color w:val="000000"/>
                <w:kern w:val="0"/>
                <w:sz w:val="18"/>
                <w:szCs w:val="18"/>
              </w:rPr>
              <w:t>实际完成工作数×</w:t>
            </w:r>
            <w:r>
              <w:rPr>
                <w:rFonts w:ascii="宋体" w:hAnsi="宋体" w:cs="宋体" w:hint="eastAsia"/>
                <w:color w:val="000000"/>
                <w:kern w:val="0"/>
                <w:sz w:val="18"/>
                <w:szCs w:val="18"/>
              </w:rPr>
              <w:t>100%</w:t>
            </w:r>
            <w:r>
              <w:rPr>
                <w:rFonts w:ascii="宋体" w:hAnsi="宋体" w:cs="宋体" w:hint="eastAsia"/>
                <w:color w:val="000000"/>
                <w:kern w:val="0"/>
                <w:sz w:val="18"/>
                <w:szCs w:val="18"/>
              </w:rPr>
              <w:t>。质量达标工作数：一定时期（年度或规划期）内部门（单位）实际完成工作数中达到部门绩效目标要求（绩效标准值）的工作任务数量。</w:t>
            </w:r>
            <w:r>
              <w:rPr>
                <w:rFonts w:ascii="宋体" w:hAnsi="宋体" w:cs="宋体" w:hint="eastAsia"/>
                <w:b/>
                <w:bCs/>
                <w:color w:val="000000"/>
                <w:kern w:val="0"/>
                <w:sz w:val="18"/>
                <w:szCs w:val="18"/>
              </w:rPr>
              <w:t>产出进度：</w:t>
            </w:r>
            <w:r>
              <w:rPr>
                <w:rFonts w:ascii="宋体" w:hAnsi="宋体" w:cs="宋体" w:hint="eastAsia"/>
                <w:color w:val="000000"/>
                <w:kern w:val="0"/>
                <w:sz w:val="18"/>
                <w:szCs w:val="18"/>
              </w:rPr>
              <w:t>按时完成率</w:t>
            </w:r>
            <w:r>
              <w:rPr>
                <w:rFonts w:ascii="宋体" w:hAnsi="宋体" w:cs="宋体" w:hint="eastAsia"/>
                <w:color w:val="000000"/>
                <w:kern w:val="0"/>
                <w:sz w:val="18"/>
                <w:szCs w:val="18"/>
              </w:rPr>
              <w:t>=</w:t>
            </w:r>
            <w:r>
              <w:rPr>
                <w:rFonts w:ascii="宋体" w:hAnsi="宋体" w:cs="宋体" w:hint="eastAsia"/>
                <w:color w:val="000000"/>
                <w:kern w:val="0"/>
                <w:sz w:val="18"/>
                <w:szCs w:val="18"/>
              </w:rPr>
              <w:t>（按时完成工作数</w:t>
            </w:r>
            <w:r>
              <w:rPr>
                <w:rFonts w:ascii="宋体" w:hAnsi="宋体" w:cs="宋体" w:hint="eastAsia"/>
                <w:color w:val="000000"/>
                <w:kern w:val="0"/>
                <w:sz w:val="18"/>
                <w:szCs w:val="18"/>
              </w:rPr>
              <w:t>/</w:t>
            </w:r>
            <w:r>
              <w:rPr>
                <w:rFonts w:ascii="宋体" w:hAnsi="宋体" w:cs="宋体" w:hint="eastAsia"/>
                <w:color w:val="000000"/>
                <w:kern w:val="0"/>
                <w:sz w:val="18"/>
                <w:szCs w:val="18"/>
              </w:rPr>
              <w:t>实际完成工作数）×</w:t>
            </w:r>
            <w:r>
              <w:rPr>
                <w:rFonts w:ascii="宋体" w:hAnsi="宋体" w:cs="宋体" w:hint="eastAsia"/>
                <w:color w:val="000000"/>
                <w:kern w:val="0"/>
                <w:sz w:val="18"/>
                <w:szCs w:val="18"/>
              </w:rPr>
              <w:t>100%</w:t>
            </w:r>
            <w:r>
              <w:rPr>
                <w:rFonts w:ascii="宋体" w:hAnsi="宋体" w:cs="宋体" w:hint="eastAsia"/>
                <w:color w:val="000000"/>
                <w:kern w:val="0"/>
                <w:sz w:val="18"/>
                <w:szCs w:val="18"/>
              </w:rPr>
              <w:t>。按时完成工作数：部门（单位）按照整体绩效目标确定的时限实际完成的工作任务数量。</w:t>
            </w:r>
            <w:r>
              <w:rPr>
                <w:rFonts w:ascii="宋体" w:hAnsi="宋体" w:cs="宋体" w:hint="eastAsia"/>
                <w:b/>
                <w:bCs/>
                <w:color w:val="000000"/>
                <w:kern w:val="0"/>
                <w:sz w:val="18"/>
                <w:szCs w:val="18"/>
              </w:rPr>
              <w:t>产出成本</w:t>
            </w:r>
            <w:r>
              <w:rPr>
                <w:rFonts w:ascii="宋体" w:hAnsi="宋体" w:cs="宋体" w:hint="eastAsia"/>
                <w:color w:val="000000"/>
                <w:kern w:val="0"/>
                <w:sz w:val="18"/>
                <w:szCs w:val="18"/>
              </w:rPr>
              <w:t>：单位产出相对于上一年度的节约额；②单位产出相对于市场同类产出的节约额；③部门公用经费的控制情况。</w:t>
            </w:r>
          </w:p>
        </w:tc>
        <w:tc>
          <w:tcPr>
            <w:tcW w:w="1223" w:type="pct"/>
            <w:vMerge w:val="restar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部门根据本单位情况自行确定并选择产出指标，合理确定各项指标权重。可量化的指标按照比</w:t>
            </w:r>
            <w:r>
              <w:rPr>
                <w:rFonts w:ascii="宋体" w:hAnsi="宋体" w:cs="宋体" w:hint="eastAsia"/>
                <w:color w:val="000000"/>
                <w:kern w:val="0"/>
                <w:sz w:val="18"/>
                <w:szCs w:val="18"/>
              </w:rPr>
              <w:t>率</w:t>
            </w:r>
            <w:r>
              <w:rPr>
                <w:rFonts w:ascii="宋体" w:hAnsi="宋体" w:cs="宋体" w:hint="eastAsia"/>
                <w:color w:val="000000"/>
                <w:kern w:val="0"/>
                <w:sz w:val="18"/>
                <w:szCs w:val="18"/>
              </w:rPr>
              <w:t>*</w:t>
            </w:r>
            <w:r>
              <w:rPr>
                <w:rFonts w:ascii="宋体" w:hAnsi="宋体" w:cs="宋体" w:hint="eastAsia"/>
                <w:color w:val="000000"/>
                <w:kern w:val="0"/>
                <w:sz w:val="18"/>
                <w:szCs w:val="18"/>
              </w:rPr>
              <w:t>单项指标分值即为该指标得分。如果不能定量评价，则以定性的方式进行自评。</w:t>
            </w:r>
          </w:p>
        </w:tc>
      </w:tr>
      <w:tr w:rsidR="009C4651">
        <w:trPr>
          <w:cantSplit/>
          <w:trHeight w:val="1180"/>
        </w:trPr>
        <w:tc>
          <w:tcPr>
            <w:tcW w:w="393"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6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产出质量</w:t>
            </w:r>
          </w:p>
        </w:tc>
        <w:tc>
          <w:tcPr>
            <w:tcW w:w="48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18"/>
                <w:szCs w:val="18"/>
              </w:rPr>
            </w:pPr>
            <w:r>
              <w:rPr>
                <w:rFonts w:ascii="宋体" w:hAnsi="宋体" w:cs="宋体" w:hint="eastAsia"/>
                <w:color w:val="000000"/>
                <w:kern w:val="0"/>
                <w:sz w:val="18"/>
                <w:szCs w:val="18"/>
              </w:rPr>
              <w:t>推动</w:t>
            </w:r>
            <w:r>
              <w:rPr>
                <w:rFonts w:ascii="宋体" w:hAnsi="宋体" w:cs="宋体" w:hint="eastAsia"/>
                <w:color w:val="000000"/>
                <w:kern w:val="0"/>
                <w:sz w:val="18"/>
                <w:szCs w:val="18"/>
              </w:rPr>
              <w:t>首都教育高质量发展</w:t>
            </w:r>
          </w:p>
        </w:tc>
        <w:tc>
          <w:tcPr>
            <w:tcW w:w="304"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优</w:t>
            </w:r>
          </w:p>
        </w:tc>
        <w:tc>
          <w:tcPr>
            <w:tcW w:w="293" w:type="pct"/>
            <w:vMerge/>
            <w:tcBorders>
              <w:top w:val="single" w:sz="4" w:space="0" w:color="auto"/>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05" w:type="pct"/>
            <w:tcBorders>
              <w:top w:val="single" w:sz="4" w:space="0" w:color="auto"/>
              <w:left w:val="nil"/>
              <w:bottom w:val="single" w:sz="4" w:space="0" w:color="auto"/>
              <w:right w:val="nil"/>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241" w:type="pct"/>
            <w:vMerge/>
            <w:tcBorders>
              <w:top w:val="nil"/>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c>
          <w:tcPr>
            <w:tcW w:w="1223" w:type="pct"/>
            <w:vMerge/>
            <w:tcBorders>
              <w:top w:val="nil"/>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r>
      <w:tr w:rsidR="009C4651">
        <w:trPr>
          <w:cantSplit/>
          <w:trHeight w:val="1223"/>
        </w:trPr>
        <w:tc>
          <w:tcPr>
            <w:tcW w:w="393"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6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产出进度</w:t>
            </w:r>
          </w:p>
        </w:tc>
        <w:tc>
          <w:tcPr>
            <w:tcW w:w="48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18"/>
                <w:szCs w:val="18"/>
              </w:rPr>
            </w:pPr>
            <w:r>
              <w:rPr>
                <w:rFonts w:ascii="宋体" w:hAnsi="宋体" w:cs="宋体" w:hint="eastAsia"/>
                <w:color w:val="000000"/>
                <w:kern w:val="0"/>
                <w:sz w:val="18"/>
                <w:szCs w:val="18"/>
              </w:rPr>
              <w:t>持续提升首都教育治理能力</w:t>
            </w:r>
          </w:p>
        </w:tc>
        <w:tc>
          <w:tcPr>
            <w:tcW w:w="304"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优</w:t>
            </w:r>
          </w:p>
        </w:tc>
        <w:tc>
          <w:tcPr>
            <w:tcW w:w="293"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05" w:type="pct"/>
            <w:tcBorders>
              <w:top w:val="nil"/>
              <w:left w:val="nil"/>
              <w:bottom w:val="single" w:sz="4" w:space="0" w:color="auto"/>
              <w:right w:val="nil"/>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241" w:type="pct"/>
            <w:vMerge/>
            <w:tcBorders>
              <w:top w:val="nil"/>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c>
          <w:tcPr>
            <w:tcW w:w="1223" w:type="pct"/>
            <w:vMerge/>
            <w:tcBorders>
              <w:top w:val="nil"/>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r>
      <w:tr w:rsidR="009C4651">
        <w:trPr>
          <w:cantSplit/>
          <w:trHeight w:val="741"/>
        </w:trPr>
        <w:tc>
          <w:tcPr>
            <w:tcW w:w="393"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vMerge/>
            <w:tcBorders>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6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产出成本</w:t>
            </w:r>
          </w:p>
        </w:tc>
        <w:tc>
          <w:tcPr>
            <w:tcW w:w="48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预算执行符合要求</w:t>
            </w:r>
          </w:p>
        </w:tc>
        <w:tc>
          <w:tcPr>
            <w:tcW w:w="304"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优</w:t>
            </w:r>
          </w:p>
        </w:tc>
        <w:tc>
          <w:tcPr>
            <w:tcW w:w="293" w:type="pct"/>
            <w:vMerge/>
            <w:tcBorders>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05" w:type="pct"/>
            <w:tcBorders>
              <w:top w:val="nil"/>
              <w:left w:val="nil"/>
              <w:bottom w:val="single" w:sz="4" w:space="0" w:color="auto"/>
              <w:right w:val="nil"/>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241" w:type="pct"/>
            <w:vMerge/>
            <w:tcBorders>
              <w:top w:val="nil"/>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c>
          <w:tcPr>
            <w:tcW w:w="1223" w:type="pct"/>
            <w:vMerge/>
            <w:tcBorders>
              <w:top w:val="nil"/>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r>
      <w:tr w:rsidR="009C4651">
        <w:trPr>
          <w:cantSplit/>
          <w:trHeight w:val="675"/>
        </w:trPr>
        <w:tc>
          <w:tcPr>
            <w:tcW w:w="393"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vMerge w:val="restart"/>
            <w:tcBorders>
              <w:top w:val="nil"/>
              <w:left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效果（</w:t>
            </w:r>
            <w:r>
              <w:rPr>
                <w:rFonts w:ascii="宋体" w:hAnsi="宋体" w:cs="宋体" w:hint="eastAsia"/>
                <w:color w:val="000000"/>
                <w:kern w:val="0"/>
                <w:sz w:val="20"/>
                <w:szCs w:val="20"/>
              </w:rPr>
              <w:t>30</w:t>
            </w:r>
            <w:r>
              <w:rPr>
                <w:rFonts w:ascii="宋体" w:hAnsi="宋体" w:cs="宋体" w:hint="eastAsia"/>
                <w:color w:val="000000"/>
                <w:kern w:val="0"/>
                <w:sz w:val="20"/>
                <w:szCs w:val="20"/>
              </w:rPr>
              <w:t>）</w:t>
            </w:r>
          </w:p>
        </w:tc>
        <w:tc>
          <w:tcPr>
            <w:tcW w:w="36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社会效益</w:t>
            </w:r>
          </w:p>
        </w:tc>
        <w:tc>
          <w:tcPr>
            <w:tcW w:w="48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18"/>
                <w:szCs w:val="18"/>
              </w:rPr>
            </w:pPr>
            <w:r>
              <w:rPr>
                <w:rFonts w:ascii="宋体" w:hAnsi="宋体" w:cs="宋体" w:hint="eastAsia"/>
                <w:color w:val="000000"/>
                <w:kern w:val="0"/>
                <w:sz w:val="18"/>
                <w:szCs w:val="18"/>
              </w:rPr>
              <w:t>全力服务支撑新时代首都发展</w:t>
            </w:r>
          </w:p>
        </w:tc>
        <w:tc>
          <w:tcPr>
            <w:tcW w:w="304"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优</w:t>
            </w:r>
            <w:r>
              <w:rPr>
                <w:rFonts w:ascii="宋体" w:hAnsi="宋体" w:cs="宋体" w:hint="eastAsia"/>
                <w:color w:val="000000"/>
                <w:kern w:val="0"/>
                <w:sz w:val="20"/>
                <w:szCs w:val="20"/>
              </w:rPr>
              <w:t xml:space="preserve">　</w:t>
            </w:r>
          </w:p>
        </w:tc>
        <w:tc>
          <w:tcPr>
            <w:tcW w:w="293" w:type="pct"/>
            <w:vMerge w:val="restart"/>
            <w:tcBorders>
              <w:top w:val="nil"/>
              <w:left w:val="single" w:sz="4" w:space="0" w:color="auto"/>
              <w:right w:val="single" w:sz="4" w:space="0" w:color="auto"/>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305" w:type="pct"/>
            <w:tcBorders>
              <w:top w:val="nil"/>
              <w:left w:val="nil"/>
              <w:bottom w:val="single" w:sz="4" w:space="0" w:color="auto"/>
              <w:right w:val="nil"/>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241" w:type="pct"/>
            <w:vMerge w:val="restart"/>
            <w:tcBorders>
              <w:top w:val="nil"/>
              <w:left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经济效益</w:t>
            </w:r>
            <w:r>
              <w:rPr>
                <w:rFonts w:ascii="宋体" w:hAnsi="宋体" w:cs="宋体" w:hint="eastAsia"/>
                <w:color w:val="000000"/>
                <w:kern w:val="0"/>
                <w:sz w:val="18"/>
                <w:szCs w:val="18"/>
              </w:rPr>
              <w:t>：部门（单位）履行职责对经济发展所带来的直接或间接影响。</w:t>
            </w:r>
            <w:r>
              <w:rPr>
                <w:rFonts w:ascii="宋体" w:hAnsi="宋体" w:cs="宋体" w:hint="eastAsia"/>
                <w:b/>
                <w:bCs/>
                <w:color w:val="000000"/>
                <w:kern w:val="0"/>
                <w:sz w:val="18"/>
                <w:szCs w:val="18"/>
              </w:rPr>
              <w:t>社会效益</w:t>
            </w:r>
            <w:r>
              <w:rPr>
                <w:rFonts w:ascii="宋体" w:hAnsi="宋体" w:cs="宋体" w:hint="eastAsia"/>
                <w:color w:val="000000"/>
                <w:kern w:val="0"/>
                <w:sz w:val="18"/>
                <w:szCs w:val="18"/>
              </w:rPr>
              <w:t>：部门（单位）履行职责对社会发展所带来的直接或间接影响。</w:t>
            </w:r>
            <w:r>
              <w:rPr>
                <w:rFonts w:ascii="宋体" w:hAnsi="宋体" w:cs="宋体" w:hint="eastAsia"/>
                <w:b/>
                <w:bCs/>
                <w:color w:val="000000"/>
                <w:kern w:val="0"/>
                <w:sz w:val="18"/>
                <w:szCs w:val="18"/>
              </w:rPr>
              <w:t>环境效益</w:t>
            </w:r>
            <w:r>
              <w:rPr>
                <w:rFonts w:ascii="宋体" w:hAnsi="宋体" w:cs="宋体" w:hint="eastAsia"/>
                <w:color w:val="000000"/>
                <w:kern w:val="0"/>
                <w:sz w:val="18"/>
                <w:szCs w:val="18"/>
              </w:rPr>
              <w:t>：部门（单位）履行职责对环境所带来的直接或间接影响。</w:t>
            </w:r>
            <w:r>
              <w:rPr>
                <w:rFonts w:ascii="宋体" w:hAnsi="宋体" w:cs="宋体" w:hint="eastAsia"/>
                <w:b/>
                <w:bCs/>
                <w:color w:val="000000"/>
                <w:kern w:val="0"/>
                <w:sz w:val="18"/>
                <w:szCs w:val="18"/>
              </w:rPr>
              <w:t>可持续性影响：</w:t>
            </w:r>
            <w:r>
              <w:rPr>
                <w:rFonts w:ascii="宋体" w:hAnsi="宋体" w:cs="宋体" w:hint="eastAsia"/>
                <w:color w:val="000000"/>
                <w:kern w:val="0"/>
                <w:sz w:val="18"/>
                <w:szCs w:val="18"/>
              </w:rPr>
              <w:t>部门绩效目标实现的长效机制建设情况，部门工作效率提升措施的创新。</w:t>
            </w:r>
            <w:r>
              <w:rPr>
                <w:rFonts w:ascii="宋体" w:hAnsi="宋体" w:cs="宋体" w:hint="eastAsia"/>
                <w:b/>
                <w:bCs/>
                <w:color w:val="000000"/>
                <w:kern w:val="0"/>
                <w:sz w:val="18"/>
                <w:szCs w:val="18"/>
              </w:rPr>
              <w:t>服务对象满意度</w:t>
            </w:r>
            <w:r>
              <w:rPr>
                <w:rFonts w:ascii="宋体" w:hAnsi="宋体" w:cs="宋体" w:hint="eastAsia"/>
                <w:color w:val="000000"/>
                <w:kern w:val="0"/>
                <w:sz w:val="18"/>
                <w:szCs w:val="18"/>
              </w:rPr>
              <w:t>：部门（单位）的服务对象对部门履职效果的满意程度。</w:t>
            </w:r>
          </w:p>
        </w:tc>
        <w:tc>
          <w:tcPr>
            <w:tcW w:w="1223" w:type="pct"/>
            <w:vMerge w:val="restart"/>
            <w:tcBorders>
              <w:top w:val="nil"/>
              <w:left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部门根据实际情况选择指标进行填写，并将其细化为相应的个性化指标。对于效益类指标可从受益对象瞄准度、受益广度和受益深度上进行设计分析。</w:t>
            </w:r>
          </w:p>
        </w:tc>
      </w:tr>
      <w:tr w:rsidR="009C4651">
        <w:trPr>
          <w:cantSplit/>
          <w:trHeight w:val="630"/>
        </w:trPr>
        <w:tc>
          <w:tcPr>
            <w:tcW w:w="393"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6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环境效益</w:t>
            </w:r>
          </w:p>
        </w:tc>
        <w:tc>
          <w:tcPr>
            <w:tcW w:w="48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18"/>
                <w:szCs w:val="18"/>
              </w:rPr>
            </w:pPr>
            <w:r>
              <w:rPr>
                <w:rFonts w:ascii="宋体" w:hAnsi="宋体" w:cs="宋体" w:hint="eastAsia"/>
                <w:color w:val="000000"/>
                <w:kern w:val="0"/>
                <w:sz w:val="18"/>
                <w:szCs w:val="18"/>
              </w:rPr>
              <w:t>纵深推进全面从严治党</w:t>
            </w:r>
          </w:p>
        </w:tc>
        <w:tc>
          <w:tcPr>
            <w:tcW w:w="304"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优</w:t>
            </w:r>
          </w:p>
        </w:tc>
        <w:tc>
          <w:tcPr>
            <w:tcW w:w="293"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05" w:type="pct"/>
            <w:tcBorders>
              <w:top w:val="nil"/>
              <w:left w:val="nil"/>
              <w:bottom w:val="single" w:sz="4" w:space="0" w:color="auto"/>
              <w:right w:val="nil"/>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241"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c>
          <w:tcPr>
            <w:tcW w:w="1223"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r>
      <w:tr w:rsidR="009C4651">
        <w:trPr>
          <w:cantSplit/>
          <w:trHeight w:val="690"/>
        </w:trPr>
        <w:tc>
          <w:tcPr>
            <w:tcW w:w="393"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6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可持续性影响</w:t>
            </w:r>
          </w:p>
        </w:tc>
        <w:tc>
          <w:tcPr>
            <w:tcW w:w="48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18"/>
                <w:szCs w:val="18"/>
              </w:rPr>
            </w:pPr>
            <w:r>
              <w:rPr>
                <w:rFonts w:ascii="宋体" w:hAnsi="宋体" w:cs="宋体" w:hint="eastAsia"/>
                <w:color w:val="000000"/>
                <w:kern w:val="0"/>
                <w:sz w:val="18"/>
                <w:szCs w:val="18"/>
              </w:rPr>
              <w:t>深化教育领域综合改革</w:t>
            </w:r>
          </w:p>
        </w:tc>
        <w:tc>
          <w:tcPr>
            <w:tcW w:w="304"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优</w:t>
            </w:r>
          </w:p>
        </w:tc>
        <w:tc>
          <w:tcPr>
            <w:tcW w:w="293"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05" w:type="pct"/>
            <w:tcBorders>
              <w:top w:val="nil"/>
              <w:left w:val="nil"/>
              <w:bottom w:val="single" w:sz="4" w:space="0" w:color="auto"/>
              <w:right w:val="nil"/>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241"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c>
          <w:tcPr>
            <w:tcW w:w="1223" w:type="pct"/>
            <w:vMerge/>
            <w:tcBorders>
              <w:left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r>
      <w:tr w:rsidR="009C4651">
        <w:trPr>
          <w:cantSplit/>
          <w:trHeight w:val="675"/>
        </w:trPr>
        <w:tc>
          <w:tcPr>
            <w:tcW w:w="393" w:type="pct"/>
            <w:vMerge/>
            <w:tcBorders>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vMerge/>
            <w:tcBorders>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6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48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18"/>
                <w:szCs w:val="18"/>
              </w:rPr>
              <w:t>人民群众满意度</w:t>
            </w:r>
          </w:p>
        </w:tc>
        <w:tc>
          <w:tcPr>
            <w:tcW w:w="304"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优</w:t>
            </w:r>
          </w:p>
        </w:tc>
        <w:tc>
          <w:tcPr>
            <w:tcW w:w="293" w:type="pct"/>
            <w:vMerge/>
            <w:tcBorders>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05" w:type="pct"/>
            <w:tcBorders>
              <w:top w:val="nil"/>
              <w:left w:val="nil"/>
              <w:bottom w:val="single" w:sz="4" w:space="0" w:color="auto"/>
              <w:right w:val="nil"/>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241" w:type="pct"/>
            <w:vMerge/>
            <w:tcBorders>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c>
          <w:tcPr>
            <w:tcW w:w="1223" w:type="pct"/>
            <w:vMerge/>
            <w:tcBorders>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18"/>
                <w:szCs w:val="18"/>
              </w:rPr>
            </w:pPr>
          </w:p>
        </w:tc>
      </w:tr>
      <w:tr w:rsidR="009C4651">
        <w:trPr>
          <w:cantSplit/>
          <w:trHeight w:val="487"/>
        </w:trPr>
        <w:tc>
          <w:tcPr>
            <w:tcW w:w="5000" w:type="pct"/>
            <w:gridSpan w:val="9"/>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三</w:t>
            </w:r>
            <w:r>
              <w:rPr>
                <w:rFonts w:ascii="宋体" w:hAnsi="宋体" w:cs="宋体"/>
                <w:color w:val="000000"/>
                <w:kern w:val="0"/>
                <w:sz w:val="18"/>
                <w:szCs w:val="18"/>
              </w:rPr>
              <w:t>、</w:t>
            </w:r>
            <w:r>
              <w:rPr>
                <w:rFonts w:ascii="宋体" w:hAnsi="宋体" w:cs="宋体" w:hint="eastAsia"/>
                <w:color w:val="000000"/>
                <w:kern w:val="0"/>
                <w:sz w:val="20"/>
                <w:szCs w:val="20"/>
              </w:rPr>
              <w:t>预算管理情况（</w:t>
            </w:r>
            <w:r>
              <w:rPr>
                <w:rFonts w:ascii="宋体" w:hAnsi="宋体" w:cs="宋体" w:hint="eastAsia"/>
                <w:color w:val="000000"/>
                <w:kern w:val="0"/>
                <w:sz w:val="20"/>
                <w:szCs w:val="20"/>
              </w:rPr>
              <w:t>20</w:t>
            </w:r>
            <w:r>
              <w:rPr>
                <w:rFonts w:ascii="宋体" w:hAnsi="宋体" w:cs="宋体" w:hint="eastAsia"/>
                <w:color w:val="000000"/>
                <w:kern w:val="0"/>
                <w:sz w:val="20"/>
                <w:szCs w:val="20"/>
              </w:rPr>
              <w:t>分）</w:t>
            </w:r>
          </w:p>
        </w:tc>
      </w:tr>
      <w:tr w:rsidR="009C4651">
        <w:trPr>
          <w:cantSplit/>
          <w:trHeight w:val="454"/>
        </w:trPr>
        <w:tc>
          <w:tcPr>
            <w:tcW w:w="393"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一</w:t>
            </w:r>
            <w:r>
              <w:rPr>
                <w:rFonts w:ascii="宋体" w:hAnsi="宋体" w:cs="宋体"/>
                <w:color w:val="000000"/>
                <w:kern w:val="0"/>
                <w:sz w:val="20"/>
                <w:szCs w:val="20"/>
              </w:rPr>
              <w:t>级指标</w:t>
            </w:r>
          </w:p>
        </w:tc>
        <w:tc>
          <w:tcPr>
            <w:tcW w:w="394"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二</w:t>
            </w:r>
            <w:r>
              <w:rPr>
                <w:rFonts w:ascii="宋体" w:hAnsi="宋体" w:cs="宋体"/>
                <w:color w:val="000000"/>
                <w:kern w:val="0"/>
                <w:sz w:val="20"/>
                <w:szCs w:val="20"/>
              </w:rPr>
              <w:t>级指标</w:t>
            </w:r>
          </w:p>
        </w:tc>
        <w:tc>
          <w:tcPr>
            <w:tcW w:w="36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三</w:t>
            </w:r>
            <w:r>
              <w:rPr>
                <w:rFonts w:ascii="宋体" w:hAnsi="宋体" w:cs="宋体"/>
                <w:color w:val="000000"/>
                <w:kern w:val="0"/>
                <w:sz w:val="20"/>
                <w:szCs w:val="20"/>
              </w:rPr>
              <w:t>级指标</w:t>
            </w:r>
          </w:p>
        </w:tc>
        <w:tc>
          <w:tcPr>
            <w:tcW w:w="48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w:t>
            </w:r>
            <w:r>
              <w:rPr>
                <w:rFonts w:ascii="宋体" w:hAnsi="宋体" w:cs="宋体"/>
                <w:color w:val="000000"/>
                <w:kern w:val="0"/>
                <w:sz w:val="20"/>
                <w:szCs w:val="20"/>
              </w:rPr>
              <w:t>值</w:t>
            </w:r>
          </w:p>
        </w:tc>
        <w:tc>
          <w:tcPr>
            <w:tcW w:w="304"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完成</w:t>
            </w:r>
            <w:r>
              <w:rPr>
                <w:rFonts w:ascii="宋体" w:hAnsi="宋体" w:cs="宋体"/>
                <w:color w:val="000000"/>
                <w:kern w:val="0"/>
                <w:sz w:val="20"/>
                <w:szCs w:val="20"/>
              </w:rPr>
              <w:t>值</w:t>
            </w:r>
          </w:p>
        </w:tc>
        <w:tc>
          <w:tcPr>
            <w:tcW w:w="293" w:type="pct"/>
            <w:tcBorders>
              <w:top w:val="single" w:sz="4" w:space="0" w:color="auto"/>
              <w:left w:val="nil"/>
              <w:bottom w:val="single" w:sz="4" w:space="0" w:color="auto"/>
              <w:right w:val="single" w:sz="4" w:space="0" w:color="auto"/>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分</w:t>
            </w:r>
            <w:r>
              <w:rPr>
                <w:rFonts w:ascii="宋体" w:hAnsi="宋体" w:cs="宋体"/>
                <w:color w:val="000000"/>
                <w:kern w:val="0"/>
                <w:sz w:val="20"/>
                <w:szCs w:val="20"/>
              </w:rPr>
              <w:t>值</w:t>
            </w:r>
          </w:p>
        </w:tc>
        <w:tc>
          <w:tcPr>
            <w:tcW w:w="305" w:type="pct"/>
            <w:tcBorders>
              <w:top w:val="single" w:sz="4" w:space="0" w:color="auto"/>
              <w:left w:val="nil"/>
              <w:bottom w:val="single" w:sz="4" w:space="0" w:color="auto"/>
              <w:right w:val="nil"/>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得</w:t>
            </w:r>
            <w:r>
              <w:rPr>
                <w:rFonts w:ascii="宋体" w:hAnsi="宋体" w:cs="宋体"/>
                <w:color w:val="000000"/>
                <w:kern w:val="0"/>
                <w:sz w:val="20"/>
                <w:szCs w:val="20"/>
              </w:rPr>
              <w:t>分</w:t>
            </w:r>
          </w:p>
        </w:tc>
        <w:tc>
          <w:tcPr>
            <w:tcW w:w="1241"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b/>
                <w:bCs/>
                <w:color w:val="000000"/>
                <w:kern w:val="0"/>
                <w:sz w:val="18"/>
                <w:szCs w:val="18"/>
              </w:rPr>
            </w:pPr>
            <w:r>
              <w:rPr>
                <w:rFonts w:ascii="宋体" w:hAnsi="宋体" w:cs="宋体" w:hint="eastAsia"/>
                <w:bCs/>
                <w:color w:val="000000"/>
                <w:kern w:val="0"/>
                <w:sz w:val="18"/>
                <w:szCs w:val="18"/>
              </w:rPr>
              <w:t>指标</w:t>
            </w:r>
            <w:r>
              <w:rPr>
                <w:rFonts w:ascii="宋体" w:hAnsi="宋体" w:cs="宋体"/>
                <w:bCs/>
                <w:color w:val="000000"/>
                <w:kern w:val="0"/>
                <w:sz w:val="18"/>
                <w:szCs w:val="18"/>
              </w:rPr>
              <w:t>解释</w:t>
            </w:r>
          </w:p>
        </w:tc>
        <w:tc>
          <w:tcPr>
            <w:tcW w:w="1223"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18"/>
                <w:szCs w:val="18"/>
              </w:rPr>
            </w:pPr>
            <w:r>
              <w:rPr>
                <w:rFonts w:ascii="宋体" w:hAnsi="宋体" w:cs="宋体" w:hint="eastAsia"/>
                <w:color w:val="000000"/>
                <w:kern w:val="0"/>
                <w:sz w:val="18"/>
                <w:szCs w:val="18"/>
              </w:rPr>
              <w:t>评</w:t>
            </w:r>
            <w:r>
              <w:rPr>
                <w:rFonts w:ascii="宋体" w:hAnsi="宋体" w:cs="宋体"/>
                <w:color w:val="000000"/>
                <w:kern w:val="0"/>
                <w:sz w:val="18"/>
                <w:szCs w:val="18"/>
              </w:rPr>
              <w:t>分标准</w:t>
            </w:r>
          </w:p>
        </w:tc>
      </w:tr>
      <w:tr w:rsidR="009C4651">
        <w:trPr>
          <w:cantSplit/>
          <w:trHeight w:val="1650"/>
        </w:trPr>
        <w:tc>
          <w:tcPr>
            <w:tcW w:w="393" w:type="pct"/>
            <w:vMerge w:val="restar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预算管理情况（</w:t>
            </w:r>
            <w:r>
              <w:rPr>
                <w:rFonts w:ascii="宋体" w:hAnsi="宋体" w:cs="宋体" w:hint="eastAsia"/>
                <w:color w:val="000000"/>
                <w:kern w:val="0"/>
                <w:sz w:val="20"/>
                <w:szCs w:val="20"/>
              </w:rPr>
              <w:t>20</w:t>
            </w:r>
            <w:r>
              <w:rPr>
                <w:rFonts w:ascii="宋体" w:hAnsi="宋体" w:cs="宋体" w:hint="eastAsia"/>
                <w:color w:val="000000"/>
                <w:kern w:val="0"/>
                <w:sz w:val="20"/>
                <w:szCs w:val="20"/>
              </w:rPr>
              <w:t>）</w:t>
            </w:r>
          </w:p>
        </w:tc>
        <w:tc>
          <w:tcPr>
            <w:tcW w:w="394" w:type="pct"/>
            <w:vMerge w:val="restar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财务管理（</w:t>
            </w:r>
            <w:r>
              <w:rPr>
                <w:rFonts w:ascii="宋体" w:hAnsi="宋体" w:cs="宋体" w:hint="eastAsia"/>
                <w:color w:val="000000"/>
                <w:kern w:val="0"/>
                <w:sz w:val="20"/>
                <w:szCs w:val="20"/>
              </w:rPr>
              <w:t>4</w:t>
            </w:r>
            <w:r>
              <w:rPr>
                <w:rFonts w:ascii="宋体" w:hAnsi="宋体" w:cs="宋体" w:hint="eastAsia"/>
                <w:color w:val="000000"/>
                <w:kern w:val="0"/>
                <w:sz w:val="20"/>
                <w:szCs w:val="20"/>
              </w:rPr>
              <w:t>）</w:t>
            </w:r>
          </w:p>
        </w:tc>
        <w:tc>
          <w:tcPr>
            <w:tcW w:w="36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财务管理制度健全性</w:t>
            </w:r>
          </w:p>
        </w:tc>
        <w:tc>
          <w:tcPr>
            <w:tcW w:w="482" w:type="pct"/>
            <w:tcBorders>
              <w:top w:val="single" w:sz="4" w:space="0" w:color="auto"/>
              <w:left w:val="nil"/>
              <w:bottom w:val="single" w:sz="4" w:space="0" w:color="auto"/>
              <w:right w:val="single" w:sz="4" w:space="0" w:color="auto"/>
            </w:tcBorders>
            <w:vAlign w:val="center"/>
          </w:tcPr>
          <w:p w:rsidR="009C4651" w:rsidRDefault="0003357C">
            <w:pPr>
              <w:widowControl/>
              <w:rPr>
                <w:rFonts w:ascii="宋体" w:hAnsi="宋体" w:cs="宋体"/>
                <w:color w:val="000000"/>
                <w:kern w:val="0"/>
                <w:sz w:val="18"/>
                <w:szCs w:val="18"/>
              </w:rPr>
            </w:pPr>
            <w:r>
              <w:rPr>
                <w:rFonts w:ascii="宋体" w:hAnsi="宋体" w:cs="宋体" w:hint="eastAsia"/>
                <w:color w:val="000000"/>
                <w:kern w:val="0"/>
                <w:sz w:val="18"/>
                <w:szCs w:val="18"/>
              </w:rPr>
              <w:t>完善财务制度，推进财务规范化执行</w:t>
            </w:r>
          </w:p>
        </w:tc>
        <w:tc>
          <w:tcPr>
            <w:tcW w:w="304"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较好</w:t>
            </w:r>
          </w:p>
        </w:tc>
        <w:tc>
          <w:tcPr>
            <w:tcW w:w="293" w:type="pct"/>
            <w:tcBorders>
              <w:top w:val="single" w:sz="4" w:space="0" w:color="auto"/>
              <w:left w:val="nil"/>
              <w:bottom w:val="single" w:sz="4" w:space="0" w:color="auto"/>
              <w:right w:val="single" w:sz="4" w:space="0" w:color="auto"/>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05" w:type="pct"/>
            <w:tcBorders>
              <w:top w:val="single" w:sz="4" w:space="0" w:color="auto"/>
              <w:left w:val="nil"/>
              <w:bottom w:val="single" w:sz="4" w:space="0" w:color="auto"/>
              <w:right w:val="nil"/>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1</w:t>
            </w:r>
          </w:p>
        </w:tc>
        <w:tc>
          <w:tcPr>
            <w:tcW w:w="1241"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财务管理制度健全性</w:t>
            </w:r>
            <w:r>
              <w:rPr>
                <w:rFonts w:ascii="宋体" w:hAnsi="宋体" w:cs="宋体" w:hint="eastAsia"/>
                <w:b/>
                <w:bCs/>
                <w:color w:val="000000"/>
                <w:kern w:val="0"/>
                <w:sz w:val="18"/>
                <w:szCs w:val="18"/>
              </w:rPr>
              <w:t>:</w:t>
            </w:r>
            <w:r>
              <w:rPr>
                <w:rFonts w:ascii="宋体" w:hAnsi="宋体" w:cs="宋体" w:hint="eastAsia"/>
                <w:color w:val="000000"/>
                <w:kern w:val="0"/>
                <w:sz w:val="18"/>
                <w:szCs w:val="18"/>
              </w:rPr>
              <w:t>部门（单位）为加强财务管理、规范财务行为而制定的管理制度。</w:t>
            </w:r>
          </w:p>
        </w:tc>
        <w:tc>
          <w:tcPr>
            <w:tcW w:w="1223" w:type="pct"/>
            <w:tcBorders>
              <w:top w:val="single" w:sz="4" w:space="0" w:color="auto"/>
              <w:left w:val="nil"/>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①预算资金管理办法、绩效跟踪管理办法、资产管理办法等各项制度是否健全；②部门内部财务管理制度是否完整、合规；③会计核算制度是否完整、合规。每有一项不合格扣</w:t>
            </w:r>
            <w:r>
              <w:rPr>
                <w:rFonts w:ascii="宋体" w:hAnsi="宋体" w:cs="宋体" w:hint="eastAsia"/>
                <w:color w:val="000000"/>
                <w:kern w:val="0"/>
                <w:sz w:val="18"/>
                <w:szCs w:val="18"/>
              </w:rPr>
              <w:t>0.5</w:t>
            </w:r>
            <w:r>
              <w:rPr>
                <w:rFonts w:ascii="宋体" w:hAnsi="宋体" w:cs="宋体" w:hint="eastAsia"/>
                <w:color w:val="000000"/>
                <w:kern w:val="0"/>
                <w:sz w:val="18"/>
                <w:szCs w:val="18"/>
              </w:rPr>
              <w:t>分，扣完为止。</w:t>
            </w:r>
          </w:p>
        </w:tc>
      </w:tr>
      <w:tr w:rsidR="009C4651">
        <w:trPr>
          <w:cantSplit/>
          <w:trHeight w:val="3048"/>
        </w:trPr>
        <w:tc>
          <w:tcPr>
            <w:tcW w:w="393" w:type="pct"/>
            <w:vMerge/>
            <w:tcBorders>
              <w:top w:val="single" w:sz="4" w:space="0" w:color="auto"/>
              <w:left w:val="single" w:sz="4" w:space="0" w:color="auto"/>
              <w:bottom w:val="single" w:sz="4" w:space="0" w:color="000000"/>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vMerge/>
            <w:tcBorders>
              <w:top w:val="single" w:sz="4" w:space="0" w:color="auto"/>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6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资金使用合规性和安全性</w:t>
            </w:r>
          </w:p>
        </w:tc>
        <w:tc>
          <w:tcPr>
            <w:tcW w:w="48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18"/>
                <w:szCs w:val="18"/>
              </w:rPr>
            </w:pPr>
            <w:r>
              <w:rPr>
                <w:rFonts w:ascii="宋体" w:hAnsi="宋体" w:cs="宋体" w:hint="eastAsia"/>
                <w:color w:val="000000"/>
                <w:kern w:val="0"/>
                <w:sz w:val="18"/>
                <w:szCs w:val="18"/>
              </w:rPr>
              <w:t>确保各项资金安全规范有效使用</w:t>
            </w:r>
          </w:p>
        </w:tc>
        <w:tc>
          <w:tcPr>
            <w:tcW w:w="304"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较好</w:t>
            </w:r>
          </w:p>
        </w:tc>
        <w:tc>
          <w:tcPr>
            <w:tcW w:w="293" w:type="pct"/>
            <w:tcBorders>
              <w:top w:val="single" w:sz="4" w:space="0" w:color="auto"/>
              <w:left w:val="nil"/>
              <w:bottom w:val="single" w:sz="4" w:space="0" w:color="auto"/>
              <w:right w:val="single" w:sz="4" w:space="0" w:color="auto"/>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05" w:type="pct"/>
            <w:tcBorders>
              <w:top w:val="single" w:sz="4" w:space="0" w:color="auto"/>
              <w:left w:val="nil"/>
              <w:bottom w:val="single" w:sz="4" w:space="0" w:color="auto"/>
              <w:right w:val="nil"/>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2</w:t>
            </w:r>
          </w:p>
        </w:tc>
        <w:tc>
          <w:tcPr>
            <w:tcW w:w="1241"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资金使用合规性和安全性</w:t>
            </w:r>
            <w:r>
              <w:rPr>
                <w:rFonts w:ascii="宋体" w:hAnsi="宋体" w:cs="宋体" w:hint="eastAsia"/>
                <w:b/>
                <w:bCs/>
                <w:color w:val="000000"/>
                <w:kern w:val="0"/>
                <w:sz w:val="18"/>
                <w:szCs w:val="18"/>
              </w:rPr>
              <w:t>:</w:t>
            </w:r>
            <w:r>
              <w:rPr>
                <w:rFonts w:ascii="宋体" w:hAnsi="宋体" w:cs="宋体" w:hint="eastAsia"/>
                <w:color w:val="000000"/>
                <w:kern w:val="0"/>
                <w:sz w:val="18"/>
                <w:szCs w:val="18"/>
              </w:rPr>
              <w:t>部门（单位）使用预算资金是否符合相关的预算财务管理制度的规定，是否符合相关规定的开支范围，用以反映考核部门（单位）预算资金的规范运行和安全运行情况。</w:t>
            </w:r>
          </w:p>
        </w:tc>
        <w:tc>
          <w:tcPr>
            <w:tcW w:w="1223" w:type="pct"/>
            <w:tcBorders>
              <w:top w:val="single" w:sz="4" w:space="0" w:color="auto"/>
              <w:left w:val="nil"/>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①是否符合国家财经法规和财务管理制度规定以及有关专项资金管理办法的规定；②资金的拨付是否有完整的审批程序和手续；③项目的重大开支是否经过评估论证；④是否符合部门预算批复的用途；⑤是否存在截留、挤占、挪用情况；⑥资金使用是否符合政府采购的程序和流程；⑦资金使用是否符合公务卡结算相关制度和规定。每有一项不合格扣</w:t>
            </w:r>
            <w:r>
              <w:rPr>
                <w:rFonts w:ascii="宋体" w:hAnsi="宋体" w:cs="宋体" w:hint="eastAsia"/>
                <w:color w:val="000000"/>
                <w:kern w:val="0"/>
                <w:sz w:val="18"/>
                <w:szCs w:val="18"/>
              </w:rPr>
              <w:t>0.5</w:t>
            </w:r>
            <w:r>
              <w:rPr>
                <w:rFonts w:ascii="宋体" w:hAnsi="宋体" w:cs="宋体" w:hint="eastAsia"/>
                <w:color w:val="000000"/>
                <w:kern w:val="0"/>
                <w:sz w:val="18"/>
                <w:szCs w:val="18"/>
              </w:rPr>
              <w:t>分，扣完为止。</w:t>
            </w:r>
          </w:p>
        </w:tc>
      </w:tr>
      <w:tr w:rsidR="009C4651">
        <w:trPr>
          <w:cantSplit/>
          <w:trHeight w:val="1610"/>
        </w:trPr>
        <w:tc>
          <w:tcPr>
            <w:tcW w:w="393" w:type="pct"/>
            <w:vMerge/>
            <w:tcBorders>
              <w:top w:val="nil"/>
              <w:left w:val="single" w:sz="4" w:space="0" w:color="auto"/>
              <w:bottom w:val="single" w:sz="4" w:space="0" w:color="000000"/>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vMerge/>
            <w:tcBorders>
              <w:top w:val="nil"/>
              <w:left w:val="single" w:sz="4" w:space="0" w:color="auto"/>
              <w:bottom w:val="single" w:sz="4" w:space="0" w:color="auto"/>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6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会计基础信息完善性</w:t>
            </w:r>
          </w:p>
        </w:tc>
        <w:tc>
          <w:tcPr>
            <w:tcW w:w="482"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18"/>
                <w:szCs w:val="18"/>
              </w:rPr>
            </w:pPr>
            <w:r>
              <w:rPr>
                <w:rFonts w:ascii="宋体" w:hAnsi="宋体" w:cs="宋体" w:hint="eastAsia"/>
                <w:color w:val="000000"/>
                <w:kern w:val="0"/>
                <w:sz w:val="18"/>
                <w:szCs w:val="18"/>
              </w:rPr>
              <w:t>不断提高会计基础信息管理水平</w:t>
            </w:r>
          </w:p>
        </w:tc>
        <w:tc>
          <w:tcPr>
            <w:tcW w:w="304"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较好</w:t>
            </w:r>
          </w:p>
        </w:tc>
        <w:tc>
          <w:tcPr>
            <w:tcW w:w="293" w:type="pct"/>
            <w:tcBorders>
              <w:top w:val="nil"/>
              <w:left w:val="nil"/>
              <w:bottom w:val="single" w:sz="4" w:space="0" w:color="auto"/>
              <w:right w:val="single" w:sz="4" w:space="0" w:color="auto"/>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05" w:type="pct"/>
            <w:tcBorders>
              <w:top w:val="nil"/>
              <w:left w:val="nil"/>
              <w:bottom w:val="single" w:sz="4" w:space="0" w:color="auto"/>
              <w:right w:val="nil"/>
            </w:tcBorders>
            <w:noWrap/>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1</w:t>
            </w:r>
          </w:p>
        </w:tc>
        <w:tc>
          <w:tcPr>
            <w:tcW w:w="1241" w:type="pct"/>
            <w:tcBorders>
              <w:top w:val="nil"/>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会计基础信息完善性</w:t>
            </w:r>
            <w:r>
              <w:rPr>
                <w:rFonts w:ascii="宋体" w:hAnsi="宋体" w:cs="宋体" w:hint="eastAsia"/>
                <w:b/>
                <w:bCs/>
                <w:color w:val="000000"/>
                <w:kern w:val="0"/>
                <w:sz w:val="18"/>
                <w:szCs w:val="18"/>
              </w:rPr>
              <w:t>:</w:t>
            </w:r>
            <w:r>
              <w:rPr>
                <w:rFonts w:ascii="宋体" w:hAnsi="宋体" w:cs="宋体" w:hint="eastAsia"/>
                <w:color w:val="000000"/>
                <w:kern w:val="0"/>
                <w:sz w:val="18"/>
                <w:szCs w:val="18"/>
              </w:rPr>
              <w:t>部门（单位）会计基础信息情况。</w:t>
            </w:r>
          </w:p>
        </w:tc>
        <w:tc>
          <w:tcPr>
            <w:tcW w:w="1223" w:type="pct"/>
            <w:tcBorders>
              <w:top w:val="nil"/>
              <w:left w:val="nil"/>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①基础数据信息和会计信息资料是否真实；②基础数据信息和会计信息资料是否完整；③基础数据信息和会计信息资料是否准确。每有一项不合格扣</w:t>
            </w:r>
            <w:r>
              <w:rPr>
                <w:rFonts w:ascii="宋体" w:hAnsi="宋体" w:cs="宋体" w:hint="eastAsia"/>
                <w:color w:val="000000"/>
                <w:kern w:val="0"/>
                <w:sz w:val="18"/>
                <w:szCs w:val="18"/>
              </w:rPr>
              <w:t>0.5</w:t>
            </w:r>
            <w:r>
              <w:rPr>
                <w:rFonts w:ascii="宋体" w:hAnsi="宋体" w:cs="宋体" w:hint="eastAsia"/>
                <w:color w:val="000000"/>
                <w:kern w:val="0"/>
                <w:sz w:val="18"/>
                <w:szCs w:val="18"/>
              </w:rPr>
              <w:t>分，扣完为止。</w:t>
            </w:r>
          </w:p>
        </w:tc>
      </w:tr>
      <w:tr w:rsidR="009C4651">
        <w:trPr>
          <w:cantSplit/>
          <w:trHeight w:val="2895"/>
        </w:trPr>
        <w:tc>
          <w:tcPr>
            <w:tcW w:w="393" w:type="pct"/>
            <w:vMerge/>
            <w:tcBorders>
              <w:top w:val="nil"/>
              <w:left w:val="single" w:sz="4" w:space="0" w:color="auto"/>
              <w:bottom w:val="single" w:sz="4" w:space="0" w:color="000000"/>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资产管理（</w:t>
            </w:r>
            <w:r>
              <w:rPr>
                <w:rFonts w:ascii="宋体" w:hAnsi="宋体" w:cs="宋体" w:hint="eastAsia"/>
                <w:color w:val="000000"/>
                <w:kern w:val="0"/>
                <w:sz w:val="20"/>
                <w:szCs w:val="20"/>
              </w:rPr>
              <w:t>4</w:t>
            </w:r>
            <w:r>
              <w:rPr>
                <w:rFonts w:ascii="宋体" w:hAnsi="宋体" w:cs="宋体" w:hint="eastAsia"/>
                <w:color w:val="000000"/>
                <w:kern w:val="0"/>
                <w:sz w:val="20"/>
                <w:szCs w:val="20"/>
              </w:rPr>
              <w:t>）</w:t>
            </w:r>
          </w:p>
        </w:tc>
        <w:tc>
          <w:tcPr>
            <w:tcW w:w="362"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资产管理规范性</w:t>
            </w:r>
          </w:p>
        </w:tc>
        <w:tc>
          <w:tcPr>
            <w:tcW w:w="482"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提高资产使用效益</w:t>
            </w:r>
          </w:p>
        </w:tc>
        <w:tc>
          <w:tcPr>
            <w:tcW w:w="304"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较好</w:t>
            </w:r>
          </w:p>
        </w:tc>
        <w:tc>
          <w:tcPr>
            <w:tcW w:w="293"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05"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4</w:t>
            </w:r>
          </w:p>
        </w:tc>
        <w:tc>
          <w:tcPr>
            <w:tcW w:w="1241"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资产管理规范性</w:t>
            </w:r>
            <w:r>
              <w:rPr>
                <w:rFonts w:ascii="宋体" w:hAnsi="宋体" w:cs="宋体" w:hint="eastAsia"/>
                <w:b/>
                <w:bCs/>
                <w:color w:val="000000"/>
                <w:kern w:val="0"/>
                <w:sz w:val="18"/>
                <w:szCs w:val="18"/>
              </w:rPr>
              <w:t>:</w:t>
            </w:r>
            <w:r>
              <w:rPr>
                <w:rFonts w:ascii="宋体" w:hAnsi="宋体" w:cs="宋体" w:hint="eastAsia"/>
                <w:color w:val="000000"/>
                <w:kern w:val="0"/>
                <w:sz w:val="18"/>
                <w:szCs w:val="18"/>
              </w:rPr>
              <w:t>部门（单位）的资产是否保持安全完整，资产配置是否合理，资产使用和资产处理是否规范，用以反映和考核部门（单位）资产管理的整体水平。</w:t>
            </w:r>
          </w:p>
        </w:tc>
        <w:tc>
          <w:tcPr>
            <w:tcW w:w="1223"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①对外投资行为是否经审批，是否存在投资亏损；②是否有因管理不当发生严重资产损失和丢失情况；③是否存在超标准配置资产；④资产使用是否规范，是否存在未经批准擅自出租、出借资产行为；⑤资产处置是否规范，是否存在不按要求进行报批或资产不公开处置行为；⑥其它资产管理制度办法执行情况。每有一项不合格扣</w:t>
            </w:r>
            <w:r>
              <w:rPr>
                <w:rFonts w:ascii="宋体" w:hAnsi="宋体" w:cs="宋体" w:hint="eastAsia"/>
                <w:color w:val="000000"/>
                <w:kern w:val="0"/>
                <w:sz w:val="18"/>
                <w:szCs w:val="18"/>
              </w:rPr>
              <w:t>0.8</w:t>
            </w:r>
            <w:r>
              <w:rPr>
                <w:rFonts w:ascii="宋体" w:hAnsi="宋体" w:cs="宋体" w:hint="eastAsia"/>
                <w:color w:val="000000"/>
                <w:kern w:val="0"/>
                <w:sz w:val="18"/>
                <w:szCs w:val="18"/>
              </w:rPr>
              <w:t>分，扣完为止。</w:t>
            </w:r>
          </w:p>
        </w:tc>
      </w:tr>
      <w:tr w:rsidR="009C4651">
        <w:trPr>
          <w:cantSplit/>
          <w:trHeight w:val="1411"/>
        </w:trPr>
        <w:tc>
          <w:tcPr>
            <w:tcW w:w="393" w:type="pct"/>
            <w:vMerge/>
            <w:tcBorders>
              <w:top w:val="nil"/>
              <w:left w:val="single" w:sz="4" w:space="0" w:color="auto"/>
              <w:bottom w:val="single" w:sz="4" w:space="0" w:color="000000"/>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绩效管理（</w:t>
            </w:r>
            <w:r>
              <w:rPr>
                <w:rFonts w:ascii="宋体" w:hAnsi="宋体" w:cs="宋体" w:hint="eastAsia"/>
                <w:color w:val="000000"/>
                <w:kern w:val="0"/>
                <w:sz w:val="20"/>
                <w:szCs w:val="20"/>
              </w:rPr>
              <w:t>4</w:t>
            </w:r>
            <w:r>
              <w:rPr>
                <w:rFonts w:ascii="宋体" w:hAnsi="宋体" w:cs="宋体" w:hint="eastAsia"/>
                <w:color w:val="000000"/>
                <w:kern w:val="0"/>
                <w:sz w:val="20"/>
                <w:szCs w:val="20"/>
              </w:rPr>
              <w:t>）</w:t>
            </w:r>
          </w:p>
        </w:tc>
        <w:tc>
          <w:tcPr>
            <w:tcW w:w="36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绩效管理情况</w:t>
            </w:r>
          </w:p>
        </w:tc>
        <w:tc>
          <w:tcPr>
            <w:tcW w:w="482"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18"/>
                <w:szCs w:val="18"/>
              </w:rPr>
            </w:pPr>
            <w:r>
              <w:rPr>
                <w:rFonts w:ascii="宋体" w:hAnsi="宋体" w:cs="宋体" w:hint="eastAsia"/>
                <w:color w:val="000000"/>
                <w:kern w:val="0"/>
                <w:sz w:val="18"/>
                <w:szCs w:val="18"/>
              </w:rPr>
              <w:t>加强绩效管理深度融合预算编制、执行、监督全过程</w:t>
            </w:r>
          </w:p>
        </w:tc>
        <w:tc>
          <w:tcPr>
            <w:tcW w:w="304" w:type="pct"/>
            <w:tcBorders>
              <w:top w:val="single" w:sz="4" w:space="0" w:color="auto"/>
              <w:left w:val="nil"/>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较好</w:t>
            </w:r>
          </w:p>
        </w:tc>
        <w:tc>
          <w:tcPr>
            <w:tcW w:w="293"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05" w:type="pct"/>
            <w:tcBorders>
              <w:top w:val="single" w:sz="4" w:space="0" w:color="auto"/>
              <w:left w:val="nil"/>
              <w:bottom w:val="single" w:sz="4" w:space="0" w:color="auto"/>
              <w:right w:val="nil"/>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3</w:t>
            </w:r>
          </w:p>
        </w:tc>
        <w:tc>
          <w:tcPr>
            <w:tcW w:w="1241"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绩效管理情况</w:t>
            </w:r>
            <w:r>
              <w:rPr>
                <w:rFonts w:ascii="宋体" w:hAnsi="宋体" w:cs="宋体" w:hint="eastAsia"/>
                <w:b/>
                <w:bCs/>
                <w:color w:val="000000"/>
                <w:kern w:val="0"/>
                <w:sz w:val="18"/>
                <w:szCs w:val="18"/>
              </w:rPr>
              <w:t>:</w:t>
            </w:r>
            <w:r>
              <w:rPr>
                <w:rFonts w:ascii="宋体" w:hAnsi="宋体" w:cs="宋体" w:hint="eastAsia"/>
                <w:color w:val="000000"/>
                <w:kern w:val="0"/>
                <w:sz w:val="18"/>
                <w:szCs w:val="18"/>
              </w:rPr>
              <w:t>考核部门（单位）在绩效管理信息的汇总和应用情况。</w:t>
            </w:r>
          </w:p>
        </w:tc>
        <w:tc>
          <w:tcPr>
            <w:tcW w:w="1223" w:type="pct"/>
            <w:tcBorders>
              <w:top w:val="single" w:sz="4" w:space="0" w:color="auto"/>
              <w:left w:val="nil"/>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①部门（单位）是否及时对绩效信息进行汇总分析整理；②部门（单位）是否对绩效目标偏离情况及时进行矫正。每有一项不合格扣</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r>
      <w:tr w:rsidR="009C4651">
        <w:trPr>
          <w:cantSplit/>
          <w:trHeight w:val="394"/>
        </w:trPr>
        <w:tc>
          <w:tcPr>
            <w:tcW w:w="393" w:type="pct"/>
            <w:vMerge/>
            <w:tcBorders>
              <w:top w:val="nil"/>
              <w:left w:val="single" w:sz="4" w:space="0" w:color="auto"/>
              <w:bottom w:val="single" w:sz="4" w:space="0" w:color="000000"/>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指标　</w:t>
            </w:r>
          </w:p>
        </w:tc>
        <w:tc>
          <w:tcPr>
            <w:tcW w:w="845" w:type="pct"/>
            <w:gridSpan w:val="2"/>
            <w:tcBorders>
              <w:top w:val="single" w:sz="4" w:space="0" w:color="auto"/>
              <w:left w:val="nil"/>
              <w:bottom w:val="single" w:sz="4" w:space="0" w:color="auto"/>
              <w:right w:val="single" w:sz="4" w:space="0" w:color="000000"/>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202</w:t>
            </w:r>
            <w:r>
              <w:rPr>
                <w:rFonts w:ascii="宋体" w:hAnsi="宋体" w:cs="宋体" w:hint="eastAsia"/>
                <w:color w:val="000000"/>
                <w:kern w:val="0"/>
                <w:sz w:val="20"/>
                <w:szCs w:val="20"/>
              </w:rPr>
              <w:t>3</w:t>
            </w:r>
            <w:r>
              <w:rPr>
                <w:rFonts w:ascii="宋体" w:hAnsi="宋体" w:cs="宋体" w:hint="eastAsia"/>
                <w:color w:val="000000"/>
                <w:kern w:val="0"/>
                <w:sz w:val="20"/>
                <w:szCs w:val="20"/>
              </w:rPr>
              <w:t>年</w:t>
            </w:r>
          </w:p>
        </w:tc>
        <w:tc>
          <w:tcPr>
            <w:tcW w:w="304"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202</w:t>
            </w:r>
            <w:r>
              <w:rPr>
                <w:rFonts w:ascii="宋体" w:hAnsi="宋体" w:cs="宋体" w:hint="eastAsia"/>
                <w:color w:val="000000"/>
                <w:kern w:val="0"/>
                <w:sz w:val="20"/>
                <w:szCs w:val="20"/>
              </w:rPr>
              <w:t>4</w:t>
            </w:r>
            <w:r>
              <w:rPr>
                <w:rFonts w:ascii="宋体" w:hAnsi="宋体" w:cs="宋体" w:hint="eastAsia"/>
                <w:color w:val="000000"/>
                <w:kern w:val="0"/>
                <w:sz w:val="20"/>
                <w:szCs w:val="20"/>
              </w:rPr>
              <w:t>年</w:t>
            </w:r>
          </w:p>
        </w:tc>
        <w:tc>
          <w:tcPr>
            <w:tcW w:w="293"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305"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241"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bCs/>
                <w:color w:val="000000"/>
                <w:kern w:val="0"/>
                <w:sz w:val="18"/>
                <w:szCs w:val="18"/>
              </w:rPr>
              <w:t>指标</w:t>
            </w:r>
            <w:r>
              <w:rPr>
                <w:rFonts w:ascii="宋体" w:hAnsi="宋体" w:cs="宋体"/>
                <w:bCs/>
                <w:color w:val="000000"/>
                <w:kern w:val="0"/>
                <w:sz w:val="18"/>
                <w:szCs w:val="18"/>
              </w:rPr>
              <w:t>解释</w:t>
            </w:r>
          </w:p>
        </w:tc>
        <w:tc>
          <w:tcPr>
            <w:tcW w:w="1223" w:type="pct"/>
            <w:tcBorders>
              <w:top w:val="single" w:sz="4" w:space="0" w:color="auto"/>
              <w:left w:val="nil"/>
              <w:bottom w:val="single" w:sz="4" w:space="0" w:color="auto"/>
              <w:right w:val="single" w:sz="4" w:space="0" w:color="auto"/>
            </w:tcBorders>
            <w:vAlign w:val="center"/>
          </w:tcPr>
          <w:p w:rsidR="009C4651" w:rsidRDefault="0003357C">
            <w:pPr>
              <w:widowControl/>
              <w:jc w:val="center"/>
              <w:rPr>
                <w:rFonts w:eastAsia="Times New Roman"/>
                <w:kern w:val="0"/>
                <w:sz w:val="20"/>
                <w:szCs w:val="20"/>
              </w:rPr>
            </w:pPr>
            <w:r>
              <w:rPr>
                <w:rFonts w:ascii="宋体" w:hAnsi="宋体" w:cs="宋体" w:hint="eastAsia"/>
                <w:color w:val="000000"/>
                <w:kern w:val="0"/>
                <w:sz w:val="18"/>
                <w:szCs w:val="18"/>
              </w:rPr>
              <w:t>评</w:t>
            </w:r>
            <w:r>
              <w:rPr>
                <w:rFonts w:ascii="宋体" w:hAnsi="宋体" w:cs="宋体"/>
                <w:color w:val="000000"/>
                <w:kern w:val="0"/>
                <w:sz w:val="18"/>
                <w:szCs w:val="18"/>
              </w:rPr>
              <w:t>分标准</w:t>
            </w:r>
          </w:p>
        </w:tc>
      </w:tr>
      <w:tr w:rsidR="009C4651">
        <w:trPr>
          <w:cantSplit/>
          <w:trHeight w:val="90"/>
        </w:trPr>
        <w:tc>
          <w:tcPr>
            <w:tcW w:w="393" w:type="pct"/>
            <w:vMerge/>
            <w:tcBorders>
              <w:top w:val="nil"/>
              <w:left w:val="single" w:sz="4" w:space="0" w:color="auto"/>
              <w:bottom w:val="single" w:sz="4" w:space="0" w:color="000000"/>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tcBorders>
              <w:top w:val="nil"/>
              <w:left w:val="nil"/>
              <w:bottom w:val="single" w:sz="4" w:space="0" w:color="auto"/>
              <w:right w:val="single" w:sz="4" w:space="0" w:color="auto"/>
            </w:tcBorders>
            <w:vAlign w:val="center"/>
          </w:tcPr>
          <w:p w:rsidR="009C4651" w:rsidRDefault="0003357C">
            <w:pPr>
              <w:widowControl/>
              <w:rPr>
                <w:rFonts w:ascii="宋体" w:hAnsi="宋体" w:cs="宋体"/>
                <w:color w:val="000000"/>
                <w:kern w:val="0"/>
                <w:sz w:val="20"/>
                <w:szCs w:val="20"/>
              </w:rPr>
            </w:pPr>
            <w:r>
              <w:rPr>
                <w:rFonts w:ascii="宋体" w:hAnsi="宋体" w:cs="宋体" w:hint="eastAsia"/>
                <w:color w:val="000000"/>
                <w:kern w:val="0"/>
                <w:sz w:val="20"/>
                <w:szCs w:val="20"/>
              </w:rPr>
              <w:t>结转结余率（</w:t>
            </w:r>
            <w:r>
              <w:rPr>
                <w:rFonts w:ascii="宋体" w:hAnsi="宋体" w:cs="宋体" w:hint="eastAsia"/>
                <w:color w:val="000000"/>
                <w:kern w:val="0"/>
                <w:sz w:val="20"/>
                <w:szCs w:val="20"/>
              </w:rPr>
              <w:t>4</w:t>
            </w:r>
            <w:r>
              <w:rPr>
                <w:rFonts w:ascii="宋体" w:hAnsi="宋体" w:cs="宋体" w:hint="eastAsia"/>
                <w:color w:val="000000"/>
                <w:kern w:val="0"/>
                <w:sz w:val="20"/>
                <w:szCs w:val="20"/>
              </w:rPr>
              <w:t>）</w:t>
            </w:r>
          </w:p>
        </w:tc>
        <w:tc>
          <w:tcPr>
            <w:tcW w:w="2398" w:type="dxa"/>
            <w:gridSpan w:val="2"/>
            <w:tcBorders>
              <w:top w:val="single" w:sz="4" w:space="0" w:color="auto"/>
              <w:left w:val="nil"/>
              <w:bottom w:val="single" w:sz="4" w:space="0" w:color="auto"/>
              <w:right w:val="single" w:sz="4" w:space="0" w:color="000000"/>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5.63</w:t>
            </w:r>
            <w:r>
              <w:rPr>
                <w:rFonts w:ascii="宋体" w:hAnsi="宋体" w:cs="宋体" w:hint="eastAsia"/>
                <w:color w:val="000000"/>
                <w:kern w:val="0"/>
                <w:sz w:val="20"/>
                <w:szCs w:val="20"/>
              </w:rPr>
              <w:t>%</w:t>
            </w:r>
          </w:p>
        </w:tc>
        <w:tc>
          <w:tcPr>
            <w:tcW w:w="304"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3.22</w:t>
            </w:r>
            <w:r>
              <w:rPr>
                <w:rFonts w:ascii="宋体" w:hAnsi="宋体" w:cs="宋体" w:hint="eastAsia"/>
                <w:color w:val="000000"/>
                <w:kern w:val="0"/>
                <w:sz w:val="20"/>
                <w:szCs w:val="20"/>
              </w:rPr>
              <w:t>%</w:t>
            </w:r>
          </w:p>
        </w:tc>
        <w:tc>
          <w:tcPr>
            <w:tcW w:w="293"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05" w:type="pct"/>
            <w:tcBorders>
              <w:top w:val="nil"/>
              <w:left w:val="nil"/>
              <w:bottom w:val="single" w:sz="4" w:space="0" w:color="auto"/>
              <w:right w:val="nil"/>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4</w:t>
            </w:r>
          </w:p>
        </w:tc>
        <w:tc>
          <w:tcPr>
            <w:tcW w:w="1241" w:type="pct"/>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结转结余率</w:t>
            </w:r>
            <w:r>
              <w:rPr>
                <w:rFonts w:ascii="宋体" w:hAnsi="宋体" w:cs="宋体" w:hint="eastAsia"/>
                <w:color w:val="000000"/>
                <w:kern w:val="0"/>
                <w:sz w:val="18"/>
                <w:szCs w:val="18"/>
              </w:rPr>
              <w:t>=</w:t>
            </w:r>
            <w:r>
              <w:rPr>
                <w:rFonts w:ascii="宋体" w:hAnsi="宋体" w:cs="宋体" w:hint="eastAsia"/>
                <w:color w:val="000000"/>
                <w:kern w:val="0"/>
                <w:sz w:val="18"/>
                <w:szCs w:val="18"/>
              </w:rPr>
              <w:t>结转结余总额</w:t>
            </w:r>
            <w:r>
              <w:rPr>
                <w:rFonts w:ascii="宋体" w:hAnsi="宋体" w:cs="宋体" w:hint="eastAsia"/>
                <w:color w:val="000000"/>
                <w:kern w:val="0"/>
                <w:sz w:val="18"/>
                <w:szCs w:val="18"/>
              </w:rPr>
              <w:t>/</w:t>
            </w:r>
            <w:r>
              <w:rPr>
                <w:rFonts w:ascii="宋体" w:hAnsi="宋体" w:cs="宋体" w:hint="eastAsia"/>
                <w:color w:val="000000"/>
                <w:kern w:val="0"/>
                <w:sz w:val="18"/>
                <w:szCs w:val="18"/>
              </w:rPr>
              <w:t>支出预算数×</w:t>
            </w:r>
            <w:r>
              <w:rPr>
                <w:rFonts w:ascii="宋体" w:hAnsi="宋体" w:cs="宋体" w:hint="eastAsia"/>
                <w:color w:val="000000"/>
                <w:kern w:val="0"/>
                <w:sz w:val="18"/>
                <w:szCs w:val="18"/>
              </w:rPr>
              <w:t>100%</w:t>
            </w:r>
            <w:r>
              <w:rPr>
                <w:rFonts w:ascii="宋体" w:hAnsi="宋体" w:cs="宋体" w:hint="eastAsia"/>
                <w:color w:val="000000"/>
                <w:kern w:val="0"/>
                <w:sz w:val="18"/>
                <w:szCs w:val="18"/>
              </w:rPr>
              <w:t>。</w:t>
            </w:r>
            <w:r>
              <w:rPr>
                <w:rFonts w:ascii="宋体" w:hAnsi="宋体" w:cs="宋体" w:hint="eastAsia"/>
                <w:color w:val="000000"/>
                <w:kern w:val="0"/>
                <w:sz w:val="18"/>
                <w:szCs w:val="18"/>
              </w:rPr>
              <w:br/>
            </w:r>
            <w:r>
              <w:rPr>
                <w:rFonts w:ascii="宋体" w:hAnsi="宋体" w:cs="宋体" w:hint="eastAsia"/>
                <w:color w:val="000000"/>
                <w:kern w:val="0"/>
                <w:sz w:val="18"/>
                <w:szCs w:val="18"/>
              </w:rPr>
              <w:t>结转结余总额：部门（单位）本年度的结转资金与结余资金之和。</w:t>
            </w:r>
          </w:p>
        </w:tc>
        <w:tc>
          <w:tcPr>
            <w:tcW w:w="1223" w:type="pct"/>
            <w:tcBorders>
              <w:top w:val="single" w:sz="4" w:space="0" w:color="auto"/>
              <w:left w:val="nil"/>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部门结转结余率低于上年的不扣分；高于上年结余率，每高出</w:t>
            </w:r>
            <w:r>
              <w:rPr>
                <w:rFonts w:ascii="宋体" w:hAnsi="宋体" w:cs="宋体" w:hint="eastAsia"/>
                <w:color w:val="000000"/>
                <w:kern w:val="0"/>
                <w:sz w:val="18"/>
                <w:szCs w:val="18"/>
              </w:rPr>
              <w:t>1</w:t>
            </w:r>
            <w:r>
              <w:rPr>
                <w:rFonts w:ascii="宋体" w:hAnsi="宋体" w:cs="宋体" w:hint="eastAsia"/>
                <w:color w:val="000000"/>
                <w:kern w:val="0"/>
                <w:sz w:val="18"/>
                <w:szCs w:val="18"/>
              </w:rPr>
              <w:t>个百分点扣</w:t>
            </w:r>
            <w:r>
              <w:rPr>
                <w:rFonts w:ascii="宋体" w:hAnsi="宋体" w:cs="宋体" w:hint="eastAsia"/>
                <w:color w:val="000000"/>
                <w:kern w:val="0"/>
                <w:sz w:val="18"/>
                <w:szCs w:val="18"/>
              </w:rPr>
              <w:t>0.4</w:t>
            </w:r>
            <w:r>
              <w:rPr>
                <w:rFonts w:ascii="宋体" w:hAnsi="宋体" w:cs="宋体" w:hint="eastAsia"/>
                <w:color w:val="000000"/>
                <w:kern w:val="0"/>
                <w:sz w:val="18"/>
                <w:szCs w:val="18"/>
              </w:rPr>
              <w:t>分，扣完为止。（说明：预算调整和结转结余指标，如非预算部门主观因素导致扣分的，在评分结果征求意见环节，经与相关部门预算主管处室共同研究，可作为例外情况酌情考虑。）</w:t>
            </w:r>
          </w:p>
        </w:tc>
      </w:tr>
      <w:tr w:rsidR="009C4651">
        <w:trPr>
          <w:cantSplit/>
          <w:trHeight w:val="906"/>
        </w:trPr>
        <w:tc>
          <w:tcPr>
            <w:tcW w:w="393" w:type="pct"/>
            <w:vMerge/>
            <w:tcBorders>
              <w:top w:val="nil"/>
              <w:left w:val="single" w:sz="4" w:space="0" w:color="auto"/>
              <w:bottom w:val="single" w:sz="4" w:space="0" w:color="000000"/>
              <w:right w:val="single" w:sz="4" w:space="0" w:color="auto"/>
            </w:tcBorders>
            <w:vAlign w:val="center"/>
          </w:tcPr>
          <w:p w:rsidR="009C4651" w:rsidRDefault="009C4651">
            <w:pPr>
              <w:widowControl/>
              <w:jc w:val="left"/>
              <w:rPr>
                <w:rFonts w:ascii="宋体" w:hAnsi="宋体" w:cs="宋体"/>
                <w:color w:val="000000"/>
                <w:kern w:val="0"/>
                <w:sz w:val="20"/>
                <w:szCs w:val="20"/>
              </w:rPr>
            </w:pPr>
          </w:p>
        </w:tc>
        <w:tc>
          <w:tcPr>
            <w:tcW w:w="394" w:type="pct"/>
            <w:tcBorders>
              <w:top w:val="nil"/>
              <w:left w:val="nil"/>
              <w:bottom w:val="single" w:sz="4" w:space="0" w:color="auto"/>
              <w:right w:val="single" w:sz="4" w:space="0" w:color="auto"/>
            </w:tcBorders>
            <w:vAlign w:val="center"/>
          </w:tcPr>
          <w:p w:rsidR="009C4651" w:rsidRDefault="0003357C">
            <w:pPr>
              <w:widowControl/>
              <w:rPr>
                <w:rFonts w:ascii="宋体" w:hAnsi="宋体" w:cs="宋体"/>
                <w:color w:val="000000"/>
                <w:kern w:val="0"/>
                <w:sz w:val="20"/>
                <w:szCs w:val="20"/>
              </w:rPr>
            </w:pPr>
            <w:r>
              <w:rPr>
                <w:rFonts w:ascii="宋体" w:hAnsi="宋体" w:cs="宋体" w:hint="eastAsia"/>
                <w:color w:val="000000"/>
                <w:kern w:val="0"/>
                <w:sz w:val="20"/>
                <w:szCs w:val="20"/>
              </w:rPr>
              <w:t>部门预决算差异率（</w:t>
            </w:r>
            <w:r>
              <w:rPr>
                <w:rFonts w:ascii="宋体" w:hAnsi="宋体" w:cs="宋体" w:hint="eastAsia"/>
                <w:color w:val="000000"/>
                <w:kern w:val="0"/>
                <w:sz w:val="20"/>
                <w:szCs w:val="20"/>
              </w:rPr>
              <w:t>4</w:t>
            </w:r>
            <w:r>
              <w:rPr>
                <w:rFonts w:ascii="宋体" w:hAnsi="宋体" w:cs="宋体" w:hint="eastAsia"/>
                <w:color w:val="000000"/>
                <w:kern w:val="0"/>
                <w:sz w:val="20"/>
                <w:szCs w:val="20"/>
              </w:rPr>
              <w:t>）</w:t>
            </w:r>
          </w:p>
        </w:tc>
        <w:tc>
          <w:tcPr>
            <w:tcW w:w="2398" w:type="dxa"/>
            <w:gridSpan w:val="2"/>
            <w:tcBorders>
              <w:top w:val="single" w:sz="4" w:space="0" w:color="auto"/>
              <w:left w:val="nil"/>
              <w:bottom w:val="single" w:sz="4" w:space="0" w:color="auto"/>
              <w:right w:val="nil"/>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r>
              <w:rPr>
                <w:rFonts w:ascii="宋体" w:hAnsi="宋体" w:cs="宋体"/>
                <w:color w:val="000000"/>
                <w:kern w:val="0"/>
                <w:sz w:val="20"/>
                <w:szCs w:val="20"/>
              </w:rPr>
              <w:t>.</w:t>
            </w:r>
            <w:r>
              <w:rPr>
                <w:rFonts w:ascii="宋体" w:hAnsi="宋体" w:cs="宋体" w:hint="eastAsia"/>
                <w:color w:val="000000"/>
                <w:kern w:val="0"/>
                <w:sz w:val="20"/>
                <w:szCs w:val="20"/>
              </w:rPr>
              <w:t>69</w:t>
            </w:r>
            <w:r>
              <w:rPr>
                <w:rFonts w:ascii="宋体" w:hAnsi="宋体" w:cs="宋体" w:hint="eastAsia"/>
                <w:color w:val="000000"/>
                <w:kern w:val="0"/>
                <w:sz w:val="20"/>
                <w:szCs w:val="20"/>
              </w:rPr>
              <w:t>%</w:t>
            </w:r>
          </w:p>
        </w:tc>
        <w:tc>
          <w:tcPr>
            <w:tcW w:w="304" w:type="pct"/>
            <w:tcBorders>
              <w:top w:val="nil"/>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10.81</w:t>
            </w:r>
            <w:r>
              <w:rPr>
                <w:rFonts w:ascii="宋体" w:hAnsi="宋体" w:cs="宋体" w:hint="eastAsia"/>
                <w:color w:val="000000"/>
                <w:kern w:val="0"/>
                <w:sz w:val="20"/>
                <w:szCs w:val="20"/>
              </w:rPr>
              <w:t>%</w:t>
            </w:r>
          </w:p>
        </w:tc>
        <w:tc>
          <w:tcPr>
            <w:tcW w:w="293"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05" w:type="pct"/>
            <w:tcBorders>
              <w:top w:val="nil"/>
              <w:left w:val="nil"/>
              <w:bottom w:val="single" w:sz="4" w:space="0" w:color="auto"/>
              <w:right w:val="nil"/>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4</w:t>
            </w:r>
          </w:p>
        </w:tc>
        <w:tc>
          <w:tcPr>
            <w:tcW w:w="1241" w:type="pct"/>
            <w:tcBorders>
              <w:top w:val="nil"/>
              <w:left w:val="single" w:sz="4" w:space="0" w:color="auto"/>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通过年度部门决算与年初部门预算对比，对部门的年度支出情况进行考核，衡量部门预算的约束力。</w:t>
            </w:r>
          </w:p>
        </w:tc>
        <w:tc>
          <w:tcPr>
            <w:tcW w:w="1223" w:type="pct"/>
            <w:tcBorders>
              <w:top w:val="nil"/>
              <w:left w:val="nil"/>
              <w:bottom w:val="single" w:sz="4" w:space="0" w:color="auto"/>
              <w:right w:val="single" w:sz="4" w:space="0" w:color="auto"/>
            </w:tcBorders>
            <w:vAlign w:val="center"/>
          </w:tcPr>
          <w:p w:rsidR="009C4651" w:rsidRDefault="0003357C">
            <w:pPr>
              <w:widowControl/>
              <w:jc w:val="left"/>
              <w:rPr>
                <w:rFonts w:ascii="宋体" w:hAnsi="宋体" w:cs="宋体"/>
                <w:color w:val="000000"/>
                <w:kern w:val="0"/>
                <w:sz w:val="18"/>
                <w:szCs w:val="18"/>
              </w:rPr>
            </w:pPr>
            <w:r>
              <w:rPr>
                <w:rFonts w:ascii="宋体" w:hAnsi="宋体" w:cs="宋体" w:hint="eastAsia"/>
                <w:color w:val="000000"/>
                <w:kern w:val="0"/>
                <w:sz w:val="18"/>
                <w:szCs w:val="18"/>
              </w:rPr>
              <w:t>部门预决算差异率高于市级平均差异率（</w:t>
            </w:r>
            <w:r>
              <w:rPr>
                <w:rFonts w:ascii="宋体" w:hAnsi="宋体" w:cs="宋体" w:hint="eastAsia"/>
                <w:color w:val="000000"/>
                <w:kern w:val="0"/>
                <w:sz w:val="18"/>
                <w:szCs w:val="18"/>
              </w:rPr>
              <w:t>28.3%</w:t>
            </w:r>
            <w:r>
              <w:rPr>
                <w:rFonts w:ascii="宋体" w:hAnsi="宋体" w:cs="宋体" w:hint="eastAsia"/>
                <w:color w:val="000000"/>
                <w:kern w:val="0"/>
                <w:sz w:val="18"/>
                <w:szCs w:val="18"/>
              </w:rPr>
              <w:t>）的，每高出</w:t>
            </w:r>
            <w:r>
              <w:rPr>
                <w:rFonts w:ascii="宋体" w:hAnsi="宋体" w:cs="宋体" w:hint="eastAsia"/>
                <w:color w:val="000000"/>
                <w:kern w:val="0"/>
                <w:sz w:val="18"/>
                <w:szCs w:val="18"/>
              </w:rPr>
              <w:t>10%</w:t>
            </w:r>
            <w:r>
              <w:rPr>
                <w:rFonts w:ascii="宋体" w:hAnsi="宋体" w:cs="宋体" w:hint="eastAsia"/>
                <w:color w:val="000000"/>
                <w:kern w:val="0"/>
                <w:sz w:val="18"/>
                <w:szCs w:val="18"/>
              </w:rPr>
              <w:t>（含），扣</w:t>
            </w:r>
            <w:r>
              <w:rPr>
                <w:rFonts w:ascii="宋体" w:hAnsi="宋体" w:cs="宋体" w:hint="eastAsia"/>
                <w:color w:val="000000"/>
                <w:kern w:val="0"/>
                <w:sz w:val="18"/>
                <w:szCs w:val="18"/>
              </w:rPr>
              <w:t>0.4</w:t>
            </w:r>
            <w:r>
              <w:rPr>
                <w:rFonts w:ascii="宋体" w:hAnsi="宋体" w:cs="宋体" w:hint="eastAsia"/>
                <w:color w:val="000000"/>
                <w:kern w:val="0"/>
                <w:sz w:val="18"/>
                <w:szCs w:val="18"/>
              </w:rPr>
              <w:t>分，扣完为止。</w:t>
            </w:r>
          </w:p>
        </w:tc>
      </w:tr>
      <w:tr w:rsidR="009C4651">
        <w:trPr>
          <w:cantSplit/>
          <w:trHeight w:val="394"/>
        </w:trPr>
        <w:tc>
          <w:tcPr>
            <w:tcW w:w="1937" w:type="pct"/>
            <w:gridSpan w:val="5"/>
            <w:tcBorders>
              <w:top w:val="single" w:sz="4" w:space="0" w:color="auto"/>
              <w:left w:val="single" w:sz="4" w:space="0" w:color="auto"/>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93" w:type="pct"/>
            <w:tcBorders>
              <w:top w:val="nil"/>
              <w:left w:val="nil"/>
              <w:bottom w:val="single" w:sz="4" w:space="0" w:color="auto"/>
              <w:right w:val="single" w:sz="4" w:space="0" w:color="auto"/>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305" w:type="pct"/>
            <w:tcBorders>
              <w:top w:val="nil"/>
              <w:left w:val="nil"/>
              <w:bottom w:val="single" w:sz="4" w:space="0" w:color="auto"/>
              <w:right w:val="nil"/>
            </w:tcBorders>
            <w:vAlign w:val="center"/>
          </w:tcPr>
          <w:p w:rsidR="009C4651" w:rsidRDefault="0003357C">
            <w:pPr>
              <w:widowControl/>
              <w:jc w:val="center"/>
              <w:rPr>
                <w:rFonts w:ascii="宋体" w:hAnsi="宋体" w:cs="宋体"/>
                <w:color w:val="000000"/>
                <w:kern w:val="0"/>
                <w:sz w:val="20"/>
                <w:szCs w:val="20"/>
              </w:rPr>
            </w:pPr>
            <w:r>
              <w:rPr>
                <w:rFonts w:ascii="宋体" w:hAnsi="宋体" w:cs="宋体" w:hint="eastAsia"/>
                <w:color w:val="000000"/>
                <w:kern w:val="0"/>
                <w:sz w:val="20"/>
                <w:szCs w:val="20"/>
              </w:rPr>
              <w:t>97.59</w:t>
            </w:r>
          </w:p>
        </w:tc>
        <w:tc>
          <w:tcPr>
            <w:tcW w:w="2464" w:type="pct"/>
            <w:gridSpan w:val="2"/>
            <w:tcBorders>
              <w:top w:val="single" w:sz="4" w:space="0" w:color="auto"/>
              <w:left w:val="single" w:sz="4" w:space="0" w:color="auto"/>
              <w:bottom w:val="single" w:sz="4" w:space="0" w:color="auto"/>
              <w:right w:val="single" w:sz="4" w:space="0" w:color="000000"/>
            </w:tcBorders>
            <w:vAlign w:val="center"/>
          </w:tcPr>
          <w:p w:rsidR="009C4651" w:rsidRDefault="0003357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bl>
    <w:p w:rsidR="009C4651" w:rsidRDefault="009C4651">
      <w:pPr>
        <w:spacing w:line="20" w:lineRule="exact"/>
        <w:rPr>
          <w:rFonts w:ascii="方正小标宋简体" w:eastAsia="方正小标宋简体"/>
          <w:sz w:val="36"/>
          <w:szCs w:val="36"/>
        </w:rPr>
      </w:pPr>
    </w:p>
    <w:sectPr w:rsidR="009C4651">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57C" w:rsidRDefault="0003357C">
      <w:r>
        <w:separator/>
      </w:r>
    </w:p>
  </w:endnote>
  <w:endnote w:type="continuationSeparator" w:id="0">
    <w:p w:rsidR="0003357C" w:rsidRDefault="0003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51" w:rsidRDefault="0003357C">
    <w:pPr>
      <w:pStyle w:val="a6"/>
      <w:ind w:firstLine="360"/>
      <w:jc w:val="center"/>
      <w:rPr>
        <w:sz w:val="21"/>
        <w:szCs w:val="21"/>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4651" w:rsidRDefault="0003357C">
                          <w:pPr>
                            <w:pStyle w:val="a6"/>
                            <w:rPr>
                              <w:sz w:val="28"/>
                              <w:szCs w:val="28"/>
                            </w:rPr>
                          </w:pPr>
                          <w:r>
                            <w:rPr>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noProof/>
                              <w:sz w:val="28"/>
                              <w:szCs w:val="28"/>
                            </w:rPr>
                            <w:t>1</w:t>
                          </w:r>
                          <w:r>
                            <w:rPr>
                              <w:rFonts w:asciiTheme="majorEastAsia" w:eastAsiaTheme="majorEastAsia" w:hAnsiTheme="majorEastAsia" w:cstheme="majorEastAsia" w:hint="eastAsia"/>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C4651" w:rsidRDefault="0003357C">
                    <w:pPr>
                      <w:pStyle w:val="a6"/>
                      <w:rPr>
                        <w:sz w:val="28"/>
                        <w:szCs w:val="28"/>
                      </w:rPr>
                    </w:pPr>
                    <w:r>
                      <w:rPr>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noProof/>
                        <w:sz w:val="28"/>
                        <w:szCs w:val="28"/>
                      </w:rPr>
                      <w:t>1</w:t>
                    </w:r>
                    <w:r>
                      <w:rPr>
                        <w:rFonts w:asciiTheme="majorEastAsia" w:eastAsiaTheme="majorEastAsia" w:hAnsiTheme="majorEastAsia" w:cstheme="majorEastAsia" w:hint="eastAsia"/>
                        <w:sz w:val="28"/>
                        <w:szCs w:val="28"/>
                      </w:rPr>
                      <w:fldChar w:fldCharType="end"/>
                    </w:r>
                    <w:r>
                      <w:rPr>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51" w:rsidRDefault="0003357C">
    <w:pPr>
      <w:pStyle w:val="a6"/>
      <w:jc w:val="right"/>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4651" w:rsidRDefault="0003357C">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F030F">
                            <w:rPr>
                              <w:rFonts w:asciiTheme="minorEastAsia" w:eastAsiaTheme="minorEastAsia" w:hAnsiTheme="minorEastAsia" w:cstheme="minorEastAsia"/>
                              <w:noProof/>
                              <w:sz w:val="28"/>
                              <w:szCs w:val="28"/>
                            </w:rPr>
                            <w:t>16</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9C4651" w:rsidRDefault="0003357C">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F030F">
                      <w:rPr>
                        <w:rFonts w:asciiTheme="minorEastAsia" w:eastAsiaTheme="minorEastAsia" w:hAnsiTheme="minorEastAsia" w:cstheme="minorEastAsia"/>
                        <w:noProof/>
                        <w:sz w:val="28"/>
                        <w:szCs w:val="28"/>
                      </w:rPr>
                      <w:t>16</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57C" w:rsidRDefault="0003357C">
      <w:r>
        <w:separator/>
      </w:r>
    </w:p>
  </w:footnote>
  <w:footnote w:type="continuationSeparator" w:id="0">
    <w:p w:rsidR="0003357C" w:rsidRDefault="00033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revisionView w:inkAnnotations="0"/>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77F09F4"/>
    <w:rsid w:val="BEFF2C01"/>
    <w:rsid w:val="BFB76486"/>
    <w:rsid w:val="BFBF4154"/>
    <w:rsid w:val="BFD7A2A6"/>
    <w:rsid w:val="BFEF04F0"/>
    <w:rsid w:val="C67F3FD2"/>
    <w:rsid w:val="CABB7AA5"/>
    <w:rsid w:val="CEFD3F3D"/>
    <w:rsid w:val="D6B22E60"/>
    <w:rsid w:val="D7FFEDCF"/>
    <w:rsid w:val="DBBF3CB5"/>
    <w:rsid w:val="DBF4CA9B"/>
    <w:rsid w:val="DDED31C3"/>
    <w:rsid w:val="DEEBF368"/>
    <w:rsid w:val="DEF77A60"/>
    <w:rsid w:val="EA3F77F2"/>
    <w:rsid w:val="EEFE5989"/>
    <w:rsid w:val="EF7EF57D"/>
    <w:rsid w:val="EFCF3EAE"/>
    <w:rsid w:val="EFFAD761"/>
    <w:rsid w:val="F3F935BA"/>
    <w:rsid w:val="F4FDEB06"/>
    <w:rsid w:val="F57E493F"/>
    <w:rsid w:val="F5B764A2"/>
    <w:rsid w:val="F5FDFE76"/>
    <w:rsid w:val="F75A2F4D"/>
    <w:rsid w:val="F77F09F4"/>
    <w:rsid w:val="F7F95F75"/>
    <w:rsid w:val="F7FEDEA0"/>
    <w:rsid w:val="F9FF2A73"/>
    <w:rsid w:val="FB39B724"/>
    <w:rsid w:val="FBFF6E65"/>
    <w:rsid w:val="FDBC35E1"/>
    <w:rsid w:val="FDBFA2AC"/>
    <w:rsid w:val="FDDF260E"/>
    <w:rsid w:val="FDFD66A7"/>
    <w:rsid w:val="FEEF6AA0"/>
    <w:rsid w:val="FFB792B8"/>
    <w:rsid w:val="FFD7BFFC"/>
    <w:rsid w:val="FFDF8426"/>
    <w:rsid w:val="FFEFC60A"/>
    <w:rsid w:val="FFFA6B0F"/>
    <w:rsid w:val="FFFFB6E6"/>
    <w:rsid w:val="00001A75"/>
    <w:rsid w:val="0003357C"/>
    <w:rsid w:val="00254543"/>
    <w:rsid w:val="0027300F"/>
    <w:rsid w:val="002813EE"/>
    <w:rsid w:val="002A2D89"/>
    <w:rsid w:val="0033785A"/>
    <w:rsid w:val="00344DB0"/>
    <w:rsid w:val="00355E27"/>
    <w:rsid w:val="003D67B4"/>
    <w:rsid w:val="003E56E3"/>
    <w:rsid w:val="00471761"/>
    <w:rsid w:val="00475740"/>
    <w:rsid w:val="00514CEE"/>
    <w:rsid w:val="00632669"/>
    <w:rsid w:val="00686AD8"/>
    <w:rsid w:val="006C426D"/>
    <w:rsid w:val="0070493E"/>
    <w:rsid w:val="0076531E"/>
    <w:rsid w:val="007665CB"/>
    <w:rsid w:val="007A61E0"/>
    <w:rsid w:val="00885CF3"/>
    <w:rsid w:val="0096264D"/>
    <w:rsid w:val="009863B4"/>
    <w:rsid w:val="0099737B"/>
    <w:rsid w:val="009C4651"/>
    <w:rsid w:val="009D4462"/>
    <w:rsid w:val="00A52948"/>
    <w:rsid w:val="00A72356"/>
    <w:rsid w:val="00B30C3F"/>
    <w:rsid w:val="00BF7FFC"/>
    <w:rsid w:val="00C74794"/>
    <w:rsid w:val="00CC27CC"/>
    <w:rsid w:val="00CE56A4"/>
    <w:rsid w:val="00CF030F"/>
    <w:rsid w:val="00D0704D"/>
    <w:rsid w:val="00D40ECF"/>
    <w:rsid w:val="00D4560E"/>
    <w:rsid w:val="00D6350E"/>
    <w:rsid w:val="00D64A32"/>
    <w:rsid w:val="00D7695E"/>
    <w:rsid w:val="00E63212"/>
    <w:rsid w:val="00E949CE"/>
    <w:rsid w:val="00FC7311"/>
    <w:rsid w:val="175F53D8"/>
    <w:rsid w:val="17F9D139"/>
    <w:rsid w:val="1B8FCFAE"/>
    <w:rsid w:val="2F672124"/>
    <w:rsid w:val="32F535E1"/>
    <w:rsid w:val="37173543"/>
    <w:rsid w:val="3D7851BF"/>
    <w:rsid w:val="3E7F8187"/>
    <w:rsid w:val="3FDBA076"/>
    <w:rsid w:val="3FDFB3F0"/>
    <w:rsid w:val="3FDFC9A6"/>
    <w:rsid w:val="3FF336EF"/>
    <w:rsid w:val="3FF76880"/>
    <w:rsid w:val="5AFC2345"/>
    <w:rsid w:val="5BEEB3BA"/>
    <w:rsid w:val="5BFD4AC2"/>
    <w:rsid w:val="5FED3E26"/>
    <w:rsid w:val="5FFF82C3"/>
    <w:rsid w:val="5FFF9467"/>
    <w:rsid w:val="67759716"/>
    <w:rsid w:val="67B562B0"/>
    <w:rsid w:val="6BFF9695"/>
    <w:rsid w:val="6D5A9B92"/>
    <w:rsid w:val="6F7ED27B"/>
    <w:rsid w:val="71CDD078"/>
    <w:rsid w:val="75ABE471"/>
    <w:rsid w:val="75B17A7C"/>
    <w:rsid w:val="76AD36BA"/>
    <w:rsid w:val="77A22CDA"/>
    <w:rsid w:val="77FF06E9"/>
    <w:rsid w:val="795D2F48"/>
    <w:rsid w:val="7AB7FF50"/>
    <w:rsid w:val="7AEAF641"/>
    <w:rsid w:val="7BAD2729"/>
    <w:rsid w:val="7BDD8713"/>
    <w:rsid w:val="7BEC3544"/>
    <w:rsid w:val="7BFEB0DB"/>
    <w:rsid w:val="7DEBA0F5"/>
    <w:rsid w:val="7E5D8A35"/>
    <w:rsid w:val="7E7FEF43"/>
    <w:rsid w:val="7F6FCC7E"/>
    <w:rsid w:val="7F7F0A35"/>
    <w:rsid w:val="7FED085C"/>
    <w:rsid w:val="7FFF4E81"/>
    <w:rsid w:val="7FFFA5C6"/>
    <w:rsid w:val="7FFFD0D3"/>
    <w:rsid w:val="8716660E"/>
    <w:rsid w:val="8FFECBFD"/>
    <w:rsid w:val="9237C678"/>
    <w:rsid w:val="9FFB44E7"/>
    <w:rsid w:val="A3AA735E"/>
    <w:rsid w:val="A75D4892"/>
    <w:rsid w:val="AFFFCE02"/>
    <w:rsid w:val="B7AD5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06B168-E60A-44E7-A6F3-34DF2E0D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TableOfAuthoring"/>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spacing w:line="600" w:lineRule="exact"/>
      <w:ind w:firstLine="640"/>
      <w:outlineLvl w:val="0"/>
    </w:pPr>
    <w:rPr>
      <w:rFonts w:ascii="黑体" w:eastAsia="黑体" w:hAnsi="黑体" w:cs="宋体"/>
      <w:color w:val="000000"/>
      <w:kern w:val="0"/>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OfAuthoring">
    <w:name w:val="TableOfAuthoring"/>
    <w:basedOn w:val="a"/>
    <w:next w:val="a"/>
    <w:qFormat/>
    <w:pPr>
      <w:ind w:left="420"/>
      <w:textAlignment w:val="baseline"/>
    </w:pPr>
    <w:rPr>
      <w:rFonts w:ascii="Calibri" w:hAnsi="Calibri"/>
      <w:kern w:val="1"/>
    </w:rPr>
  </w:style>
  <w:style w:type="paragraph" w:styleId="a3">
    <w:name w:val="Normal Indent"/>
    <w:basedOn w:val="a"/>
    <w:qFormat/>
    <w:pPr>
      <w:ind w:firstLineChars="200" w:firstLine="200"/>
    </w:pPr>
  </w:style>
  <w:style w:type="paragraph" w:styleId="a4">
    <w:name w:val="Body Text"/>
    <w:basedOn w:val="a"/>
    <w:next w:val="TOC11"/>
    <w:qFormat/>
    <w:pPr>
      <w:spacing w:after="140" w:line="276" w:lineRule="auto"/>
    </w:pPr>
  </w:style>
  <w:style w:type="paragraph" w:customStyle="1" w:styleId="TOC11">
    <w:name w:val="TOC 11"/>
    <w:next w:val="a"/>
    <w:qFormat/>
    <w:pPr>
      <w:wordWrap w:val="0"/>
      <w:jc w:val="both"/>
    </w:pPr>
    <w:rPr>
      <w:rFonts w:ascii="Calibri" w:eastAsia="宋体" w:hAnsi="Calibri" w:cs="Times New Roman"/>
      <w:sz w:val="21"/>
      <w:szCs w:val="22"/>
    </w:rPr>
  </w:style>
  <w:style w:type="paragraph" w:styleId="a5">
    <w:name w:val="Balloon Text"/>
    <w:basedOn w:val="a"/>
    <w:link w:val="Char"/>
    <w:semiHidden/>
    <w:unhideWhenUsed/>
    <w:qFormat/>
    <w:rPr>
      <w:sz w:val="18"/>
      <w:szCs w:val="18"/>
    </w:rPr>
  </w:style>
  <w:style w:type="paragraph" w:styleId="a6">
    <w:name w:val="footer"/>
    <w:basedOn w:val="a"/>
    <w:uiPriority w:val="99"/>
    <w:qFormat/>
    <w:pPr>
      <w:tabs>
        <w:tab w:val="center" w:pos="4153"/>
        <w:tab w:val="right" w:pos="8306"/>
      </w:tabs>
      <w:snapToGrid w:val="0"/>
      <w:jc w:val="left"/>
    </w:pPr>
    <w:rPr>
      <w:sz w:val="18"/>
      <w:szCs w:val="20"/>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Body Text First Indent"/>
    <w:basedOn w:val="a4"/>
    <w:uiPriority w:val="99"/>
    <w:qFormat/>
    <w:pPr>
      <w:spacing w:line="500" w:lineRule="exact"/>
      <w:ind w:firstLine="420"/>
    </w:pPr>
    <w:rPr>
      <w:rFonts w:eastAsia="楷体_GB2312"/>
      <w:sz w:val="28"/>
    </w:rPr>
  </w:style>
  <w:style w:type="paragraph" w:customStyle="1" w:styleId="10">
    <w:name w:val="列出段落1"/>
    <w:basedOn w:val="a"/>
    <w:uiPriority w:val="34"/>
    <w:qFormat/>
    <w:pPr>
      <w:ind w:firstLineChars="200" w:firstLine="420"/>
    </w:pPr>
    <w:rPr>
      <w:rFonts w:ascii="Calibri" w:hAnsi="Calibri" w:cs="黑体"/>
      <w:szCs w:val="22"/>
    </w:rPr>
  </w:style>
  <w:style w:type="character" w:customStyle="1" w:styleId="NormalCharacter">
    <w:name w:val="NormalCharacter"/>
    <w:link w:val="UserStyle4"/>
    <w:qFormat/>
    <w:rPr>
      <w:rFonts w:ascii="Calibri" w:eastAsia="宋体" w:hAnsi="Calibri" w:cs="黑体"/>
      <w:sz w:val="21"/>
      <w:szCs w:val="22"/>
    </w:rPr>
  </w:style>
  <w:style w:type="paragraph" w:customStyle="1" w:styleId="UserStyle4">
    <w:name w:val="UserStyle_4"/>
    <w:basedOn w:val="a"/>
    <w:link w:val="NormalCharacter"/>
    <w:qFormat/>
    <w:pPr>
      <w:widowControl/>
      <w:spacing w:after="160" w:line="240" w:lineRule="exact"/>
      <w:jc w:val="left"/>
      <w:textAlignment w:val="baseline"/>
    </w:pPr>
    <w:rPr>
      <w:rFonts w:ascii="Calibri" w:hAnsi="Calibri" w:cs="黑体"/>
      <w:szCs w:val="22"/>
    </w:rPr>
  </w:style>
  <w:style w:type="character" w:customStyle="1" w:styleId="Char">
    <w:name w:val="批注框文本 Char"/>
    <w:basedOn w:val="a0"/>
    <w:link w:val="a5"/>
    <w:semiHidden/>
    <w:qFormat/>
    <w:rPr>
      <w:rFonts w:ascii="Times New Roman" w:eastAsia="宋体" w:hAnsi="Times New Roman" w:cs="Times New Roman"/>
      <w:kern w:val="2"/>
      <w:sz w:val="18"/>
      <w:szCs w:val="18"/>
    </w:rPr>
  </w:style>
  <w:style w:type="paragraph" w:customStyle="1" w:styleId="11">
    <w:name w:val="正文文本首行缩进1"/>
    <w:basedOn w:val="a4"/>
    <w:qFormat/>
    <w:pPr>
      <w:spacing w:after="0"/>
      <w:ind w:firstLine="643"/>
    </w:pPr>
    <w:rPr>
      <w:rFonts w:eastAsia="仿宋_GB2312" w:hint="eastAsia"/>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1257</Words>
  <Characters>7169</Characters>
  <Application>Microsoft Office Word</Application>
  <DocSecurity>0</DocSecurity>
  <Lines>59</Lines>
  <Paragraphs>16</Paragraphs>
  <ScaleCrop>false</ScaleCrop>
  <Company>Microsoft</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10</cp:revision>
  <cp:lastPrinted>2025-05-19T18:35:00Z</cp:lastPrinted>
  <dcterms:created xsi:type="dcterms:W3CDTF">2023-06-02T22:58:00Z</dcterms:created>
  <dcterms:modified xsi:type="dcterms:W3CDTF">2025-08-25T09:19:00Z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