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989" w:type="dxa"/>
        <w:tblInd w:w="88" w:type="dxa"/>
        <w:tblLayout w:type="autofit"/>
        <w:tblCellMar>
          <w:top w:w="0" w:type="dxa"/>
          <w:left w:w="108" w:type="dxa"/>
          <w:bottom w:w="0" w:type="dxa"/>
          <w:right w:w="108" w:type="dxa"/>
        </w:tblCellMar>
      </w:tblPr>
      <w:tblGrid>
        <w:gridCol w:w="569"/>
        <w:gridCol w:w="765"/>
        <w:gridCol w:w="2013"/>
        <w:gridCol w:w="3216"/>
        <w:gridCol w:w="1664"/>
        <w:gridCol w:w="2117"/>
        <w:gridCol w:w="838"/>
        <w:gridCol w:w="795"/>
        <w:gridCol w:w="593"/>
        <w:gridCol w:w="1419"/>
      </w:tblGrid>
      <w:tr>
        <w:tblPrEx>
          <w:tblCellMar>
            <w:top w:w="0" w:type="dxa"/>
            <w:left w:w="108" w:type="dxa"/>
            <w:bottom w:w="0" w:type="dxa"/>
            <w:right w:w="108" w:type="dxa"/>
          </w:tblCellMar>
        </w:tblPrEx>
        <w:trPr>
          <w:trHeight w:val="336" w:hRule="atLeast"/>
        </w:trPr>
        <w:tc>
          <w:tcPr>
            <w:tcW w:w="3347"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3216"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664"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2117"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9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9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1419"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（2023年度）</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126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学生资助-本专科生国家助学金</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68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3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68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齐勇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3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010-61209454</w:t>
            </w:r>
          </w:p>
        </w:tc>
      </w:tr>
      <w:tr>
        <w:tblPrEx>
          <w:tblCellMar>
            <w:top w:w="0" w:type="dxa"/>
            <w:left w:w="108" w:type="dxa"/>
            <w:bottom w:w="0" w:type="dxa"/>
            <w:right w:w="108" w:type="dxa"/>
          </w:tblCellMar>
        </w:tblPrEx>
        <w:trPr>
          <w:trHeight w:val="336" w:hRule="atLeast"/>
        </w:trPr>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201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490.410000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455.923000 </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433.712000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95.13%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9.51</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490.410000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455.923000 </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433.712000 </w:t>
            </w:r>
          </w:p>
        </w:tc>
        <w:tc>
          <w:tcPr>
            <w:tcW w:w="83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95.13%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76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57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382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为体现党和政府对我校家庭经济困难学生的关怀，帮助他们顺利完成学业，根据《国务院关于建立健全普通本科高校、高等职业学校和中等职业学校家庭经济困难学生资助政策体系的意见》（国发[2007]13号），我校开展2023年度国家助学金申报工作。根据北京市编制学生资助等相关内容，本科生国家助学金资助标准分为两等：一等国家助学金为每生每年4500元，二等国家助学金为每生每年2800元。 根据教育部、人力资源社会保障部、退役军人部、中央军委国防动员部关于印发《学生资助资金管理办法》的通知，结合北京市教委《关于初步测算市属高校2023年财政拨款基本经费、学生资助经费的通知》要求，全日制在校退役士兵学生全部享受本科生国家助学金，资助标准为每生每年3300元，其中家庭经济特别困难的全日制在校退役士兵学生资助标准为每生每年4500元。</w:t>
            </w:r>
            <w:r>
              <w:rPr>
                <w:rFonts w:hint="eastAsia" w:ascii="仿宋_GB2312" w:hAnsi="宋体" w:eastAsia="仿宋_GB2312" w:cs="仿宋_GB2312"/>
                <w:color w:val="000000"/>
                <w:kern w:val="0"/>
                <w:szCs w:val="21"/>
                <w:lang w:bidi="ar"/>
              </w:rPr>
              <w:tab/>
            </w:r>
            <w:r>
              <w:rPr>
                <w:rFonts w:hint="eastAsia" w:ascii="仿宋_GB2312" w:hAnsi="宋体" w:eastAsia="仿宋_GB2312" w:cs="仿宋_GB2312"/>
                <w:color w:val="000000"/>
                <w:kern w:val="0"/>
                <w:szCs w:val="21"/>
                <w:lang w:bidi="ar"/>
              </w:rPr>
              <w:tab/>
            </w:r>
            <w:r>
              <w:rPr>
                <w:rFonts w:hint="eastAsia" w:ascii="仿宋_GB2312" w:hAnsi="宋体" w:eastAsia="仿宋_GB2312" w:cs="仿宋_GB2312"/>
                <w:color w:val="000000"/>
                <w:kern w:val="0"/>
                <w:szCs w:val="21"/>
                <w:lang w:bidi="ar"/>
              </w:rPr>
              <w:tab/>
            </w:r>
            <w:r>
              <w:rPr>
                <w:rFonts w:hint="eastAsia" w:ascii="仿宋_GB2312" w:hAnsi="宋体" w:eastAsia="仿宋_GB2312" w:cs="仿宋_GB2312"/>
                <w:color w:val="000000"/>
                <w:kern w:val="0"/>
                <w:szCs w:val="21"/>
                <w:lang w:bidi="ar"/>
              </w:rPr>
              <w:tab/>
            </w:r>
            <w:r>
              <w:rPr>
                <w:rFonts w:hint="eastAsia" w:ascii="仿宋_GB2312" w:hAnsi="宋体" w:eastAsia="仿宋_GB2312" w:cs="仿宋_GB2312"/>
                <w:color w:val="000000"/>
                <w:kern w:val="0"/>
                <w:szCs w:val="21"/>
                <w:lang w:bidi="ar"/>
              </w:rPr>
              <w:tab/>
            </w:r>
            <w:r>
              <w:rPr>
                <w:rFonts w:hint="eastAsia" w:ascii="仿宋_GB2312" w:hAnsi="宋体" w:eastAsia="仿宋_GB2312" w:cs="仿宋_GB2312"/>
                <w:color w:val="000000"/>
                <w:kern w:val="0"/>
                <w:szCs w:val="21"/>
                <w:lang w:bidi="ar"/>
              </w:rPr>
              <w:tab/>
            </w:r>
            <w:r>
              <w:rPr>
                <w:rFonts w:hint="eastAsia" w:ascii="仿宋_GB2312" w:hAnsi="宋体" w:eastAsia="仿宋_GB2312" w:cs="仿宋_GB2312"/>
                <w:color w:val="000000"/>
                <w:kern w:val="0"/>
                <w:szCs w:val="21"/>
                <w:lang w:bidi="ar"/>
              </w:rPr>
              <w:tab/>
            </w:r>
          </w:p>
        </w:tc>
        <w:tc>
          <w:tcPr>
            <w:tcW w:w="576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按要求完成助学金发放工作</w:t>
            </w:r>
          </w:p>
        </w:tc>
      </w:tr>
      <w:tr>
        <w:tblPrEx>
          <w:tblCellMar>
            <w:top w:w="0" w:type="dxa"/>
            <w:left w:w="108" w:type="dxa"/>
            <w:bottom w:w="0" w:type="dxa"/>
            <w:right w:w="108" w:type="dxa"/>
          </w:tblCellMar>
        </w:tblPrEx>
        <w:trPr>
          <w:trHeight w:val="500"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13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资助学生数量</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1620</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每月平均1160人左右</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ascii="仿宋_GB2312" w:hAnsi="宋体" w:eastAsia="仿宋_GB2312" w:cs="仿宋_GB2312"/>
                <w:color w:val="000000"/>
                <w:kern w:val="0"/>
                <w:szCs w:val="21"/>
                <w:lang w:bidi="ar"/>
              </w:rPr>
              <w:t>1</w:t>
            </w:r>
            <w:r>
              <w:rPr>
                <w:rFonts w:hint="eastAsia" w:ascii="仿宋_GB2312" w:hAnsi="宋体" w:eastAsia="仿宋_GB2312" w:cs="仿宋_GB2312"/>
                <w:color w:val="000000"/>
                <w:kern w:val="0"/>
                <w:szCs w:val="21"/>
                <w:lang w:val="en-US" w:eastAsia="zh-CN" w:bidi="ar"/>
              </w:rPr>
              <w:t>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7</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偏差：按照实际符合要求学生数量发放；措施：关注学校学生情况变化，合理预估绩效目标</w:t>
            </w:r>
          </w:p>
        </w:tc>
      </w:tr>
      <w:tr>
        <w:tblPrEx>
          <w:tblCellMar>
            <w:top w:w="0" w:type="dxa"/>
            <w:left w:w="108" w:type="dxa"/>
            <w:bottom w:w="0" w:type="dxa"/>
            <w:right w:w="108" w:type="dxa"/>
          </w:tblCellMar>
        </w:tblPrEx>
        <w:trPr>
          <w:trHeight w:val="9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被资助学生顺利完成学业</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已资助的学生目前都在正常进行学业中</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15.00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64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11月支出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r>
              <w:rPr>
                <w:rFonts w:hint="eastAsia" w:ascii="仿宋_GB2312" w:hAnsi="宋体" w:eastAsia="仿宋_GB2312" w:cs="仿宋_GB2312"/>
                <w:color w:val="000000"/>
                <w:kern w:val="0"/>
                <w:szCs w:val="21"/>
                <w:lang w:bidi="ar"/>
              </w:rPr>
              <w:t>249.564</w:t>
            </w:r>
            <w:r>
              <w:rPr>
                <w:rFonts w:ascii="仿宋_GB2312" w:hAnsi="宋体" w:eastAsia="仿宋_GB2312" w:cs="仿宋_GB2312"/>
                <w:color w:val="000000"/>
                <w:kern w:val="0"/>
                <w:szCs w:val="21"/>
                <w:lang w:bidi="ar"/>
              </w:rPr>
              <w:t>万元</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139.47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10</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bottom w:val="single" w:color="auto"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7月份支出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r>
              <w:rPr>
                <w:rFonts w:hint="eastAsia" w:ascii="仿宋_GB2312" w:hAnsi="宋体" w:eastAsia="仿宋_GB2312" w:cs="仿宋_GB2312"/>
                <w:color w:val="000000"/>
                <w:kern w:val="0"/>
                <w:szCs w:val="21"/>
                <w:lang w:bidi="ar"/>
              </w:rPr>
              <w:t>373.346</w:t>
            </w:r>
            <w:r>
              <w:rPr>
                <w:rFonts w:ascii="仿宋_GB2312" w:hAnsi="宋体" w:eastAsia="仿宋_GB2312" w:cs="仿宋_GB2312"/>
                <w:color w:val="000000"/>
                <w:kern w:val="0"/>
                <w:szCs w:val="21"/>
                <w:lang w:bidi="ar"/>
              </w:rPr>
              <w:t>万元</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294.246万元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20</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160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32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r>
              <w:rPr>
                <w:rFonts w:hint="eastAsia" w:ascii="仿宋_GB2312" w:hAnsi="宋体" w:eastAsia="仿宋_GB2312" w:cs="仿宋_GB2312"/>
                <w:color w:val="000000"/>
                <w:kern w:val="0"/>
                <w:szCs w:val="21"/>
                <w:lang w:bidi="ar"/>
              </w:rPr>
              <w:t>623.91</w:t>
            </w:r>
            <w:r>
              <w:rPr>
                <w:rFonts w:ascii="仿宋_GB2312" w:hAnsi="宋体" w:eastAsia="仿宋_GB2312" w:cs="仿宋_GB2312"/>
                <w:color w:val="000000"/>
                <w:kern w:val="0"/>
                <w:szCs w:val="21"/>
                <w:lang w:bidi="ar"/>
              </w:rPr>
              <w:t>万元</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433.7120万元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3</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偏差：按照实际符合要求学生数量发放；因此金额有所调整，措施：关注学校学生情况变化，合理预估绩效目标</w:t>
            </w:r>
          </w:p>
        </w:tc>
      </w:tr>
      <w:tr>
        <w:tblPrEx>
          <w:tblCellMar>
            <w:top w:w="0" w:type="dxa"/>
            <w:left w:w="108" w:type="dxa"/>
            <w:bottom w:w="0" w:type="dxa"/>
            <w:right w:w="108" w:type="dxa"/>
          </w:tblCellMar>
        </w:tblPrEx>
        <w:trPr>
          <w:trHeight w:val="70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32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家庭经济困难学生不因经济困难而辍学</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家庭经济困难学生100%不因经济困难而辍学</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74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32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让贫困家庭的孩子都能接受公平的有质量的教育，提高家庭经济困难本科学生的综合素质。</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让贫困家庭的孩子都能接受公平的有质量的教育，提高家庭经济困难本科学生的综合素质。</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贫困家庭的孩子都能接受公平的有质量的教育，提高家庭经济困难本科学生的综合素质</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74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kern w:val="0"/>
                <w:szCs w:val="21"/>
                <w:lang w:bidi="ar"/>
              </w:rPr>
            </w:pPr>
            <w:r>
              <w:rPr>
                <w:rFonts w:ascii="仿宋_GB2312" w:hAnsi="宋体" w:eastAsia="仿宋_GB2312" w:cs="仿宋_GB2312"/>
                <w:color w:val="000000"/>
                <w:kern w:val="0"/>
                <w:szCs w:val="21"/>
                <w:lang w:bidi="ar"/>
              </w:rPr>
              <w:t>社会效益指标</w:t>
            </w:r>
          </w:p>
        </w:tc>
        <w:tc>
          <w:tcPr>
            <w:tcW w:w="32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资助学生</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仿宋_GB2312" w:hAnsi="宋体" w:eastAsia="仿宋_GB2312" w:cs="仿宋_GB2312"/>
                <w:color w:val="000000"/>
                <w:kern w:val="0"/>
                <w:szCs w:val="21"/>
                <w:lang w:val="en-US" w:eastAsia="zh-CN" w:bidi="ar"/>
              </w:rPr>
              <w:t>家庭经济困难学生100%不因经济困难而辍学</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家庭经济困难学生不因经济困难而辍学</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kern w:val="0"/>
                <w:szCs w:val="21"/>
                <w:lang w:val="en-US" w:eastAsia="zh-CN" w:bidi="ar"/>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kern w:val="0"/>
                <w:szCs w:val="21"/>
                <w:lang w:bidi="ar"/>
              </w:rPr>
            </w:pPr>
          </w:p>
        </w:tc>
      </w:tr>
      <w:tr>
        <w:tblPrEx>
          <w:tblCellMar>
            <w:top w:w="0" w:type="dxa"/>
            <w:left w:w="108" w:type="dxa"/>
            <w:bottom w:w="0" w:type="dxa"/>
            <w:right w:w="108" w:type="dxa"/>
          </w:tblCellMar>
        </w:tblPrEx>
        <w:trPr>
          <w:trHeight w:val="74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生态效益指标</w:t>
            </w:r>
          </w:p>
        </w:tc>
        <w:tc>
          <w:tcPr>
            <w:tcW w:w="32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bookmarkStart w:id="0" w:name="_GoBack"/>
            <w:bookmarkEnd w:id="0"/>
            <w:r>
              <w:rPr>
                <w:rFonts w:hint="eastAsia" w:ascii="仿宋_GB2312" w:hAnsi="宋体" w:eastAsia="仿宋_GB2312" w:cs="仿宋_GB2312"/>
                <w:color w:val="000000"/>
                <w:kern w:val="0"/>
                <w:szCs w:val="21"/>
                <w:lang w:bidi="ar"/>
              </w:rPr>
              <w:t>社会影响力</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提高我校学生培养建设条件与保障性；提高本科生综合素质和就业能力。</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提高了我校学生培养建设条件与保障性；提高本科生综合素质和就业能力</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10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201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相应满意度指标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6.00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blPrEx>
          <w:tblCellMar>
            <w:top w:w="0" w:type="dxa"/>
            <w:left w:w="108" w:type="dxa"/>
            <w:bottom w:w="0" w:type="dxa"/>
            <w:right w:w="108" w:type="dxa"/>
          </w:tblCellMar>
        </w:tblPrEx>
        <w:trPr>
          <w:trHeight w:val="450" w:hRule="atLeast"/>
        </w:trPr>
        <w:tc>
          <w:tcPr>
            <w:tcW w:w="103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90.51 </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63EA051B"/>
    <w:rsid w:val="004E5699"/>
    <w:rsid w:val="007C5B03"/>
    <w:rsid w:val="00FF12C1"/>
    <w:rsid w:val="187F7FE3"/>
    <w:rsid w:val="2DC61885"/>
    <w:rsid w:val="63EA051B"/>
    <w:rsid w:val="73E32EFE"/>
    <w:rsid w:val="FFEC4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865</Words>
  <Characters>1065</Characters>
  <Lines>9</Lines>
  <Paragraphs>2</Paragraphs>
  <TotalTime>26</TotalTime>
  <ScaleCrop>false</ScaleCrop>
  <LinksUpToDate>false</LinksUpToDate>
  <CharactersWithSpaces>1096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2024-04-26T00:54:00Z</dcterms:created>
  <dc:creator>王小艳</dc:creator>
  <cp:lastModifiedBy>羊肉粉亦庄店</cp:lastModifiedBy>
  <dcterms:modified xsi:type="dcterms:W3CDTF">2024-05-23T05:07:04Z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A8F083D0B7545403AFA9296607C286E2</vt:lpwstr>
  </property>
</Properties>
</file>