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751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467"/>
        <w:gridCol w:w="1664"/>
        <w:gridCol w:w="1798"/>
        <w:gridCol w:w="838"/>
        <w:gridCol w:w="795"/>
        <w:gridCol w:w="593"/>
        <w:gridCol w:w="22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4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北京建筑大学国家级双创教学学院及双创教育实践基地建设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马晓轩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61209711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35.000000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37.000000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37.000000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35.000000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37.000000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37.000000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9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2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.开展双创品牌打造计划；2.支持学生参加各级各类大学生创新创业训练计划，组织实施各类双创活动；3.打造双创教育“百千万工程”；4.每年培育多支“青年红色筑梦之旅”项目团队；5.对接区域经济发展，主动培育孵化；6.开放资源共享，帮扶初创企业</w:t>
            </w:r>
          </w:p>
        </w:tc>
        <w:tc>
          <w:tcPr>
            <w:tcW w:w="62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1.组织承办首届京南大学联盟“实创精英”创客夏令营；组织开展激光设备使用培训、手工皮具培训、金漆镶嵌培训、“实创精英立项”等品牌活动。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2.支持学生参加各级各类大学生创新创业训练计划，共立项国家级107项，市级161项，校级249项。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3.承办2023年北京市大学生工程实践与创新能力大赛；协办的“民间瑰宝·魅力西城”西城区非物质文化遗产时尚创意设计大赛。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4.培育75支“青年红色筑梦之旅”项目团队，其中14只队伍推荐参加北京市“互联网+”大学生创新创业大赛；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5.召开2023年京南地区高校科技成果推介会，主动培育孵化，帮扶初创企业。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建设综合双创实践空间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＝1个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＝1个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开展双创活动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＝2个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6个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完成数超过目标的200%，绩效目标过低；措施：提高绩效目标的合理性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建设“双创”课程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≥1门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1个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企业对人才质量满意度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绩效指标设置不准确，该项属于满意度指标；措施：科学设置绩效目标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</w:t>
            </w: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经济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37万元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9.00 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追加经费2万元；措施：加强前期论证，提高预算准确性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服务其他高校数量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≥2个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2个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培育学生数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≥500名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学生数较多不好统计，大于500名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培育学生创业团队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≥50个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107个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师生满意度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90.00 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0B711A"/>
    <w:rsid w:val="00B448A1"/>
    <w:rsid w:val="00F405F7"/>
    <w:rsid w:val="124472E4"/>
    <w:rsid w:val="63EA051B"/>
    <w:rsid w:val="DE57C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944</Words>
  <Characters>1114</Characters>
  <Lines>9</Lines>
  <Paragraphs>2</Paragraphs>
  <TotalTime>37</TotalTime>
  <ScaleCrop>false</ScaleCrop>
  <LinksUpToDate>false</LinksUpToDate>
  <CharactersWithSpaces>1145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2024-04-25T16:54:00Z</dcterms:created>
  <dc:creator>王小艳</dc:creator>
  <cp:lastModifiedBy>羊肉粉亦庄店</cp:lastModifiedBy>
  <dcterms:modified xsi:type="dcterms:W3CDTF">2024-05-23T08:26:07Z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