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3146" w:type="dxa"/>
        <w:tblInd w:w="88" w:type="dxa"/>
        <w:tblLayout w:type="autofit"/>
        <w:tblCellMar>
          <w:top w:w="0" w:type="dxa"/>
          <w:left w:w="108" w:type="dxa"/>
          <w:bottom w:w="0" w:type="dxa"/>
          <w:right w:w="108" w:type="dxa"/>
        </w:tblCellMar>
      </w:tblPr>
      <w:tblGrid>
        <w:gridCol w:w="569"/>
        <w:gridCol w:w="765"/>
        <w:gridCol w:w="2013"/>
        <w:gridCol w:w="1878"/>
        <w:gridCol w:w="1664"/>
        <w:gridCol w:w="1798"/>
        <w:gridCol w:w="838"/>
        <w:gridCol w:w="795"/>
        <w:gridCol w:w="593"/>
        <w:gridCol w:w="2233"/>
      </w:tblGrid>
      <w:tr>
        <w:tblPrEx>
          <w:tblCellMar>
            <w:top w:w="0" w:type="dxa"/>
            <w:left w:w="108" w:type="dxa"/>
            <w:bottom w:w="0" w:type="dxa"/>
            <w:right w:w="108" w:type="dxa"/>
          </w:tblCellMar>
        </w:tblPrEx>
        <w:trPr>
          <w:trHeight w:val="336" w:hRule="atLeast"/>
        </w:trPr>
        <w:tc>
          <w:tcPr>
            <w:tcW w:w="3347" w:type="dxa"/>
            <w:gridSpan w:val="3"/>
            <w:tcBorders>
              <w:top w:val="nil"/>
              <w:left w:val="nil"/>
              <w:bottom w:val="nil"/>
              <w:right w:val="nil"/>
            </w:tcBorders>
            <w:shd w:val="clear" w:color="auto" w:fill="auto"/>
            <w:noWrap/>
            <w:vAlign w:val="center"/>
          </w:tcPr>
          <w:p>
            <w:pPr>
              <w:widowControl/>
              <w:jc w:val="left"/>
              <w:textAlignment w:val="center"/>
              <w:rPr>
                <w:rFonts w:ascii="黑体" w:hAnsi="宋体" w:eastAsia="黑体" w:cs="黑体"/>
                <w:color w:val="000000"/>
                <w:sz w:val="28"/>
                <w:szCs w:val="28"/>
              </w:rPr>
            </w:pPr>
          </w:p>
        </w:tc>
        <w:tc>
          <w:tcPr>
            <w:tcW w:w="1878"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1664"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1798"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838"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795"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593" w:type="dxa"/>
            <w:tcBorders>
              <w:top w:val="nil"/>
              <w:left w:val="nil"/>
              <w:bottom w:val="nil"/>
              <w:right w:val="nil"/>
            </w:tcBorders>
            <w:shd w:val="clear" w:color="auto" w:fill="auto"/>
            <w:noWrap/>
            <w:vAlign w:val="center"/>
          </w:tcPr>
          <w:p>
            <w:pPr>
              <w:rPr>
                <w:rFonts w:ascii="宋体" w:hAnsi="宋体" w:eastAsia="宋体" w:cs="宋体"/>
                <w:color w:val="000000"/>
                <w:sz w:val="22"/>
                <w:szCs w:val="22"/>
              </w:rPr>
            </w:pPr>
          </w:p>
        </w:tc>
        <w:tc>
          <w:tcPr>
            <w:tcW w:w="2233" w:type="dxa"/>
            <w:tcBorders>
              <w:top w:val="nil"/>
              <w:left w:val="nil"/>
              <w:bottom w:val="nil"/>
              <w:right w:val="nil"/>
            </w:tcBorders>
            <w:shd w:val="clear" w:color="auto" w:fill="auto"/>
            <w:noWrap/>
            <w:vAlign w:val="center"/>
          </w:tcPr>
          <w:p>
            <w:pPr>
              <w:rPr>
                <w:rFonts w:ascii="宋体" w:hAnsi="宋体" w:eastAsia="宋体" w:cs="宋体"/>
                <w:color w:val="000000"/>
                <w:sz w:val="22"/>
                <w:szCs w:val="22"/>
              </w:rPr>
            </w:pPr>
          </w:p>
        </w:tc>
      </w:tr>
      <w:tr>
        <w:tblPrEx>
          <w:tblCellMar>
            <w:top w:w="0" w:type="dxa"/>
            <w:left w:w="108" w:type="dxa"/>
            <w:bottom w:w="0" w:type="dxa"/>
            <w:right w:w="108" w:type="dxa"/>
          </w:tblCellMar>
        </w:tblPrEx>
        <w:trPr>
          <w:trHeight w:val="489" w:hRule="atLeast"/>
        </w:trPr>
        <w:tc>
          <w:tcPr>
            <w:tcW w:w="0" w:type="auto"/>
            <w:gridSpan w:val="10"/>
            <w:tcBorders>
              <w:top w:val="nil"/>
              <w:left w:val="nil"/>
              <w:bottom w:val="nil"/>
              <w:right w:val="nil"/>
            </w:tcBorders>
            <w:shd w:val="clear" w:color="auto" w:fill="auto"/>
            <w:noWrap/>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ascii="方正小标宋简体" w:hAnsi="方正小标宋简体" w:eastAsia="方正小标宋简体" w:cs="方正小标宋简体"/>
                <w:color w:val="000000"/>
                <w:kern w:val="0"/>
                <w:sz w:val="36"/>
                <w:szCs w:val="36"/>
                <w:lang w:bidi="ar"/>
              </w:rPr>
              <w:t>项目支出绩效自评表</w:t>
            </w:r>
          </w:p>
        </w:tc>
      </w:tr>
      <w:tr>
        <w:tblPrEx>
          <w:tblCellMar>
            <w:top w:w="0" w:type="dxa"/>
            <w:left w:w="108" w:type="dxa"/>
            <w:bottom w:w="0" w:type="dxa"/>
            <w:right w:w="108" w:type="dxa"/>
          </w:tblCellMar>
        </w:tblPrEx>
        <w:trPr>
          <w:trHeight w:val="479" w:hRule="atLeast"/>
        </w:trPr>
        <w:tc>
          <w:tcPr>
            <w:tcW w:w="0" w:type="auto"/>
            <w:gridSpan w:val="10"/>
            <w:tcBorders>
              <w:top w:val="nil"/>
              <w:left w:val="nil"/>
              <w:bottom w:val="nil"/>
              <w:right w:val="nil"/>
            </w:tcBorders>
            <w:shd w:val="clear" w:color="auto" w:fill="auto"/>
            <w:noWrap/>
            <w:vAlign w:val="center"/>
          </w:tcPr>
          <w:p>
            <w:pPr>
              <w:widowControl/>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（202</w:t>
            </w:r>
            <w:r>
              <w:rPr>
                <w:rFonts w:hint="eastAsia" w:ascii="仿宋_GB2312" w:hAnsi="宋体" w:eastAsia="仿宋_GB2312" w:cs="仿宋_GB2312"/>
                <w:color w:val="000000"/>
                <w:kern w:val="0"/>
                <w:sz w:val="28"/>
                <w:szCs w:val="28"/>
                <w:lang w:bidi="ar"/>
              </w:rPr>
              <w:t>3</w:t>
            </w:r>
            <w:r>
              <w:rPr>
                <w:rFonts w:ascii="仿宋_GB2312" w:hAnsi="宋体" w:eastAsia="仿宋_GB2312" w:cs="仿宋_GB2312"/>
                <w:color w:val="000000"/>
                <w:kern w:val="0"/>
                <w:sz w:val="28"/>
                <w:szCs w:val="28"/>
                <w:lang w:bidi="ar"/>
              </w:rPr>
              <w:t>年度）</w:t>
            </w:r>
          </w:p>
        </w:tc>
      </w:tr>
      <w:tr>
        <w:tblPrEx>
          <w:tblCellMar>
            <w:top w:w="0" w:type="dxa"/>
            <w:left w:w="108" w:type="dxa"/>
            <w:bottom w:w="0" w:type="dxa"/>
            <w:right w:w="108" w:type="dxa"/>
          </w:tblCellMar>
        </w:tblPrEx>
        <w:trPr>
          <w:trHeight w:val="336" w:hRule="atLeast"/>
        </w:trPr>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项目名称</w:t>
            </w:r>
          </w:p>
        </w:tc>
        <w:tc>
          <w:tcPr>
            <w:tcW w:w="1181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教师队伍建设-北京学者-徐世法（2023年）</w:t>
            </w:r>
          </w:p>
        </w:tc>
      </w:tr>
      <w:tr>
        <w:tblPrEx>
          <w:tblCellMar>
            <w:top w:w="0" w:type="dxa"/>
            <w:left w:w="108" w:type="dxa"/>
            <w:bottom w:w="0" w:type="dxa"/>
            <w:right w:w="108" w:type="dxa"/>
          </w:tblCellMar>
        </w:tblPrEx>
        <w:trPr>
          <w:trHeight w:val="336" w:hRule="atLeast"/>
        </w:trPr>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主管部门</w:t>
            </w:r>
          </w:p>
        </w:tc>
        <w:tc>
          <w:tcPr>
            <w:tcW w:w="55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北京市教育委员会</w:t>
            </w: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实施单位</w:t>
            </w:r>
          </w:p>
        </w:tc>
        <w:tc>
          <w:tcPr>
            <w:tcW w:w="44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北京建筑大学</w:t>
            </w:r>
          </w:p>
        </w:tc>
      </w:tr>
      <w:tr>
        <w:tblPrEx>
          <w:tblCellMar>
            <w:top w:w="0" w:type="dxa"/>
            <w:left w:w="108" w:type="dxa"/>
            <w:bottom w:w="0" w:type="dxa"/>
            <w:right w:w="108" w:type="dxa"/>
          </w:tblCellMar>
        </w:tblPrEx>
        <w:trPr>
          <w:trHeight w:val="336" w:hRule="atLeast"/>
        </w:trPr>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项目负责人</w:t>
            </w:r>
          </w:p>
        </w:tc>
        <w:tc>
          <w:tcPr>
            <w:tcW w:w="55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徐世法</w:t>
            </w: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联系电话</w:t>
            </w:r>
          </w:p>
        </w:tc>
        <w:tc>
          <w:tcPr>
            <w:tcW w:w="44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13801080937</w:t>
            </w:r>
          </w:p>
        </w:tc>
      </w:tr>
      <w:tr>
        <w:tblPrEx>
          <w:tblCellMar>
            <w:top w:w="0" w:type="dxa"/>
            <w:left w:w="108" w:type="dxa"/>
            <w:bottom w:w="0" w:type="dxa"/>
            <w:right w:w="108" w:type="dxa"/>
          </w:tblCellMar>
        </w:tblPrEx>
        <w:trPr>
          <w:trHeight w:val="336" w:hRule="atLeast"/>
        </w:trPr>
        <w:tc>
          <w:tcPr>
            <w:tcW w:w="133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项目资金（万元）</w:t>
            </w:r>
          </w:p>
        </w:tc>
        <w:tc>
          <w:tcPr>
            <w:tcW w:w="2013" w:type="dxa"/>
            <w:tcBorders>
              <w:top w:val="single" w:color="000000" w:sz="4" w:space="0"/>
              <w:left w:val="single" w:color="000000" w:sz="4" w:space="0"/>
              <w:bottom w:val="single" w:color="000000" w:sz="4" w:space="0"/>
              <w:right w:val="nil"/>
            </w:tcBorders>
            <w:shd w:val="clear" w:color="auto" w:fill="auto"/>
            <w:vAlign w:val="center"/>
          </w:tcPr>
          <w:p>
            <w:pPr>
              <w:jc w:val="center"/>
              <w:rPr>
                <w:rFonts w:ascii="仿宋_GB2312" w:hAnsi="宋体" w:eastAsia="仿宋_GB2312" w:cs="仿宋_GB2312"/>
                <w:color w:val="000000"/>
                <w:szCs w:val="21"/>
              </w:rPr>
            </w:pP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年初预算数</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全年预算数</w:t>
            </w: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全年执行数</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分值</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执行率</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得分</w:t>
            </w:r>
          </w:p>
        </w:tc>
      </w:tr>
      <w:tr>
        <w:tblPrEx>
          <w:tblCellMar>
            <w:top w:w="0" w:type="dxa"/>
            <w:left w:w="108" w:type="dxa"/>
            <w:bottom w:w="0" w:type="dxa"/>
            <w:right w:w="108" w:type="dxa"/>
          </w:tblCellMar>
        </w:tblPrEx>
        <w:trPr>
          <w:trHeight w:val="336" w:hRule="atLeast"/>
        </w:trPr>
        <w:tc>
          <w:tcPr>
            <w:tcW w:w="13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000000" w:sz="4" w:space="0"/>
              <w:left w:val="single" w:color="000000" w:sz="4" w:space="0"/>
              <w:bottom w:val="single" w:color="000000" w:sz="4" w:space="0"/>
              <w:right w:val="nil"/>
            </w:tcBorders>
            <w:shd w:val="clear" w:color="auto" w:fill="auto"/>
            <w:vAlign w:val="center"/>
          </w:tcPr>
          <w:p>
            <w:pPr>
              <w:widowControl/>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年度资金总额</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100.000000 </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100.000000 </w:t>
            </w: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99.385948 </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99.39%</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9.94</w:t>
            </w:r>
          </w:p>
        </w:tc>
      </w:tr>
      <w:tr>
        <w:tblPrEx>
          <w:tblCellMar>
            <w:top w:w="0" w:type="dxa"/>
            <w:left w:w="108" w:type="dxa"/>
            <w:bottom w:w="0" w:type="dxa"/>
            <w:right w:w="108" w:type="dxa"/>
          </w:tblCellMar>
        </w:tblPrEx>
        <w:trPr>
          <w:trHeight w:val="336" w:hRule="atLeast"/>
        </w:trPr>
        <w:tc>
          <w:tcPr>
            <w:tcW w:w="13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其中：当年财政拨款</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100.000000 </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100.000000 </w:t>
            </w: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99.385948 </w:t>
            </w:r>
          </w:p>
        </w:tc>
        <w:tc>
          <w:tcPr>
            <w:tcW w:w="838"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99.39%</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336" w:hRule="atLeast"/>
        </w:trPr>
        <w:tc>
          <w:tcPr>
            <w:tcW w:w="13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上年结转资金</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bookmarkStart w:id="0" w:name="_GoBack"/>
            <w:bookmarkEnd w:id="0"/>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336" w:hRule="atLeast"/>
        </w:trPr>
        <w:tc>
          <w:tcPr>
            <w:tcW w:w="13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其他资金</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336" w:hRule="atLeast"/>
        </w:trPr>
        <w:tc>
          <w:tcPr>
            <w:tcW w:w="5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年度总体目标</w:t>
            </w:r>
          </w:p>
        </w:tc>
        <w:tc>
          <w:tcPr>
            <w:tcW w:w="63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预期目标</w:t>
            </w:r>
          </w:p>
        </w:tc>
        <w:tc>
          <w:tcPr>
            <w:tcW w:w="625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实际完成情况</w:t>
            </w:r>
          </w:p>
        </w:tc>
      </w:tr>
      <w:tr>
        <w:tblPrEx>
          <w:tblCellMar>
            <w:top w:w="0" w:type="dxa"/>
            <w:left w:w="108" w:type="dxa"/>
            <w:bottom w:w="0" w:type="dxa"/>
            <w:right w:w="108" w:type="dxa"/>
          </w:tblCellMar>
        </w:tblPrEx>
        <w:trPr>
          <w:trHeight w:val="3820" w:hRule="atLeast"/>
        </w:trPr>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63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"项目期目标：加强项目负责人及团队的培养，使其成为在国内外有突出影响力的行业领军人才及高水平创新团队。 年度目标：在聚合物混凝土强度形成机理及开放交通时机研究的基础之上，对材料的路用性能及耐久性进行评价，突出团队在低碳耐久型聚合物混凝土铺装材料领域研究的特色和引领性，培养团队成员，提高国内外学术影响力。"</w:t>
            </w:r>
          </w:p>
        </w:tc>
        <w:tc>
          <w:tcPr>
            <w:tcW w:w="6257"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按照预期目标完成：团队成员的研究能力和视野得到显著提升；深入评估了材料的路用性能和耐久性并在实体工程中得到应用，大幅提高公路铺装的使用寿命，团队在本领域的研究成果获得了业界的高度认可。</w:t>
            </w:r>
          </w:p>
        </w:tc>
      </w:tr>
      <w:tr>
        <w:tblPrEx>
          <w:tblCellMar>
            <w:top w:w="0" w:type="dxa"/>
            <w:left w:w="108" w:type="dxa"/>
            <w:bottom w:w="0" w:type="dxa"/>
            <w:right w:w="108" w:type="dxa"/>
          </w:tblCellMar>
        </w:tblPrEx>
        <w:trPr>
          <w:trHeight w:val="500" w:hRule="atLeast"/>
        </w:trPr>
        <w:tc>
          <w:tcPr>
            <w:tcW w:w="5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绩效指标</w:t>
            </w:r>
          </w:p>
        </w:tc>
        <w:tc>
          <w:tcPr>
            <w:tcW w:w="765"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一级指标</w:t>
            </w:r>
          </w:p>
        </w:tc>
        <w:tc>
          <w:tcPr>
            <w:tcW w:w="2013"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二级指标</w:t>
            </w:r>
          </w:p>
        </w:tc>
        <w:tc>
          <w:tcPr>
            <w:tcW w:w="1878"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三级指标</w:t>
            </w:r>
          </w:p>
        </w:tc>
        <w:tc>
          <w:tcPr>
            <w:tcW w:w="1664"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年度指标值</w:t>
            </w:r>
          </w:p>
        </w:tc>
        <w:tc>
          <w:tcPr>
            <w:tcW w:w="1798"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实际完成值</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分值</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得分</w:t>
            </w:r>
          </w:p>
        </w:tc>
        <w:tc>
          <w:tcPr>
            <w:tcW w:w="28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偏差原因分析及改进措施</w:t>
            </w:r>
          </w:p>
        </w:tc>
      </w:tr>
      <w:tr>
        <w:tblPrEx>
          <w:tblCellMar>
            <w:top w:w="0" w:type="dxa"/>
            <w:left w:w="108" w:type="dxa"/>
            <w:bottom w:w="0" w:type="dxa"/>
            <w:right w:w="108" w:type="dxa"/>
          </w:tblCellMar>
        </w:tblPrEx>
        <w:trPr>
          <w:trHeight w:val="580" w:hRule="atLeast"/>
        </w:trPr>
        <w:tc>
          <w:tcPr>
            <w:tcW w:w="56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产出指标</w:t>
            </w:r>
          </w:p>
        </w:tc>
        <w:tc>
          <w:tcPr>
            <w:tcW w:w="201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数量指标</w:t>
            </w:r>
          </w:p>
        </w:tc>
        <w:tc>
          <w:tcPr>
            <w:tcW w:w="18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培养青年教师</w:t>
            </w:r>
          </w:p>
        </w:tc>
        <w:tc>
          <w:tcPr>
            <w:tcW w:w="16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＝3人</w:t>
            </w:r>
          </w:p>
        </w:tc>
        <w:tc>
          <w:tcPr>
            <w:tcW w:w="1798"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4人</w:t>
            </w:r>
          </w:p>
        </w:tc>
        <w:tc>
          <w:tcPr>
            <w:tcW w:w="838"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5</w:t>
            </w:r>
            <w:r>
              <w:rPr>
                <w:rFonts w:ascii="仿宋_GB2312" w:hAnsi="宋体" w:eastAsia="仿宋_GB2312" w:cs="仿宋_GB2312"/>
                <w:color w:val="000000"/>
                <w:kern w:val="0"/>
                <w:szCs w:val="21"/>
                <w:lang w:bidi="ar"/>
              </w:rPr>
              <w:t xml:space="preserve">.00 </w:t>
            </w:r>
          </w:p>
        </w:tc>
        <w:tc>
          <w:tcPr>
            <w:tcW w:w="282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tblPrEx>
          <w:tblCellMar>
            <w:top w:w="0" w:type="dxa"/>
            <w:left w:w="108" w:type="dxa"/>
            <w:bottom w:w="0" w:type="dxa"/>
            <w:right w:w="108" w:type="dxa"/>
          </w:tblCellMar>
        </w:tblPrEx>
        <w:trPr>
          <w:trHeight w:val="580" w:hRule="atLeast"/>
        </w:trPr>
        <w:tc>
          <w:tcPr>
            <w:tcW w:w="56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201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18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发表论文、申请专利和软件著作权数量</w:t>
            </w:r>
          </w:p>
        </w:tc>
        <w:tc>
          <w:tcPr>
            <w:tcW w:w="16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≥10篇</w:t>
            </w:r>
          </w:p>
        </w:tc>
        <w:tc>
          <w:tcPr>
            <w:tcW w:w="1798"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12篇</w:t>
            </w:r>
          </w:p>
        </w:tc>
        <w:tc>
          <w:tcPr>
            <w:tcW w:w="838"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5</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5</w:t>
            </w:r>
            <w:r>
              <w:rPr>
                <w:rFonts w:ascii="仿宋_GB2312" w:hAnsi="宋体" w:eastAsia="仿宋_GB2312" w:cs="仿宋_GB2312"/>
                <w:color w:val="000000"/>
                <w:kern w:val="0"/>
                <w:szCs w:val="21"/>
                <w:lang w:bidi="ar"/>
              </w:rPr>
              <w:t xml:space="preserve">.00 </w:t>
            </w:r>
          </w:p>
        </w:tc>
        <w:tc>
          <w:tcPr>
            <w:tcW w:w="282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tblPrEx>
          <w:tblCellMar>
            <w:top w:w="0" w:type="dxa"/>
            <w:left w:w="108" w:type="dxa"/>
            <w:bottom w:w="0" w:type="dxa"/>
            <w:right w:w="108" w:type="dxa"/>
          </w:tblCellMar>
        </w:tblPrEx>
        <w:trPr>
          <w:trHeight w:val="580" w:hRule="atLeast"/>
        </w:trPr>
        <w:tc>
          <w:tcPr>
            <w:tcW w:w="56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201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18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开展人才交流、培训、访学活动次数</w:t>
            </w:r>
          </w:p>
        </w:tc>
        <w:tc>
          <w:tcPr>
            <w:tcW w:w="16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≥3次</w:t>
            </w:r>
          </w:p>
        </w:tc>
        <w:tc>
          <w:tcPr>
            <w:tcW w:w="1798"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5次</w:t>
            </w:r>
          </w:p>
        </w:tc>
        <w:tc>
          <w:tcPr>
            <w:tcW w:w="838"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5</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5</w:t>
            </w:r>
            <w:r>
              <w:rPr>
                <w:rFonts w:ascii="仿宋_GB2312" w:hAnsi="宋体" w:eastAsia="仿宋_GB2312" w:cs="仿宋_GB2312"/>
                <w:color w:val="000000"/>
                <w:kern w:val="0"/>
                <w:szCs w:val="21"/>
                <w:lang w:bidi="ar"/>
              </w:rPr>
              <w:t xml:space="preserve">.00 </w:t>
            </w:r>
          </w:p>
        </w:tc>
        <w:tc>
          <w:tcPr>
            <w:tcW w:w="282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tblPrEx>
          <w:tblCellMar>
            <w:top w:w="0" w:type="dxa"/>
            <w:left w:w="108" w:type="dxa"/>
            <w:bottom w:w="0" w:type="dxa"/>
            <w:right w:w="108" w:type="dxa"/>
          </w:tblCellMar>
        </w:tblPrEx>
        <w:trPr>
          <w:trHeight w:val="580" w:hRule="atLeast"/>
        </w:trPr>
        <w:tc>
          <w:tcPr>
            <w:tcW w:w="56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201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18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申报科学进步奖项</w:t>
            </w:r>
          </w:p>
        </w:tc>
        <w:tc>
          <w:tcPr>
            <w:tcW w:w="16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≥2项</w:t>
            </w:r>
          </w:p>
        </w:tc>
        <w:tc>
          <w:tcPr>
            <w:tcW w:w="1798"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2项</w:t>
            </w:r>
          </w:p>
        </w:tc>
        <w:tc>
          <w:tcPr>
            <w:tcW w:w="838"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5</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5</w:t>
            </w:r>
            <w:r>
              <w:rPr>
                <w:rFonts w:ascii="仿宋_GB2312" w:hAnsi="宋体" w:eastAsia="仿宋_GB2312" w:cs="仿宋_GB2312"/>
                <w:color w:val="000000"/>
                <w:kern w:val="0"/>
                <w:szCs w:val="21"/>
                <w:lang w:bidi="ar"/>
              </w:rPr>
              <w:t xml:space="preserve">.00 </w:t>
            </w:r>
          </w:p>
        </w:tc>
        <w:tc>
          <w:tcPr>
            <w:tcW w:w="282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tblPrEx>
          <w:tblCellMar>
            <w:top w:w="0" w:type="dxa"/>
            <w:left w:w="108" w:type="dxa"/>
            <w:bottom w:w="0" w:type="dxa"/>
            <w:right w:w="108" w:type="dxa"/>
          </w:tblCellMar>
        </w:tblPrEx>
        <w:trPr>
          <w:trHeight w:val="580" w:hRule="atLeast"/>
        </w:trPr>
        <w:tc>
          <w:tcPr>
            <w:tcW w:w="56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201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18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培养硕士、博士研究生</w:t>
            </w:r>
          </w:p>
        </w:tc>
        <w:tc>
          <w:tcPr>
            <w:tcW w:w="16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＝12人</w:t>
            </w:r>
          </w:p>
        </w:tc>
        <w:tc>
          <w:tcPr>
            <w:tcW w:w="1798"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15人</w:t>
            </w:r>
          </w:p>
        </w:tc>
        <w:tc>
          <w:tcPr>
            <w:tcW w:w="838"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5</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5</w:t>
            </w:r>
            <w:r>
              <w:rPr>
                <w:rFonts w:ascii="仿宋_GB2312" w:hAnsi="宋体" w:eastAsia="仿宋_GB2312" w:cs="仿宋_GB2312"/>
                <w:color w:val="000000"/>
                <w:kern w:val="0"/>
                <w:szCs w:val="21"/>
                <w:lang w:bidi="ar"/>
              </w:rPr>
              <w:t xml:space="preserve">.00 </w:t>
            </w:r>
          </w:p>
        </w:tc>
        <w:tc>
          <w:tcPr>
            <w:tcW w:w="282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tblPrEx>
          <w:tblCellMar>
            <w:top w:w="0" w:type="dxa"/>
            <w:left w:w="108" w:type="dxa"/>
            <w:bottom w:w="0" w:type="dxa"/>
            <w:right w:w="108" w:type="dxa"/>
          </w:tblCellMar>
        </w:tblPrEx>
        <w:trPr>
          <w:trHeight w:val="580" w:hRule="atLeast"/>
        </w:trPr>
        <w:tc>
          <w:tcPr>
            <w:tcW w:w="56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201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质量指标</w:t>
            </w:r>
          </w:p>
        </w:tc>
        <w:tc>
          <w:tcPr>
            <w:tcW w:w="18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申报省部级科学进步奖项</w:t>
            </w:r>
          </w:p>
        </w:tc>
        <w:tc>
          <w:tcPr>
            <w:tcW w:w="16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≥1项</w:t>
            </w:r>
          </w:p>
        </w:tc>
        <w:tc>
          <w:tcPr>
            <w:tcW w:w="1798"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2项</w:t>
            </w:r>
          </w:p>
        </w:tc>
        <w:tc>
          <w:tcPr>
            <w:tcW w:w="838"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5</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5</w:t>
            </w:r>
            <w:r>
              <w:rPr>
                <w:rFonts w:ascii="仿宋_GB2312" w:hAnsi="宋体" w:eastAsia="仿宋_GB2312" w:cs="仿宋_GB2312"/>
                <w:color w:val="000000"/>
                <w:kern w:val="0"/>
                <w:szCs w:val="21"/>
                <w:lang w:bidi="ar"/>
              </w:rPr>
              <w:t xml:space="preserve">.00 </w:t>
            </w:r>
          </w:p>
        </w:tc>
        <w:tc>
          <w:tcPr>
            <w:tcW w:w="282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tblPrEx>
          <w:tblCellMar>
            <w:top w:w="0" w:type="dxa"/>
            <w:left w:w="108" w:type="dxa"/>
            <w:bottom w:w="0" w:type="dxa"/>
            <w:right w:w="108" w:type="dxa"/>
          </w:tblCellMar>
        </w:tblPrEx>
        <w:trPr>
          <w:trHeight w:val="580" w:hRule="atLeast"/>
        </w:trPr>
        <w:tc>
          <w:tcPr>
            <w:tcW w:w="56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201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18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论文发表于核心级以上期刊的数量</w:t>
            </w:r>
          </w:p>
        </w:tc>
        <w:tc>
          <w:tcPr>
            <w:tcW w:w="16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≥5篇</w:t>
            </w:r>
          </w:p>
        </w:tc>
        <w:tc>
          <w:tcPr>
            <w:tcW w:w="1798"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8篇</w:t>
            </w:r>
          </w:p>
        </w:tc>
        <w:tc>
          <w:tcPr>
            <w:tcW w:w="838"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5</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5</w:t>
            </w:r>
            <w:r>
              <w:rPr>
                <w:rFonts w:ascii="仿宋_GB2312" w:hAnsi="宋体" w:eastAsia="仿宋_GB2312" w:cs="仿宋_GB2312"/>
                <w:color w:val="000000"/>
                <w:kern w:val="0"/>
                <w:szCs w:val="21"/>
                <w:lang w:bidi="ar"/>
              </w:rPr>
              <w:t xml:space="preserve">.00 </w:t>
            </w:r>
          </w:p>
        </w:tc>
        <w:tc>
          <w:tcPr>
            <w:tcW w:w="282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tblPrEx>
          <w:tblCellMar>
            <w:top w:w="0" w:type="dxa"/>
            <w:left w:w="108" w:type="dxa"/>
            <w:bottom w:w="0" w:type="dxa"/>
            <w:right w:w="108" w:type="dxa"/>
          </w:tblCellMar>
        </w:tblPrEx>
        <w:trPr>
          <w:trHeight w:val="1000" w:hRule="atLeast"/>
        </w:trPr>
        <w:tc>
          <w:tcPr>
            <w:tcW w:w="56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时效指标</w:t>
            </w:r>
          </w:p>
        </w:tc>
        <w:tc>
          <w:tcPr>
            <w:tcW w:w="18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项目完成进度</w:t>
            </w:r>
          </w:p>
        </w:tc>
        <w:tc>
          <w:tcPr>
            <w:tcW w:w="16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1798"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年度内完成</w:t>
            </w:r>
          </w:p>
        </w:tc>
        <w:tc>
          <w:tcPr>
            <w:tcW w:w="838"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4</w:t>
            </w:r>
            <w:r>
              <w:rPr>
                <w:rFonts w:ascii="仿宋_GB2312" w:hAnsi="宋体" w:eastAsia="仿宋_GB2312" w:cs="仿宋_GB2312"/>
                <w:color w:val="000000"/>
                <w:kern w:val="0"/>
                <w:szCs w:val="21"/>
                <w:lang w:bidi="ar"/>
              </w:rPr>
              <w:t xml:space="preserve">.00 </w:t>
            </w:r>
          </w:p>
        </w:tc>
        <w:tc>
          <w:tcPr>
            <w:tcW w:w="282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绩效目标不明确，没有明确的设置完成时间节点；措施：科学设置绩效目标</w:t>
            </w:r>
          </w:p>
        </w:tc>
      </w:tr>
      <w:tr>
        <w:tblPrEx>
          <w:tblCellMar>
            <w:top w:w="0" w:type="dxa"/>
            <w:left w:w="108" w:type="dxa"/>
            <w:bottom w:w="0" w:type="dxa"/>
            <w:right w:w="108" w:type="dxa"/>
          </w:tblCellMar>
        </w:tblPrEx>
        <w:trPr>
          <w:trHeight w:val="580" w:hRule="atLeast"/>
        </w:trPr>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65" w:type="dxa"/>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成本指标</w:t>
            </w:r>
          </w:p>
        </w:tc>
        <w:tc>
          <w:tcPr>
            <w:tcW w:w="2013"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经济</w:t>
            </w:r>
            <w:r>
              <w:rPr>
                <w:rFonts w:ascii="仿宋_GB2312" w:hAnsi="宋体" w:eastAsia="仿宋_GB2312" w:cs="仿宋_GB2312"/>
                <w:color w:val="000000"/>
                <w:kern w:val="0"/>
                <w:szCs w:val="21"/>
                <w:lang w:bidi="ar"/>
              </w:rPr>
              <w:t>成本指标</w:t>
            </w:r>
          </w:p>
        </w:tc>
        <w:tc>
          <w:tcPr>
            <w:tcW w:w="1878"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项目预算控制数</w:t>
            </w:r>
          </w:p>
        </w:tc>
        <w:tc>
          <w:tcPr>
            <w:tcW w:w="1664"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100万元</w:t>
            </w:r>
          </w:p>
        </w:tc>
        <w:tc>
          <w:tcPr>
            <w:tcW w:w="1798" w:type="dxa"/>
            <w:tcBorders>
              <w:top w:val="single" w:color="auto"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99.385948万元</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10.00 </w:t>
            </w:r>
          </w:p>
        </w:tc>
        <w:tc>
          <w:tcPr>
            <w:tcW w:w="282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tblPrEx>
          <w:tblCellMar>
            <w:top w:w="0" w:type="dxa"/>
            <w:left w:w="108" w:type="dxa"/>
            <w:bottom w:w="0" w:type="dxa"/>
            <w:right w:w="108" w:type="dxa"/>
          </w:tblCellMar>
        </w:tblPrEx>
        <w:trPr>
          <w:trHeight w:val="600" w:hRule="atLeast"/>
        </w:trPr>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效益指标</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经济效益指标</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延长铺装寿命</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≥20%</w:t>
            </w:r>
          </w:p>
        </w:tc>
        <w:tc>
          <w:tcPr>
            <w:tcW w:w="17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80%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9.00 </w:t>
            </w:r>
          </w:p>
        </w:tc>
        <w:tc>
          <w:tcPr>
            <w:tcW w:w="282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项目为教师队伍项目，未涉及团队建设、人才培养方面的效果；措施：提高绩效目标水平，围绕项目建设宗旨明确细化</w:t>
            </w:r>
          </w:p>
        </w:tc>
      </w:tr>
      <w:tr>
        <w:tblPrEx>
          <w:tblCellMar>
            <w:top w:w="0" w:type="dxa"/>
            <w:left w:w="108" w:type="dxa"/>
            <w:bottom w:w="0" w:type="dxa"/>
            <w:right w:w="108" w:type="dxa"/>
          </w:tblCellMar>
        </w:tblPrEx>
        <w:trPr>
          <w:trHeight w:val="600" w:hRule="atLeast"/>
        </w:trPr>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社会效益指标</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降低铺装层维修频次</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≥20%</w:t>
            </w:r>
          </w:p>
        </w:tc>
        <w:tc>
          <w:tcPr>
            <w:tcW w:w="17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80%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9.00 </w:t>
            </w:r>
          </w:p>
        </w:tc>
        <w:tc>
          <w:tcPr>
            <w:tcW w:w="2826" w:type="dxa"/>
            <w:gridSpan w:val="2"/>
            <w:tcBorders>
              <w:top w:val="single" w:color="000000" w:sz="4" w:space="0"/>
              <w:left w:val="single" w:color="000000" w:sz="4" w:space="0"/>
              <w:bottom w:val="single" w:color="000000" w:sz="4" w:space="0"/>
              <w:right w:val="single" w:color="000000" w:sz="4" w:space="0"/>
            </w:tcBorders>
            <w:shd w:val="clear" w:color="auto" w:fill="FFFFFF"/>
          </w:tcPr>
          <w:p>
            <w:pPr>
              <w:jc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项目为教师队伍项目，未涉及团队建设、人才培养方面的效果；措施：提高绩效目标水平，围绕项目建设宗旨明确细化</w:t>
            </w:r>
          </w:p>
        </w:tc>
      </w:tr>
      <w:tr>
        <w:tblPrEx>
          <w:tblCellMar>
            <w:top w:w="0" w:type="dxa"/>
            <w:left w:w="108" w:type="dxa"/>
            <w:bottom w:w="0" w:type="dxa"/>
            <w:right w:w="108" w:type="dxa"/>
          </w:tblCellMar>
        </w:tblPrEx>
        <w:trPr>
          <w:trHeight w:val="600" w:hRule="atLeast"/>
        </w:trPr>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社会效益指标</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减少碳排放</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≥80%</w:t>
            </w:r>
          </w:p>
        </w:tc>
        <w:tc>
          <w:tcPr>
            <w:tcW w:w="17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80%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9.00 </w:t>
            </w:r>
          </w:p>
        </w:tc>
        <w:tc>
          <w:tcPr>
            <w:tcW w:w="2826" w:type="dxa"/>
            <w:gridSpan w:val="2"/>
            <w:tcBorders>
              <w:top w:val="single" w:color="000000" w:sz="4" w:space="0"/>
              <w:left w:val="single" w:color="000000" w:sz="4" w:space="0"/>
              <w:bottom w:val="single" w:color="000000" w:sz="4" w:space="0"/>
              <w:right w:val="single" w:color="000000" w:sz="4" w:space="0"/>
            </w:tcBorders>
            <w:shd w:val="clear" w:color="auto" w:fill="FFFFFF"/>
          </w:tcPr>
          <w:p>
            <w:pPr>
              <w:jc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项目为教师队伍项目，未涉及团队建设、人才培养方面的效果；措施：提高绩效目标水平，围绕项目建设宗旨明确细化</w:t>
            </w:r>
          </w:p>
        </w:tc>
      </w:tr>
      <w:tr>
        <w:tblPrEx>
          <w:tblCellMar>
            <w:top w:w="0" w:type="dxa"/>
            <w:left w:w="108" w:type="dxa"/>
            <w:bottom w:w="0" w:type="dxa"/>
            <w:right w:w="108" w:type="dxa"/>
          </w:tblCellMar>
        </w:tblPrEx>
        <w:trPr>
          <w:trHeight w:val="1020" w:hRule="atLeast"/>
        </w:trPr>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6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满意度指标</w:t>
            </w:r>
          </w:p>
        </w:tc>
        <w:tc>
          <w:tcPr>
            <w:tcW w:w="2013"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服务对象满意度</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教师/学生/院系满意度</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≥99%</w:t>
            </w:r>
          </w:p>
        </w:tc>
        <w:tc>
          <w:tcPr>
            <w:tcW w:w="17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99%</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6.00 </w:t>
            </w:r>
          </w:p>
        </w:tc>
        <w:tc>
          <w:tcPr>
            <w:tcW w:w="282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偏差：口头询问无具体支撑材料；措施：重视满意度调查和数据的统计分析</w:t>
            </w:r>
          </w:p>
        </w:tc>
      </w:tr>
      <w:tr>
        <w:tblPrEx>
          <w:tblCellMar>
            <w:top w:w="0" w:type="dxa"/>
            <w:left w:w="108" w:type="dxa"/>
            <w:bottom w:w="0" w:type="dxa"/>
            <w:right w:w="108" w:type="dxa"/>
          </w:tblCellMar>
        </w:tblPrEx>
        <w:trPr>
          <w:trHeight w:val="450" w:hRule="atLeast"/>
        </w:trPr>
        <w:tc>
          <w:tcPr>
            <w:tcW w:w="86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总分</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91.94 </w:t>
            </w:r>
          </w:p>
        </w:tc>
        <w:tc>
          <w:tcPr>
            <w:tcW w:w="282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_GB2312" w:hAnsi="宋体" w:eastAsia="仿宋_GB2312" w:cs="仿宋_GB2312"/>
                <w:color w:val="000000"/>
                <w:szCs w:val="21"/>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xZmY0MGNmOWM5OTQ2MzdlMzg4M2ZhNTg3YWUyZGYifQ=="/>
  </w:docVars>
  <w:rsids>
    <w:rsidRoot w:val="63EA051B"/>
    <w:rsid w:val="004F4ED0"/>
    <w:rsid w:val="005A2598"/>
    <w:rsid w:val="005F74A4"/>
    <w:rsid w:val="00A778A4"/>
    <w:rsid w:val="00E34F99"/>
    <w:rsid w:val="324F0668"/>
    <w:rsid w:val="4FFB73D7"/>
    <w:rsid w:val="63EA05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950</Words>
  <Characters>1117</Characters>
  <Lines>9</Lines>
  <Paragraphs>2</Paragraphs>
  <TotalTime>7</TotalTime>
  <ScaleCrop>false</ScaleCrop>
  <LinksUpToDate>false</LinksUpToDate>
  <CharactersWithSpaces>1152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2024-04-25T16:54:00Z</dcterms:created>
  <dc:creator>王小艳</dc:creator>
  <cp:lastModifiedBy>羊肉粉亦庄店</cp:lastModifiedBy>
  <dcterms:modified xsi:type="dcterms:W3CDTF">2024-05-23T07:29:07Z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A8F083D0B7545403AFA9296607C286E2</vt:lpwstr>
  </property>
</Properties>
</file>