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3180" w:type="dxa"/>
        <w:tblInd w:w="88" w:type="dxa"/>
        <w:tblLayout w:type="autofit"/>
        <w:tblCellMar>
          <w:top w:w="0" w:type="dxa"/>
          <w:left w:w="108" w:type="dxa"/>
          <w:bottom w:w="0" w:type="dxa"/>
          <w:right w:w="108" w:type="dxa"/>
        </w:tblCellMar>
      </w:tblPr>
      <w:tblGrid>
        <w:gridCol w:w="569"/>
        <w:gridCol w:w="765"/>
        <w:gridCol w:w="2013"/>
        <w:gridCol w:w="1878"/>
        <w:gridCol w:w="1664"/>
        <w:gridCol w:w="1798"/>
        <w:gridCol w:w="838"/>
        <w:gridCol w:w="795"/>
        <w:gridCol w:w="593"/>
        <w:gridCol w:w="2267"/>
      </w:tblGrid>
      <w:tr>
        <w:trPr>
          <w:trHeight w:val="336" w:hRule="atLeast"/>
        </w:trPr>
        <w:tc>
          <w:tcPr>
            <w:tcW w:w="3347" w:type="dxa"/>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187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664"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79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83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795"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93"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2267"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rPr>
          <w:trHeight w:val="48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rPr>
          <w:trHeight w:val="47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（2023年度）</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1184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教师队伍建设-青年北京学者-侯妙乐（2023年）</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55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项目负责人</w:t>
            </w:r>
          </w:p>
        </w:tc>
        <w:tc>
          <w:tcPr>
            <w:tcW w:w="55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侯妙乐</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联系电话</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61209387</w:t>
            </w:r>
          </w:p>
        </w:tc>
      </w:tr>
      <w:tr>
        <w:trPr>
          <w:trHeight w:val="336" w:hRule="atLeast"/>
        </w:trPr>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2013"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2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77.390890 </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96.74%</w:t>
            </w:r>
          </w:p>
        </w:tc>
        <w:tc>
          <w:tcPr>
            <w:tcW w:w="2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9.67</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77.390890 </w:t>
            </w:r>
          </w:p>
        </w:tc>
        <w:tc>
          <w:tcPr>
            <w:tcW w:w="83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96.74%</w:t>
            </w:r>
          </w:p>
        </w:tc>
        <w:tc>
          <w:tcPr>
            <w:tcW w:w="2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6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629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trPr>
          <w:trHeight w:val="382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结合传统文物修复方法并利用计算机虚拟现实技术对文物高精度三维模型进行虚拟修复，可为本体修复工作提供科学参考，本目面向大型复杂文物的信息留存与修复保护方面的迫切需求与实际工程难题，主要以国家级或省级重点文物保护修复工程为依托，针对当前大型复杂文物信息留取与虚拟修复面临的高精度整体模型形变、规范缺乏、几何和语义缺失等实际工程困难，以文物的建模表达-检测修复-展示利用为主线，重点研究大型复杂文物对象的高精度信息留取、特征提取与表达、虚拟修复与定量评估等关键技术，采取自主研发为主的方式研制检测修复与交互展示的成套工具系统，为大型复杂文物信息留存与修复保护工程提供技术支撑</w:t>
            </w:r>
          </w:p>
        </w:tc>
        <w:tc>
          <w:tcPr>
            <w:tcW w:w="6291"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面向大型文化遗产多维动态信息留取表达与活化利用，形成了四项创新点为代表的技术群：（1）大型文化遗产多维价值时空认知；（2）大型文化遗产多维动态信息留取与表达技术；（3）大型文化遗产混合智能虚拟修复技术；（4）面向活化利用的大型文化遗产复原展示技术。研发了具有自主知识产权的文化遗产大数据云平台与数字修复知识服务系统，构建了数字文化遗产智能留取及虚拟修复方法和技术体系，实现了文物修复的方案设计、过程支撑和效果评价，并有效支撑展示利用。</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相关技术持续应用并在布达拉宫、大足石刻千手观音、云冈18窟、瞿昙寺、周口店、长城、故宫等重点文物保护单位。</w:t>
            </w:r>
          </w:p>
        </w:tc>
      </w:tr>
      <w:tr>
        <w:trPr>
          <w:trHeight w:val="500"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765"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201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187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166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179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83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286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trPr>
          <w:trHeight w:val="58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论文6个，专利2个</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＝8个</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10+3</w:t>
            </w:r>
          </w:p>
        </w:tc>
        <w:tc>
          <w:tcPr>
            <w:tcW w:w="8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20</w:t>
            </w:r>
            <w:r>
              <w:rPr>
                <w:rFonts w:ascii="仿宋_GB2312" w:hAnsi="宋体" w:eastAsia="仿宋_GB2312" w:cs="仿宋_GB2312"/>
                <w:color w:val="000000"/>
                <w:kern w:val="0"/>
                <w:szCs w:val="21"/>
                <w:lang w:bidi="ar"/>
              </w:rPr>
              <w:t xml:space="preserve">.00 </w:t>
            </w:r>
          </w:p>
        </w:tc>
        <w:tc>
          <w:tcPr>
            <w:tcW w:w="286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rPr>
          <w:trHeight w:val="58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EI</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w:t>
            </w:r>
          </w:p>
        </w:tc>
        <w:tc>
          <w:tcPr>
            <w:tcW w:w="8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20</w:t>
            </w:r>
            <w:r>
              <w:rPr>
                <w:rFonts w:ascii="仿宋_GB2312" w:hAnsi="宋体" w:eastAsia="仿宋_GB2312" w:cs="仿宋_GB2312"/>
                <w:color w:val="000000"/>
                <w:kern w:val="0"/>
                <w:szCs w:val="21"/>
                <w:lang w:bidi="ar"/>
              </w:rPr>
              <w:t xml:space="preserve">.00 </w:t>
            </w:r>
          </w:p>
        </w:tc>
        <w:tc>
          <w:tcPr>
            <w:tcW w:w="286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rPr>
          <w:trHeight w:val="58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经济</w:t>
            </w:r>
            <w:r>
              <w:rPr>
                <w:rFonts w:ascii="仿宋_GB2312" w:hAnsi="宋体" w:eastAsia="仿宋_GB2312" w:cs="仿宋_GB2312"/>
                <w:color w:val="000000"/>
                <w:kern w:val="0"/>
                <w:szCs w:val="21"/>
                <w:lang w:bidi="ar"/>
              </w:rPr>
              <w:t>成本指标</w:t>
            </w: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项目预算控制数</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80万元</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77.39089万元</w:t>
            </w:r>
          </w:p>
        </w:tc>
        <w:tc>
          <w:tcPr>
            <w:tcW w:w="8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w:t>
            </w:r>
            <w:r>
              <w:rPr>
                <w:rFonts w:ascii="仿宋_GB2312" w:hAnsi="宋体" w:eastAsia="仿宋_GB2312" w:cs="仿宋_GB2312"/>
                <w:color w:val="000000"/>
                <w:kern w:val="0"/>
                <w:szCs w:val="21"/>
                <w:lang w:bidi="ar"/>
              </w:rPr>
              <w:t>0</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w:t>
            </w:r>
            <w:r>
              <w:rPr>
                <w:rFonts w:ascii="仿宋_GB2312" w:hAnsi="宋体" w:eastAsia="仿宋_GB2312" w:cs="仿宋_GB2312"/>
                <w:color w:val="000000"/>
                <w:kern w:val="0"/>
                <w:szCs w:val="21"/>
                <w:lang w:bidi="ar"/>
              </w:rPr>
              <w:t xml:space="preserve">0.00 </w:t>
            </w:r>
          </w:p>
        </w:tc>
        <w:tc>
          <w:tcPr>
            <w:tcW w:w="286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rPr>
          <w:trHeight w:val="104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开发的教学资源与设备服务的学生人次</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≥100人</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198人次</w:t>
            </w:r>
          </w:p>
        </w:tc>
        <w:tc>
          <w:tcPr>
            <w:tcW w:w="8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1</w:t>
            </w:r>
            <w:r>
              <w:rPr>
                <w:rFonts w:ascii="仿宋_GB2312" w:hAnsi="宋体" w:eastAsia="仿宋_GB2312" w:cs="仿宋_GB2312"/>
                <w:color w:val="000000"/>
                <w:kern w:val="0"/>
                <w:szCs w:val="21"/>
                <w:lang w:bidi="ar"/>
              </w:rPr>
              <w:t xml:space="preserve">4.00 </w:t>
            </w:r>
          </w:p>
        </w:tc>
        <w:tc>
          <w:tcPr>
            <w:tcW w:w="286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绩效指标较宽泛，无法体现项目特点；措施：明确细化绩效目标</w:t>
            </w:r>
          </w:p>
        </w:tc>
      </w:tr>
      <w:tr>
        <w:trPr>
          <w:trHeight w:val="1040" w:hRule="atLeast"/>
        </w:trPr>
        <w:tc>
          <w:tcPr>
            <w:tcW w:w="56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1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学生满意度</w:t>
            </w:r>
          </w:p>
        </w:tc>
        <w:tc>
          <w:tcPr>
            <w:tcW w:w="16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w:t>
            </w:r>
          </w:p>
        </w:tc>
        <w:tc>
          <w:tcPr>
            <w:tcW w:w="179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7</w:t>
            </w:r>
            <w:r>
              <w:rPr>
                <w:rFonts w:ascii="仿宋_GB2312" w:hAnsi="宋体" w:eastAsia="仿宋_GB2312" w:cs="仿宋_GB2312"/>
                <w:color w:val="000000"/>
                <w:kern w:val="0"/>
                <w:szCs w:val="21"/>
                <w:lang w:bidi="ar"/>
              </w:rPr>
              <w:t xml:space="preserve">.00 </w:t>
            </w:r>
          </w:p>
        </w:tc>
        <w:tc>
          <w:tcPr>
            <w:tcW w:w="286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偏差：口头询问无具体支撑材料；措施：重视满意度调查和数据的统计分析</w:t>
            </w:r>
          </w:p>
        </w:tc>
      </w:tr>
      <w:tr>
        <w:trPr>
          <w:trHeight w:val="450" w:hRule="atLeast"/>
        </w:trPr>
        <w:tc>
          <w:tcPr>
            <w:tcW w:w="86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90</w:t>
            </w:r>
            <w:bookmarkStart w:id="0" w:name="_GoBack"/>
            <w:bookmarkEnd w:id="0"/>
            <w:r>
              <w:rPr>
                <w:rFonts w:ascii="仿宋_GB2312" w:hAnsi="宋体" w:eastAsia="仿宋_GB2312" w:cs="仿宋_GB2312"/>
                <w:color w:val="000000"/>
                <w:kern w:val="0"/>
                <w:szCs w:val="21"/>
                <w:lang w:bidi="ar"/>
              </w:rPr>
              <w:t xml:space="preserve">.67 </w:t>
            </w:r>
          </w:p>
        </w:tc>
        <w:tc>
          <w:tcPr>
            <w:tcW w:w="28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63EA051B"/>
    <w:rsid w:val="00A4417C"/>
    <w:rsid w:val="00D61208"/>
    <w:rsid w:val="00FF1863"/>
    <w:rsid w:val="46B0258E"/>
    <w:rsid w:val="63EA051B"/>
    <w:rsid w:val="7F9DCA72"/>
    <w:rsid w:val="7FAF3718"/>
    <w:rsid w:val="FFFFA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978</Words>
  <Characters>1109</Characters>
  <Lines>9</Lines>
  <Paragraphs>2</Paragraphs>
  <TotalTime>3</TotalTime>
  <ScaleCrop>false</ScaleCrop>
  <LinksUpToDate>false</LinksUpToDate>
  <CharactersWithSpaces>1136</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2024-04-26T08:54:00Z</dcterms:created>
  <dc:creator>王小艳</dc:creator>
  <cp:lastModifiedBy>王小艳</cp:lastModifiedBy>
  <dcterms:modified xsi:type="dcterms:W3CDTF">2024-05-28T21:51:10Z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A8F083D0B7545403AFA9296607C286E2</vt:lpwstr>
  </property>
</Properties>
</file>