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tbl>
      <w:tblPr>
        <w:tblStyle w:val="5"/>
        <w:tblpPr w:leftFromText="180" w:rightFromText="180" w:vertAnchor="text" w:horzAnchor="page" w:tblpX="1447" w:tblpY="18"/>
        <w:tblOverlap w:val="never"/>
        <w:tblW w:w="9197" w:type="dxa"/>
        <w:tblInd w:w="0" w:type="dxa"/>
        <w:tblLayout w:type="fixed"/>
        <w:tblCellMar>
          <w:top w:w="0" w:type="dxa"/>
          <w:left w:w="108" w:type="dxa"/>
          <w:bottom w:w="0" w:type="dxa"/>
          <w:right w:w="108" w:type="dxa"/>
        </w:tblCellMar>
      </w:tblPr>
      <w:tblGrid>
        <w:gridCol w:w="585"/>
        <w:gridCol w:w="975"/>
        <w:gridCol w:w="1105"/>
        <w:gridCol w:w="727"/>
        <w:gridCol w:w="542"/>
        <w:gridCol w:w="585"/>
        <w:gridCol w:w="1132"/>
        <w:gridCol w:w="1358"/>
        <w:gridCol w:w="600"/>
        <w:gridCol w:w="525"/>
        <w:gridCol w:w="315"/>
        <w:gridCol w:w="748"/>
      </w:tblGrid>
      <w:tr>
        <w:tblPrEx>
          <w:tblCellMar>
            <w:top w:w="0" w:type="dxa"/>
            <w:left w:w="108" w:type="dxa"/>
            <w:bottom w:w="0" w:type="dxa"/>
            <w:right w:w="108" w:type="dxa"/>
          </w:tblCellMar>
        </w:tblPrEx>
        <w:trPr>
          <w:trHeight w:val="306" w:hRule="exact"/>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37"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体育卫生与艺术教育-北京市学生艺术展演系列活动三</w:t>
            </w:r>
          </w:p>
        </w:tc>
      </w:tr>
      <w:tr>
        <w:tblPrEx>
          <w:tblCellMar>
            <w:top w:w="0" w:type="dxa"/>
            <w:left w:w="108" w:type="dxa"/>
            <w:bottom w:w="0" w:type="dxa"/>
            <w:right w:w="108" w:type="dxa"/>
          </w:tblCellMar>
        </w:tblPrEx>
        <w:trPr>
          <w:trHeight w:val="306" w:hRule="exact"/>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北京市教育委员会</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188"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市教委</w:t>
            </w:r>
            <w:r>
              <w:rPr>
                <w:rFonts w:hint="eastAsia" w:ascii="仿宋_GB2312" w:hAnsi="宋体" w:eastAsia="仿宋_GB2312" w:cs="宋体"/>
                <w:kern w:val="0"/>
                <w:szCs w:val="21"/>
                <w:lang w:val="en-US" w:eastAsia="zh-CN"/>
              </w:rPr>
              <w:t>本级</w:t>
            </w:r>
            <w:bookmarkStart w:id="0" w:name="_GoBack"/>
            <w:bookmarkEnd w:id="0"/>
          </w:p>
        </w:tc>
      </w:tr>
      <w:tr>
        <w:tblPrEx>
          <w:tblCellMar>
            <w:top w:w="0" w:type="dxa"/>
            <w:left w:w="108" w:type="dxa"/>
            <w:bottom w:w="0" w:type="dxa"/>
            <w:right w:w="108" w:type="dxa"/>
          </w:tblCellMar>
        </w:tblPrEx>
        <w:trPr>
          <w:trHeight w:val="306" w:hRule="exact"/>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李铮</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188"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55530185</w:t>
            </w:r>
          </w:p>
        </w:tc>
      </w:tr>
      <w:tr>
        <w:tblPrEx>
          <w:tblCellMar>
            <w:top w:w="0" w:type="dxa"/>
            <w:left w:w="108" w:type="dxa"/>
            <w:bottom w:w="0" w:type="dxa"/>
            <w:right w:w="108" w:type="dxa"/>
          </w:tblCellMar>
        </w:tblPrEx>
        <w:trPr>
          <w:trHeight w:val="567" w:hRule="exact"/>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6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293.231</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293.231</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293</w:t>
            </w:r>
          </w:p>
        </w:tc>
        <w:tc>
          <w:tcPr>
            <w:tcW w:w="6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99.9%</w:t>
            </w:r>
          </w:p>
        </w:tc>
        <w:tc>
          <w:tcPr>
            <w:tcW w:w="7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r>
      <w:tr>
        <w:tblPrEx>
          <w:tblCellMar>
            <w:top w:w="0" w:type="dxa"/>
            <w:left w:w="108" w:type="dxa"/>
            <w:bottom w:w="0" w:type="dxa"/>
            <w:right w:w="108" w:type="dxa"/>
          </w:tblCellMar>
        </w:tblPrEx>
        <w:trPr>
          <w:trHeight w:val="601" w:hRule="exact"/>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293.231</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293.231</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293</w:t>
            </w:r>
          </w:p>
        </w:tc>
        <w:tc>
          <w:tcPr>
            <w:tcW w:w="6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62" w:hRule="exact"/>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6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0</w:t>
            </w:r>
          </w:p>
        </w:tc>
        <w:tc>
          <w:tcPr>
            <w:tcW w:w="11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6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43" w:hRule="exact"/>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54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405" w:hRule="exact"/>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420" w:firstLineChars="200"/>
              <w:jc w:val="left"/>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各参加单位编排戏剧剧目，向组委会办公室推荐剧目，并报送书面推荐材料，注明参赛单位、作品名称、剧目类别、联系人及联系方式。</w:t>
            </w:r>
          </w:p>
          <w:p>
            <w:pPr>
              <w:keepNext w:val="0"/>
              <w:keepLines w:val="0"/>
              <w:pageBreakBefore w:val="0"/>
              <w:widowControl/>
              <w:kinsoku/>
              <w:wordWrap/>
              <w:overflowPunct/>
              <w:topLinePunct w:val="0"/>
              <w:autoSpaceDE/>
              <w:autoSpaceDN/>
              <w:bidi w:val="0"/>
              <w:adjustRightInd/>
              <w:snapToGrid/>
              <w:spacing w:line="240" w:lineRule="exact"/>
              <w:ind w:firstLine="420" w:firstLineChars="200"/>
              <w:jc w:val="left"/>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由组委会选派专家指导委员会分别到学校对独幕剧和多幕剧节目进行初评，筛选出的剧目参加最后展演活动。短剧节目统一进行评比。</w:t>
            </w:r>
          </w:p>
          <w:p>
            <w:pPr>
              <w:keepNext w:val="0"/>
              <w:keepLines w:val="0"/>
              <w:pageBreakBefore w:val="0"/>
              <w:widowControl/>
              <w:kinsoku/>
              <w:wordWrap/>
              <w:overflowPunct/>
              <w:topLinePunct w:val="0"/>
              <w:autoSpaceDE/>
              <w:autoSpaceDN/>
              <w:bidi w:val="0"/>
              <w:adjustRightInd/>
              <w:snapToGrid/>
              <w:spacing w:line="240" w:lineRule="exact"/>
              <w:ind w:firstLine="420" w:firstLineChars="200"/>
              <w:jc w:val="left"/>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展演活动阶段将召开新闻发布会；举办第八届北京大学生戏剧节展演活动闭幕式，组织优秀剧目展演。预计有40所左右高校参与该项活动。</w:t>
            </w:r>
          </w:p>
        </w:tc>
        <w:tc>
          <w:tcPr>
            <w:tcW w:w="3546"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contextualSpacing/>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本届大戏节共收到44所高校的87个作品，957名大学生参加。经评审，最终23部作品入围现场展演。戏剧节专家来自中央戏剧学院14个院系，共31人，覆盖了京剧、歌剧、音乐剧等多种艺术形式。戏剧节分别于11月16日、29日在中央戏剧学院举行了开、闭幕式，展演期间还推出了戏剧公开课、工作坊、优秀作品展演等多内容板块。</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contextualSpacing/>
              <w:textAlignment w:val="auto"/>
              <w:rPr>
                <w:rFonts w:hint="eastAsia" w:ascii="仿宋_GB2312" w:hAnsi="宋体" w:eastAsia="仿宋_GB2312" w:cs="宋体"/>
                <w:kern w:val="0"/>
                <w:szCs w:val="21"/>
                <w:lang w:val="en-US" w:eastAsia="zh-CN"/>
              </w:rPr>
            </w:pPr>
          </w:p>
        </w:tc>
      </w:tr>
      <w:tr>
        <w:tblPrEx>
          <w:tblCellMar>
            <w:top w:w="0" w:type="dxa"/>
            <w:left w:w="108" w:type="dxa"/>
            <w:bottom w:w="0" w:type="dxa"/>
            <w:right w:w="108" w:type="dxa"/>
          </w:tblCellMar>
        </w:tblPrEx>
        <w:trPr>
          <w:trHeight w:val="720" w:hRule="exact"/>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295"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参加单位</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40所高校或单位</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44所</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325"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参加作品</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60部戏剧</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87部</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74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 单项奖</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表演奖、导演奖、剧本奖等</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表演奖、导演奖、剧本奖等</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50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综合奖</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最佳剧目奖、一二三等奖</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最佳剧目、一二三等奖</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1185"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按时召开现场展演和评审工作</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10月开展活动</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10月启动</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063" w:type="dxa"/>
            <w:gridSpan w:val="2"/>
            <w:tcBorders>
              <w:top w:val="single" w:color="auto" w:sz="4" w:space="0"/>
              <w:left w:val="nil"/>
              <w:bottom w:val="single" w:color="auto" w:sz="4" w:space="0"/>
              <w:right w:val="single" w:color="auto" w:sz="4" w:space="0"/>
            </w:tcBorders>
            <w:noWrap w:val="0"/>
            <w:vAlign w:val="top"/>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因追加经费延迟。措施：加强统筹协调力度。</w:t>
            </w:r>
          </w:p>
        </w:tc>
      </w:tr>
      <w:tr>
        <w:tblPrEx>
          <w:tblCellMar>
            <w:top w:w="0" w:type="dxa"/>
            <w:left w:w="108" w:type="dxa"/>
            <w:bottom w:w="0" w:type="dxa"/>
            <w:right w:w="108" w:type="dxa"/>
          </w:tblCellMar>
        </w:tblPrEx>
        <w:trPr>
          <w:trHeight w:val="31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及时总结 </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12月开展总结</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12月总结</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451"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寂静</w:t>
            </w:r>
            <w:r>
              <w:rPr>
                <w:rFonts w:hint="eastAsia" w:ascii="仿宋_GB2312" w:hAnsi="宋体" w:eastAsia="仿宋_GB2312" w:cs="宋体"/>
                <w:kern w:val="0"/>
                <w:szCs w:val="21"/>
              </w:rPr>
              <w:t>成本指标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控制</w:t>
            </w:r>
            <w:r>
              <w:rPr>
                <w:rFonts w:hint="eastAsia" w:ascii="仿宋_GB2312" w:hAnsi="宋体" w:eastAsia="仿宋_GB2312" w:cs="宋体"/>
                <w:color w:val="000000"/>
                <w:kern w:val="0"/>
                <w:szCs w:val="21"/>
                <w:lang w:eastAsia="zh-CN"/>
              </w:rPr>
              <w:t>成本</w:t>
            </w:r>
            <w:r>
              <w:rPr>
                <w:rFonts w:hint="eastAsia" w:ascii="仿宋_GB2312" w:hAnsi="宋体" w:eastAsia="仿宋_GB2312" w:cs="宋体"/>
                <w:color w:val="000000"/>
                <w:kern w:val="0"/>
                <w:szCs w:val="21"/>
              </w:rPr>
              <w:t>在300万元内</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color w:val="000000"/>
                <w:kern w:val="0"/>
                <w:szCs w:val="21"/>
              </w:rPr>
              <w:t>控制</w:t>
            </w:r>
            <w:r>
              <w:rPr>
                <w:rFonts w:hint="eastAsia" w:ascii="仿宋_GB2312" w:hAnsi="宋体" w:eastAsia="仿宋_GB2312" w:cs="宋体"/>
                <w:color w:val="000000"/>
                <w:kern w:val="0"/>
                <w:szCs w:val="21"/>
                <w:lang w:eastAsia="zh-CN"/>
              </w:rPr>
              <w:t>成本</w:t>
            </w:r>
            <w:r>
              <w:rPr>
                <w:rFonts w:hint="eastAsia" w:ascii="仿宋_GB2312" w:hAnsi="宋体" w:eastAsia="仿宋_GB2312" w:cs="宋体"/>
                <w:color w:val="000000"/>
                <w:kern w:val="0"/>
                <w:szCs w:val="21"/>
              </w:rPr>
              <w:t>在300万元内</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293万元</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72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为戏剧教育成果展示教育平台</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为戏剧教育成果展示教育平台</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lang w:val="en-US" w:eastAsia="zh-CN"/>
              </w:rPr>
              <w:t>为戏剧教育成果展示教育平台</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93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加强交流、提高创作水平、提升审美能力</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加强交流、提高创作水平、提升审美能力</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lang w:val="en-US" w:eastAsia="zh-CN"/>
              </w:rPr>
              <w:t>加强交流、提高创作水平、提升审美能力</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67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126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学校满意度</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95%</w:t>
            </w:r>
          </w:p>
        </w:tc>
        <w:tc>
          <w:tcPr>
            <w:tcW w:w="135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456" w:hRule="exact"/>
        </w:trPr>
        <w:tc>
          <w:tcPr>
            <w:tcW w:w="700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w:t>
            </w:r>
          </w:p>
        </w:tc>
        <w:tc>
          <w:tcPr>
            <w:tcW w:w="10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spacing w:line="240" w:lineRule="exact"/>
        <w:rPr>
          <w:rFonts w:hint="eastAsia" w:ascii="仿宋_GB2312" w:hAnsi="宋体" w:eastAsia="仿宋_GB2312"/>
          <w:sz w:val="30"/>
          <w:szCs w:val="30"/>
        </w:rPr>
      </w:pPr>
    </w:p>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YWM1NzIxYWZjYjU5NjAzZjJlNmQxZmNmOTJjYmYifQ=="/>
  </w:docVars>
  <w:rsids>
    <w:rsidRoot w:val="00512C82"/>
    <w:rsid w:val="003435ED"/>
    <w:rsid w:val="0045622B"/>
    <w:rsid w:val="00512C82"/>
    <w:rsid w:val="008A3EEA"/>
    <w:rsid w:val="00B47A57"/>
    <w:rsid w:val="00CE49C2"/>
    <w:rsid w:val="00E017CD"/>
    <w:rsid w:val="00F561EB"/>
    <w:rsid w:val="0B261D0E"/>
    <w:rsid w:val="0E9A3EFE"/>
    <w:rsid w:val="23F48C09"/>
    <w:rsid w:val="2DED6264"/>
    <w:rsid w:val="37E72FFE"/>
    <w:rsid w:val="3BB1438A"/>
    <w:rsid w:val="4B26517A"/>
    <w:rsid w:val="546D0212"/>
    <w:rsid w:val="5F07761F"/>
    <w:rsid w:val="7BCF546C"/>
    <w:rsid w:val="7DDFCF4E"/>
    <w:rsid w:val="7FFB8508"/>
    <w:rsid w:val="ADFF7E95"/>
    <w:rsid w:val="B9CF6354"/>
    <w:rsid w:val="B9E710A5"/>
    <w:rsid w:val="BDED3739"/>
    <w:rsid w:val="BFB79F7D"/>
    <w:rsid w:val="DF3FF421"/>
    <w:rsid w:val="FB0FF780"/>
    <w:rsid w:val="FB3B5B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UserStyle_0"/>
    <w:basedOn w:val="1"/>
    <w:next w:val="1"/>
    <w:qFormat/>
    <w:uiPriority w:val="0"/>
    <w:pPr>
      <w:keepNext/>
      <w:keepLines/>
      <w:spacing w:before="260" w:after="260" w:line="416" w:lineRule="auto"/>
      <w:textAlignment w:val="baseline"/>
    </w:pPr>
    <w:rPr>
      <w:rFonts w:ascii="Cambria" w:hAnsi="Cambria" w:cs="宋体"/>
      <w:b/>
      <w:bCs/>
      <w:sz w:val="32"/>
      <w:szCs w:val="32"/>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99"/>
    <w:rPr>
      <w:sz w:val="18"/>
      <w:szCs w:val="18"/>
    </w:rPr>
  </w:style>
  <w:style w:type="character" w:customStyle="1" w:styleId="8">
    <w:name w:val="页眉 Char"/>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629</Words>
  <Characters>686</Characters>
  <Lines>8</Lines>
  <Paragraphs>2</Paragraphs>
  <TotalTime>0</TotalTime>
  <ScaleCrop>false</ScaleCrop>
  <LinksUpToDate>false</LinksUpToDate>
  <CharactersWithSpaces>750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2021-03-14T23:31:00Z</dcterms:created>
  <dc:creator>Administrator</dc:creator>
  <cp:lastModifiedBy>冯刚</cp:lastModifiedBy>
  <cp:lastPrinted>2024-05-09T20:00:00Z</cp:lastPrinted>
  <dcterms:modified xsi:type="dcterms:W3CDTF">2024-05-17T03:20:37Z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E163569FC66E4A5C82C349BF24E528D2_12</vt:lpwstr>
  </property>
</Properties>
</file>