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989"/>
        <w:gridCol w:w="2603"/>
        <w:gridCol w:w="2110"/>
        <w:gridCol w:w="1436"/>
        <w:gridCol w:w="1688"/>
        <w:gridCol w:w="1074"/>
        <w:gridCol w:w="1023"/>
        <w:gridCol w:w="768"/>
        <w:gridCol w:w="1742"/>
      </w:tblGrid>
      <w:tr>
        <w:trPr>
          <w:trHeight w:val="375" w:hRule="atLeast"/>
        </w:trPr>
        <w:tc>
          <w:tcPr>
            <w:tcW w:w="15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9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劳务派遣管理服务费</w:t>
            </w:r>
          </w:p>
        </w:tc>
      </w:tr>
      <w:tr>
        <w:trPr>
          <w:trHeight w:val="255" w:hRule="atLeast"/>
        </w:trPr>
        <w:tc>
          <w:tcPr>
            <w:tcW w:w="6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刘铁军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80799055</w:t>
            </w:r>
          </w:p>
        </w:tc>
      </w:tr>
      <w:tr>
        <w:trPr>
          <w:trHeight w:val="255" w:hRule="atLeast"/>
        </w:trPr>
        <w:tc>
          <w:tcPr>
            <w:tcW w:w="60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0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82.800000 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58.003000 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45.213000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77.95%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7.79</w:t>
            </w:r>
          </w:p>
        </w:tc>
      </w:tr>
      <w:tr>
        <w:trPr>
          <w:trHeight w:val="255" w:hRule="atLeast"/>
        </w:trPr>
        <w:tc>
          <w:tcPr>
            <w:tcW w:w="60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68.880000 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44.083000 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44.083000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0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0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13.920000 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13.920000 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1.130000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8.12%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2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22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2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保障单位劳务派遣人员管理服务任务</w:t>
            </w:r>
          </w:p>
        </w:tc>
        <w:tc>
          <w:tcPr>
            <w:tcW w:w="222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按照专项经费支出管理办法严格管控经费支出，调整后的项目总金额58.003万元。其中财政拨款44.083万元支出44.083万元；自筹13.92万元支出1.13万元。</w:t>
            </w:r>
          </w:p>
        </w:tc>
      </w:tr>
      <w:tr>
        <w:trPr>
          <w:trHeight w:val="510" w:hRule="atLeast"/>
        </w:trPr>
        <w:tc>
          <w:tcPr>
            <w:tcW w:w="2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8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02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产出指标</w:t>
            </w:r>
          </w:p>
        </w:tc>
        <w:tc>
          <w:tcPr>
            <w:tcW w:w="91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促进外派人员高效、稳定工作，年度工作考核合格率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考核合格率100%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8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34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1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管理费及税金等支出额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≤82.8万元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财政拨款44.083万元支出44.083万元；自筹13.92万元支出1.13万元。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根据节能增效的原则，降低了劳务派遣支出；措施：加强预算管理，科学预算编制，未使用完成经费及时上交</w:t>
            </w:r>
          </w:p>
        </w:tc>
      </w:tr>
      <w:tr>
        <w:trPr>
          <w:trHeight w:val="114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对学校外派人员的管理水平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定性高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 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原因：指标值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不够具体明确；措施：明确细化绩效指标</w:t>
            </w:r>
          </w:p>
        </w:tc>
      </w:tr>
      <w:tr>
        <w:trPr>
          <w:trHeight w:val="450" w:hRule="atLeast"/>
        </w:trPr>
        <w:tc>
          <w:tcPr>
            <w:tcW w:w="337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85.79 </w:t>
            </w:r>
          </w:p>
        </w:tc>
        <w:tc>
          <w:tcPr>
            <w:tcW w:w="8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107D16"/>
    <w:rsid w:val="00107D16"/>
    <w:rsid w:val="00C117D7"/>
    <w:rsid w:val="00F11F6E"/>
    <w:rsid w:val="0BE46537"/>
    <w:rsid w:val="0D3F1494"/>
    <w:rsid w:val="102C1384"/>
    <w:rsid w:val="1EFF24F4"/>
    <w:rsid w:val="3ED664A3"/>
    <w:rsid w:val="77FD7724"/>
    <w:rsid w:val="7E9BBD7C"/>
    <w:rsid w:val="7FD84014"/>
    <w:rsid w:val="7FE5EC72"/>
    <w:rsid w:val="E6D5C6D9"/>
    <w:rsid w:val="ED5E4CDB"/>
    <w:rsid w:val="FB578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159</Words>
  <Characters>907</Characters>
  <Lines>7</Lines>
  <Paragraphs>2</Paragraphs>
  <TotalTime>2</TotalTime>
  <ScaleCrop>false</ScaleCrop>
  <LinksUpToDate>false</LinksUpToDate>
  <CharactersWithSpaces>1064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2024-05-22T23:14:48Z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