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2620" w:type="dxa"/>
        <w:tblInd w:w="93" w:type="dxa"/>
        <w:tblLayout w:type="autofit"/>
        <w:tblCellMar>
          <w:top w:w="0" w:type="dxa"/>
          <w:left w:w="108" w:type="dxa"/>
          <w:bottom w:w="0" w:type="dxa"/>
          <w:right w:w="108" w:type="dxa"/>
        </w:tblCellMar>
      </w:tblPr>
      <w:tblGrid>
        <w:gridCol w:w="660"/>
        <w:gridCol w:w="885"/>
        <w:gridCol w:w="2325"/>
        <w:gridCol w:w="1896"/>
        <w:gridCol w:w="1695"/>
        <w:gridCol w:w="1485"/>
        <w:gridCol w:w="960"/>
        <w:gridCol w:w="915"/>
        <w:gridCol w:w="690"/>
        <w:gridCol w:w="1215"/>
      </w:tblGrid>
      <w:tr w14:paraId="693BFD11">
        <w:tblPrEx>
          <w:tblCellMar>
            <w:top w:w="0" w:type="dxa"/>
            <w:left w:w="108" w:type="dxa"/>
            <w:bottom w:w="0" w:type="dxa"/>
            <w:right w:w="108" w:type="dxa"/>
          </w:tblCellMar>
        </w:tblPrEx>
        <w:trPr>
          <w:trHeight w:val="375" w:hRule="atLeast"/>
        </w:trPr>
        <w:tc>
          <w:tcPr>
            <w:tcW w:w="3870" w:type="dxa"/>
            <w:gridSpan w:val="3"/>
            <w:tcBorders>
              <w:top w:val="nil"/>
              <w:left w:val="nil"/>
              <w:bottom w:val="nil"/>
              <w:right w:val="nil"/>
            </w:tcBorders>
            <w:shd w:val="clear" w:color="auto" w:fill="auto"/>
            <w:noWrap/>
            <w:vAlign w:val="center"/>
          </w:tcPr>
          <w:p w14:paraId="7168BFE7">
            <w:pPr>
              <w:widowControl/>
              <w:jc w:val="left"/>
              <w:textAlignment w:val="center"/>
              <w:rPr>
                <w:rFonts w:ascii="黑体" w:hAnsi="宋体" w:eastAsia="黑体" w:cs="黑体"/>
                <w:color w:val="000000"/>
                <w:sz w:val="28"/>
                <w:szCs w:val="28"/>
              </w:rPr>
            </w:pPr>
            <w:bookmarkStart w:id="0" w:name="_GoBack"/>
            <w:bookmarkEnd w:id="0"/>
          </w:p>
        </w:tc>
        <w:tc>
          <w:tcPr>
            <w:tcW w:w="1790" w:type="dxa"/>
            <w:tcBorders>
              <w:top w:val="nil"/>
              <w:left w:val="nil"/>
              <w:bottom w:val="nil"/>
              <w:right w:val="nil"/>
            </w:tcBorders>
            <w:shd w:val="clear" w:color="auto" w:fill="auto"/>
            <w:noWrap/>
            <w:vAlign w:val="center"/>
          </w:tcPr>
          <w:p w14:paraId="4C27F916">
            <w:pPr>
              <w:jc w:val="left"/>
              <w:rPr>
                <w:rFonts w:ascii="宋体" w:hAnsi="宋体" w:eastAsia="宋体" w:cs="宋体"/>
                <w:color w:val="000000"/>
                <w:sz w:val="22"/>
                <w:szCs w:val="22"/>
              </w:rPr>
            </w:pPr>
          </w:p>
        </w:tc>
        <w:tc>
          <w:tcPr>
            <w:tcW w:w="1695" w:type="dxa"/>
            <w:tcBorders>
              <w:top w:val="nil"/>
              <w:left w:val="nil"/>
              <w:bottom w:val="nil"/>
              <w:right w:val="nil"/>
            </w:tcBorders>
            <w:shd w:val="clear" w:color="auto" w:fill="auto"/>
            <w:noWrap/>
            <w:vAlign w:val="center"/>
          </w:tcPr>
          <w:p w14:paraId="1CCAEFD3">
            <w:pPr>
              <w:jc w:val="left"/>
              <w:rPr>
                <w:rFonts w:ascii="宋体" w:hAnsi="宋体" w:eastAsia="宋体" w:cs="宋体"/>
                <w:color w:val="000000"/>
                <w:sz w:val="22"/>
                <w:szCs w:val="22"/>
              </w:rPr>
            </w:pPr>
          </w:p>
        </w:tc>
        <w:tc>
          <w:tcPr>
            <w:tcW w:w="1485" w:type="dxa"/>
            <w:tcBorders>
              <w:top w:val="nil"/>
              <w:left w:val="nil"/>
              <w:bottom w:val="nil"/>
              <w:right w:val="nil"/>
            </w:tcBorders>
            <w:shd w:val="clear" w:color="auto" w:fill="auto"/>
            <w:noWrap/>
            <w:vAlign w:val="center"/>
          </w:tcPr>
          <w:p w14:paraId="154FC319">
            <w:pPr>
              <w:jc w:val="left"/>
              <w:rPr>
                <w:rFonts w:ascii="宋体" w:hAnsi="宋体" w:eastAsia="宋体" w:cs="宋体"/>
                <w:color w:val="000000"/>
                <w:sz w:val="22"/>
                <w:szCs w:val="22"/>
              </w:rPr>
            </w:pPr>
          </w:p>
        </w:tc>
        <w:tc>
          <w:tcPr>
            <w:tcW w:w="960" w:type="dxa"/>
            <w:tcBorders>
              <w:top w:val="nil"/>
              <w:left w:val="nil"/>
              <w:bottom w:val="nil"/>
              <w:right w:val="nil"/>
            </w:tcBorders>
            <w:shd w:val="clear" w:color="auto" w:fill="auto"/>
            <w:noWrap/>
            <w:vAlign w:val="center"/>
          </w:tcPr>
          <w:p w14:paraId="23B9B5C7">
            <w:pPr>
              <w:jc w:val="left"/>
              <w:rPr>
                <w:rFonts w:ascii="宋体" w:hAnsi="宋体" w:eastAsia="宋体" w:cs="宋体"/>
                <w:color w:val="000000"/>
                <w:sz w:val="22"/>
                <w:szCs w:val="22"/>
              </w:rPr>
            </w:pPr>
          </w:p>
        </w:tc>
        <w:tc>
          <w:tcPr>
            <w:tcW w:w="915" w:type="dxa"/>
            <w:tcBorders>
              <w:top w:val="nil"/>
              <w:left w:val="nil"/>
              <w:bottom w:val="nil"/>
              <w:right w:val="nil"/>
            </w:tcBorders>
            <w:shd w:val="clear" w:color="auto" w:fill="auto"/>
            <w:noWrap/>
            <w:vAlign w:val="center"/>
          </w:tcPr>
          <w:p w14:paraId="0C87626D">
            <w:pPr>
              <w:jc w:val="left"/>
              <w:rPr>
                <w:rFonts w:ascii="宋体" w:hAnsi="宋体" w:eastAsia="宋体" w:cs="宋体"/>
                <w:color w:val="000000"/>
                <w:sz w:val="22"/>
                <w:szCs w:val="22"/>
              </w:rPr>
            </w:pPr>
          </w:p>
        </w:tc>
        <w:tc>
          <w:tcPr>
            <w:tcW w:w="690" w:type="dxa"/>
            <w:tcBorders>
              <w:top w:val="nil"/>
              <w:left w:val="nil"/>
              <w:bottom w:val="nil"/>
              <w:right w:val="nil"/>
            </w:tcBorders>
            <w:shd w:val="clear" w:color="auto" w:fill="auto"/>
            <w:noWrap/>
            <w:vAlign w:val="center"/>
          </w:tcPr>
          <w:p w14:paraId="7D8455E4">
            <w:pPr>
              <w:rPr>
                <w:rFonts w:ascii="宋体" w:hAnsi="宋体" w:eastAsia="宋体" w:cs="宋体"/>
                <w:color w:val="000000"/>
                <w:sz w:val="22"/>
                <w:szCs w:val="22"/>
              </w:rPr>
            </w:pPr>
          </w:p>
        </w:tc>
        <w:tc>
          <w:tcPr>
            <w:tcW w:w="1215" w:type="dxa"/>
            <w:tcBorders>
              <w:top w:val="nil"/>
              <w:left w:val="nil"/>
              <w:bottom w:val="nil"/>
              <w:right w:val="nil"/>
            </w:tcBorders>
            <w:shd w:val="clear" w:color="auto" w:fill="auto"/>
            <w:noWrap/>
            <w:vAlign w:val="center"/>
          </w:tcPr>
          <w:p w14:paraId="6814AF00">
            <w:pPr>
              <w:rPr>
                <w:rFonts w:ascii="宋体" w:hAnsi="宋体" w:eastAsia="宋体" w:cs="宋体"/>
                <w:color w:val="000000"/>
                <w:sz w:val="22"/>
                <w:szCs w:val="22"/>
              </w:rPr>
            </w:pPr>
          </w:p>
        </w:tc>
      </w:tr>
      <w:tr w14:paraId="573AE22B">
        <w:tblPrEx>
          <w:tblCellMar>
            <w:top w:w="0" w:type="dxa"/>
            <w:left w:w="108" w:type="dxa"/>
            <w:bottom w:w="0" w:type="dxa"/>
            <w:right w:w="108" w:type="dxa"/>
          </w:tblCellMar>
        </w:tblPrEx>
        <w:trPr>
          <w:trHeight w:val="488" w:hRule="atLeast"/>
        </w:trPr>
        <w:tc>
          <w:tcPr>
            <w:tcW w:w="0" w:type="auto"/>
            <w:gridSpan w:val="10"/>
            <w:tcBorders>
              <w:top w:val="nil"/>
              <w:left w:val="nil"/>
              <w:bottom w:val="nil"/>
              <w:right w:val="nil"/>
            </w:tcBorders>
            <w:shd w:val="clear" w:color="auto" w:fill="auto"/>
            <w:noWrap/>
            <w:vAlign w:val="center"/>
          </w:tcPr>
          <w:p w14:paraId="65DA76C2">
            <w:pPr>
              <w:widowControl/>
              <w:jc w:val="center"/>
              <w:textAlignment w:val="center"/>
              <w:rPr>
                <w:rFonts w:ascii="方正小标宋简体" w:hAnsi="方正小标宋简体" w:eastAsia="方正小标宋简体" w:cs="方正小标宋简体"/>
                <w:color w:val="000000"/>
                <w:sz w:val="36"/>
                <w:szCs w:val="36"/>
              </w:rPr>
            </w:pPr>
            <w:r>
              <w:rPr>
                <w:rFonts w:ascii="方正小标宋简体" w:hAnsi="方正小标宋简体" w:eastAsia="方正小标宋简体" w:cs="方正小标宋简体"/>
                <w:color w:val="000000"/>
                <w:kern w:val="0"/>
                <w:sz w:val="36"/>
                <w:szCs w:val="36"/>
                <w:lang w:bidi="ar"/>
              </w:rPr>
              <w:t>项目支出绩效自评表</w:t>
            </w:r>
          </w:p>
        </w:tc>
      </w:tr>
      <w:tr w14:paraId="3BB6B356">
        <w:tblPrEx>
          <w:tblCellMar>
            <w:top w:w="0" w:type="dxa"/>
            <w:left w:w="108" w:type="dxa"/>
            <w:bottom w:w="0" w:type="dxa"/>
            <w:right w:w="108" w:type="dxa"/>
          </w:tblCellMar>
        </w:tblPrEx>
        <w:trPr>
          <w:trHeight w:val="480" w:hRule="atLeast"/>
        </w:trPr>
        <w:tc>
          <w:tcPr>
            <w:tcW w:w="0" w:type="auto"/>
            <w:gridSpan w:val="10"/>
            <w:tcBorders>
              <w:top w:val="nil"/>
              <w:left w:val="nil"/>
              <w:bottom w:val="nil"/>
              <w:right w:val="nil"/>
            </w:tcBorders>
            <w:shd w:val="clear" w:color="auto" w:fill="auto"/>
            <w:noWrap/>
            <w:vAlign w:val="center"/>
          </w:tcPr>
          <w:p w14:paraId="560137F7">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（202</w:t>
            </w:r>
            <w:r>
              <w:rPr>
                <w:rFonts w:ascii="仿宋_GB2312" w:hAnsi="宋体" w:eastAsia="仿宋_GB2312" w:cs="仿宋_GB2312"/>
                <w:color w:val="000000"/>
                <w:kern w:val="0"/>
                <w:sz w:val="28"/>
                <w:szCs w:val="28"/>
                <w:lang w:bidi="ar"/>
              </w:rPr>
              <w:t>3</w:t>
            </w:r>
            <w:r>
              <w:rPr>
                <w:rFonts w:hint="eastAsia" w:ascii="仿宋_GB2312" w:hAnsi="宋体" w:eastAsia="仿宋_GB2312" w:cs="仿宋_GB2312"/>
                <w:color w:val="000000"/>
                <w:kern w:val="0"/>
                <w:sz w:val="28"/>
                <w:szCs w:val="28"/>
                <w:lang w:bidi="ar"/>
              </w:rPr>
              <w:t>年度）</w:t>
            </w:r>
          </w:p>
        </w:tc>
      </w:tr>
      <w:tr w14:paraId="643940F1">
        <w:tblPrEx>
          <w:tblCellMar>
            <w:top w:w="0" w:type="dxa"/>
            <w:left w:w="108" w:type="dxa"/>
            <w:bottom w:w="0" w:type="dxa"/>
            <w:right w:w="108" w:type="dxa"/>
          </w:tblCellMar>
        </w:tblPrEx>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4FD4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项目名称</w:t>
            </w:r>
          </w:p>
        </w:tc>
        <w:tc>
          <w:tcPr>
            <w:tcW w:w="110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54213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教师队伍建设-北京学者</w:t>
            </w:r>
          </w:p>
        </w:tc>
      </w:tr>
      <w:tr w14:paraId="60DEE8DF">
        <w:tblPrEx>
          <w:tblCellMar>
            <w:top w:w="0" w:type="dxa"/>
            <w:left w:w="108" w:type="dxa"/>
            <w:bottom w:w="0" w:type="dxa"/>
            <w:right w:w="108" w:type="dxa"/>
          </w:tblCellMar>
        </w:tblPrEx>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9BF5AE">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主管部门</w:t>
            </w:r>
          </w:p>
        </w:tc>
        <w:tc>
          <w:tcPr>
            <w:tcW w:w="5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E061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北京市教育委员会</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BF0E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实施单位</w:t>
            </w:r>
          </w:p>
        </w:tc>
        <w:tc>
          <w:tcPr>
            <w:tcW w:w="37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BD002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北方工业大学</w:t>
            </w:r>
          </w:p>
        </w:tc>
      </w:tr>
      <w:tr w14:paraId="6D373EC1">
        <w:tblPrEx>
          <w:tblCellMar>
            <w:top w:w="0" w:type="dxa"/>
            <w:left w:w="108" w:type="dxa"/>
            <w:bottom w:w="0" w:type="dxa"/>
            <w:right w:w="108" w:type="dxa"/>
          </w:tblCellMar>
        </w:tblPrEx>
        <w:trPr>
          <w:trHeight w:val="270" w:hRule="atLeast"/>
        </w:trPr>
        <w:tc>
          <w:tcPr>
            <w:tcW w:w="15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F2E6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项目负责人</w:t>
            </w:r>
          </w:p>
        </w:tc>
        <w:tc>
          <w:tcPr>
            <w:tcW w:w="58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86EEA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王彦平</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BE71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联系电话</w:t>
            </w:r>
          </w:p>
        </w:tc>
        <w:tc>
          <w:tcPr>
            <w:tcW w:w="37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D80F9C">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18910535351</w:t>
            </w:r>
          </w:p>
        </w:tc>
      </w:tr>
      <w:tr w14:paraId="4E2833D1">
        <w:tblPrEx>
          <w:tblCellMar>
            <w:top w:w="0" w:type="dxa"/>
            <w:left w:w="108" w:type="dxa"/>
            <w:bottom w:w="0" w:type="dxa"/>
            <w:right w:w="108" w:type="dxa"/>
          </w:tblCellMar>
        </w:tblPrEx>
        <w:trPr>
          <w:trHeight w:val="270" w:hRule="atLeast"/>
        </w:trPr>
        <w:tc>
          <w:tcPr>
            <w:tcW w:w="15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065D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项目资金（万元）</w:t>
            </w:r>
          </w:p>
        </w:tc>
        <w:tc>
          <w:tcPr>
            <w:tcW w:w="2325" w:type="dxa"/>
            <w:tcBorders>
              <w:top w:val="single" w:color="000000" w:sz="4" w:space="0"/>
              <w:left w:val="single" w:color="000000" w:sz="4" w:space="0"/>
              <w:bottom w:val="single" w:color="000000" w:sz="4" w:space="0"/>
              <w:right w:val="nil"/>
            </w:tcBorders>
            <w:shd w:val="clear" w:color="auto" w:fill="auto"/>
            <w:vAlign w:val="center"/>
          </w:tcPr>
          <w:p w14:paraId="459F8E76">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0E16E">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年初预算数</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720E">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全年预算数</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B60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全年执行数</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B54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分值</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C250E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执行率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345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得分</w:t>
            </w:r>
          </w:p>
        </w:tc>
      </w:tr>
      <w:tr w14:paraId="39A2AA8B">
        <w:tblPrEx>
          <w:tblCellMar>
            <w:top w:w="0" w:type="dxa"/>
            <w:left w:w="108" w:type="dxa"/>
            <w:bottom w:w="0" w:type="dxa"/>
            <w:right w:w="108" w:type="dxa"/>
          </w:tblCellMar>
        </w:tblPrEx>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45102">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14:paraId="2C8B3A0D">
            <w:pPr>
              <w:widowControl/>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年度资金总额</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D32F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80.000000 </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236C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79.936735 </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15C9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79.836735 </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1F7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48CB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99.87%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BC0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9.99</w:t>
            </w:r>
          </w:p>
        </w:tc>
      </w:tr>
      <w:tr w14:paraId="32E1D639">
        <w:tblPrEx>
          <w:tblCellMar>
            <w:top w:w="0" w:type="dxa"/>
            <w:left w:w="108" w:type="dxa"/>
            <w:bottom w:w="0" w:type="dxa"/>
            <w:right w:w="108" w:type="dxa"/>
          </w:tblCellMar>
        </w:tblPrEx>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6AE1F">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14:paraId="3C49AF0E">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其中：当年财政拨款</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6587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80.000000 </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60A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79.936735 </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BBD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79.836735 </w:t>
            </w:r>
          </w:p>
        </w:tc>
        <w:tc>
          <w:tcPr>
            <w:tcW w:w="960" w:type="dxa"/>
            <w:tcBorders>
              <w:top w:val="single" w:color="000000" w:sz="4" w:space="0"/>
              <w:left w:val="single" w:color="000000" w:sz="4" w:space="0"/>
              <w:bottom w:val="single" w:color="000000" w:sz="4" w:space="0"/>
              <w:right w:val="nil"/>
            </w:tcBorders>
            <w:shd w:val="clear" w:color="auto" w:fill="auto"/>
            <w:vAlign w:val="center"/>
          </w:tcPr>
          <w:p w14:paraId="7D5F23B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59368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99.87%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699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14:paraId="5125BED1">
        <w:tblPrEx>
          <w:tblCellMar>
            <w:top w:w="0" w:type="dxa"/>
            <w:left w:w="108" w:type="dxa"/>
            <w:bottom w:w="0" w:type="dxa"/>
            <w:right w:w="108" w:type="dxa"/>
          </w:tblCellMar>
        </w:tblPrEx>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954FA">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14:paraId="272B9E9C">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上年结转资金</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3F05A">
            <w:pPr>
              <w:jc w:val="center"/>
              <w:rPr>
                <w:rFonts w:ascii="仿宋_GB2312" w:hAnsi="宋体" w:eastAsia="仿宋_GB2312" w:cs="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6E15">
            <w:pPr>
              <w:jc w:val="center"/>
              <w:rPr>
                <w:rFonts w:ascii="仿宋_GB2312" w:hAnsi="宋体" w:eastAsia="仿宋_GB2312" w:cs="仿宋_GB2312"/>
                <w:color w:val="000000"/>
                <w:szCs w:val="21"/>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98E7">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371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0A179">
            <w:pPr>
              <w:jc w:val="center"/>
              <w:rPr>
                <w:rFonts w:ascii="仿宋_GB2312" w:hAnsi="宋体" w:eastAsia="仿宋_GB2312" w:cs="仿宋_GB2312"/>
                <w:color w:val="000000"/>
                <w:szCs w:val="21"/>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DDB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14:paraId="234AAF75">
        <w:tblPrEx>
          <w:tblCellMar>
            <w:top w:w="0" w:type="dxa"/>
            <w:left w:w="108" w:type="dxa"/>
            <w:bottom w:w="0" w:type="dxa"/>
            <w:right w:w="108" w:type="dxa"/>
          </w:tblCellMar>
        </w:tblPrEx>
        <w:trPr>
          <w:trHeight w:val="270" w:hRule="atLeast"/>
        </w:trPr>
        <w:tc>
          <w:tcPr>
            <w:tcW w:w="15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91CAC">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nil"/>
            </w:tcBorders>
            <w:shd w:val="clear" w:color="auto" w:fill="auto"/>
            <w:vAlign w:val="center"/>
          </w:tcPr>
          <w:p w14:paraId="5620FF2D">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其他资金</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9E00">
            <w:pPr>
              <w:jc w:val="center"/>
              <w:rPr>
                <w:rFonts w:ascii="仿宋_GB2312" w:hAnsi="宋体" w:eastAsia="仿宋_GB2312" w:cs="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8D362">
            <w:pPr>
              <w:jc w:val="center"/>
              <w:rPr>
                <w:rFonts w:ascii="仿宋_GB2312" w:hAnsi="宋体" w:eastAsia="仿宋_GB2312" w:cs="仿宋_GB2312"/>
                <w:color w:val="000000"/>
                <w:szCs w:val="21"/>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A786">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07A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6A5DC">
            <w:pPr>
              <w:jc w:val="center"/>
              <w:rPr>
                <w:rFonts w:ascii="仿宋_GB2312" w:hAnsi="宋体" w:eastAsia="仿宋_GB2312" w:cs="仿宋_GB2312"/>
                <w:color w:val="000000"/>
                <w:szCs w:val="21"/>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7EA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w:t>
            </w:r>
          </w:p>
        </w:tc>
      </w:tr>
      <w:tr w14:paraId="526D82A7">
        <w:tblPrEx>
          <w:tblCellMar>
            <w:top w:w="0" w:type="dxa"/>
            <w:left w:w="108" w:type="dxa"/>
            <w:bottom w:w="0" w:type="dxa"/>
            <w:right w:w="108" w:type="dxa"/>
          </w:tblCellMar>
        </w:tblPrEx>
        <w:trPr>
          <w:trHeight w:val="27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3A0C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年度总体目标</w:t>
            </w:r>
          </w:p>
        </w:tc>
        <w:tc>
          <w:tcPr>
            <w:tcW w:w="6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CA2B86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预期目标</w:t>
            </w:r>
          </w:p>
        </w:tc>
        <w:tc>
          <w:tcPr>
            <w:tcW w:w="52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CD0BBC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实际完成情况</w:t>
            </w:r>
          </w:p>
        </w:tc>
      </w:tr>
      <w:tr w14:paraId="01930EF5">
        <w:tblPrEx>
          <w:tblCellMar>
            <w:top w:w="0" w:type="dxa"/>
            <w:left w:w="108" w:type="dxa"/>
            <w:bottom w:w="0" w:type="dxa"/>
            <w:right w:w="108" w:type="dxa"/>
          </w:tblCellMar>
        </w:tblPrEx>
        <w:trPr>
          <w:trHeight w:val="382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B97E2">
            <w:pPr>
              <w:jc w:val="center"/>
              <w:rPr>
                <w:rFonts w:ascii="仿宋_GB2312" w:hAnsi="宋体" w:eastAsia="仿宋_GB2312" w:cs="仿宋_GB2312"/>
                <w:color w:val="000000"/>
                <w:szCs w:val="21"/>
              </w:rPr>
            </w:pPr>
          </w:p>
        </w:tc>
        <w:tc>
          <w:tcPr>
            <w:tcW w:w="66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B27A4E">
            <w:pPr>
              <w:widowControl/>
              <w:jc w:val="left"/>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面向城市重大基础设施安全监测需求，研究雷达成像安全监测技术并开展应用示范验证，发展雷达帧流成像监测新技术，重点突破角度关联多径抑制、帧间序列推演定位、扩展目标帧间动态表示等关键难题，建立封闭半封闭空间城市重大基础设施的动态安全监测的模型和方法，研制新型成像监测雷达，研究成果在北京东六环隧道、杭州隧道计量标定场等实际场景中进行验证研究与应用。</w:t>
            </w:r>
          </w:p>
        </w:tc>
        <w:tc>
          <w:tcPr>
            <w:tcW w:w="5265"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3564590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1.2023.01—2023.05完成了近景成像雷达多角度多径信号建模与分析研究；完成了基于多径信号抑制的高精度三维成像算法；构建了面向高刷新率帧流的帧间三维点云匹配模型；</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2.2023.06—2023.10完成了面向数据稀疏、检测失真的多维度信息聚类技术；完成了基于雷达成像数据自适应推演的高精度三维定位算法；完成了基于多角度多径抑制的高精度三维成像处理器方案设计；</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3.2023.11—2023.12完成了高精度三维定位处理器方案设计；完成了阵列三维成像与定位的算法仿真验证工作</w:t>
            </w:r>
          </w:p>
        </w:tc>
      </w:tr>
      <w:tr w14:paraId="001088C5">
        <w:tblPrEx>
          <w:tblCellMar>
            <w:top w:w="0" w:type="dxa"/>
            <w:left w:w="108" w:type="dxa"/>
            <w:bottom w:w="0" w:type="dxa"/>
            <w:right w:w="108" w:type="dxa"/>
          </w:tblCellMar>
        </w:tblPrEx>
        <w:trPr>
          <w:trHeight w:val="510" w:hRule="atLeast"/>
        </w:trPr>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1353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绩效指标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2222C">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一级指标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3D0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二级指标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D09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三级指标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2D26C">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年度指标值</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8E9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实际完成值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B44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分值</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A38AD">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得分</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127A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偏差原因分析及改进措施</w:t>
            </w:r>
          </w:p>
        </w:tc>
      </w:tr>
      <w:tr w14:paraId="5A67364D">
        <w:tblPrEx>
          <w:tblCellMar>
            <w:top w:w="0" w:type="dxa"/>
            <w:left w:w="108" w:type="dxa"/>
            <w:bottom w:w="0" w:type="dxa"/>
            <w:right w:w="108" w:type="dxa"/>
          </w:tblCellMar>
        </w:tblPrEx>
        <w:trPr>
          <w:trHeight w:val="11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7DB2D">
            <w:pPr>
              <w:jc w:val="center"/>
              <w:rPr>
                <w:rFonts w:ascii="仿宋_GB2312" w:hAnsi="宋体" w:eastAsia="仿宋_GB2312" w:cs="仿宋_GB2312"/>
                <w:color w:val="000000"/>
                <w:szCs w:val="21"/>
              </w:rPr>
            </w:pPr>
          </w:p>
        </w:tc>
        <w:tc>
          <w:tcPr>
            <w:tcW w:w="885" w:type="dxa"/>
            <w:vMerge w:val="restart"/>
            <w:tcBorders>
              <w:top w:val="single" w:color="000000" w:sz="4" w:space="0"/>
              <w:left w:val="single" w:color="000000" w:sz="4" w:space="0"/>
              <w:right w:val="single" w:color="000000" w:sz="4" w:space="0"/>
            </w:tcBorders>
            <w:shd w:val="clear" w:color="auto" w:fill="auto"/>
            <w:vAlign w:val="center"/>
          </w:tcPr>
          <w:p w14:paraId="2E57186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产出指标</w:t>
            </w: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D14F2">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数量指标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2F2E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论文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AF16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≥3篇</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FFB67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16篇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C8E2">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5A88">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4</w:t>
            </w:r>
            <w:r>
              <w:rPr>
                <w:rFonts w:hint="eastAsia" w:ascii="仿宋_GB2312" w:hAnsi="宋体" w:eastAsia="仿宋_GB2312" w:cs="仿宋_GB2312"/>
                <w:color w:val="000000"/>
                <w:kern w:val="0"/>
                <w:szCs w:val="21"/>
                <w:lang w:val="en-US" w:eastAsia="zh-Hans" w:bidi="ar"/>
              </w:rPr>
              <w:t>.</w:t>
            </w:r>
            <w:r>
              <w:rPr>
                <w:rFonts w:hint="default" w:ascii="仿宋_GB2312" w:hAnsi="宋体" w:eastAsia="仿宋_GB2312" w:cs="仿宋_GB2312"/>
                <w:color w:val="000000"/>
                <w:kern w:val="0"/>
                <w:szCs w:val="21"/>
                <w:lang w:eastAsia="zh-Hans" w:bidi="ar"/>
              </w:rPr>
              <w:t>5</w:t>
            </w:r>
            <w:r>
              <w:rPr>
                <w:rFonts w:hint="eastAsia" w:ascii="仿宋_GB2312" w:hAnsi="宋体" w:eastAsia="仿宋_GB2312" w:cs="仿宋_GB2312"/>
                <w:color w:val="000000"/>
                <w:kern w:val="0"/>
                <w:szCs w:val="21"/>
                <w:lang w:bidi="ar"/>
              </w:rPr>
              <w:t xml:space="preserve">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2FB76E">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偏差原因：目标制定过低，导致完成数量与目标差距过大；改进措施：提高制定目标的合理性</w:t>
            </w:r>
          </w:p>
        </w:tc>
      </w:tr>
      <w:tr w14:paraId="4076AEF9">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9A0CD">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404CDB42">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48BE00">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0AB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专利</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74E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D0CEE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261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3956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05C2E0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31946171">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524A2">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41BA114A">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D64B5">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A6B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在线监测软件</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9DE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239D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CD248">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CB5B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4DA333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3C561082">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1E3F5">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5BA1A7FB">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13E0A">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5974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雷达数据处理与分析软件</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B26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4CAA6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1套</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8CD0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4087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0F5C3C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6FF7A181">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95497">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168F4B0E">
            <w:pPr>
              <w:jc w:val="center"/>
              <w:rPr>
                <w:rFonts w:ascii="仿宋_GB2312" w:hAnsi="宋体" w:eastAsia="仿宋_GB2312" w:cs="仿宋_GB2312"/>
                <w:color w:val="000000"/>
                <w:szCs w:val="21"/>
              </w:rPr>
            </w:pP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56D55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质量指标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5629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高质量专利</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7B1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8EFB1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6项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AA41">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3C3B">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6834B3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3C8F9872">
        <w:tblPrEx>
          <w:tblCellMar>
            <w:top w:w="0" w:type="dxa"/>
            <w:left w:w="108" w:type="dxa"/>
            <w:bottom w:w="0" w:type="dxa"/>
            <w:right w:w="108" w:type="dxa"/>
          </w:tblCellMar>
        </w:tblPrEx>
        <w:trPr>
          <w:trHeight w:val="103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85547">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64087B3F">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ED4BD">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C7D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高水平论文</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75D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＝2篇</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035E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16篇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6733">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10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33A7">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9</w:t>
            </w:r>
            <w:r>
              <w:rPr>
                <w:rFonts w:hint="eastAsia" w:ascii="仿宋_GB2312" w:hAnsi="宋体" w:eastAsia="仿宋_GB2312" w:cs="仿宋_GB2312"/>
                <w:color w:val="000000"/>
                <w:kern w:val="0"/>
                <w:szCs w:val="21"/>
                <w:lang w:bidi="ar"/>
              </w:rPr>
              <w:t>.</w:t>
            </w: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 xml:space="preserve">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003D18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偏差原因：目标制定过低，导致完成数量与目标差距过大；改进措施：提高制定目标的合理性</w:t>
            </w:r>
          </w:p>
        </w:tc>
      </w:tr>
      <w:tr w14:paraId="7CABB22A">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983BB">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5886377A">
            <w:pPr>
              <w:jc w:val="center"/>
              <w:rPr>
                <w:rFonts w:ascii="仿宋_GB2312" w:hAnsi="宋体" w:eastAsia="仿宋_GB2312" w:cs="仿宋_GB2312"/>
                <w:color w:val="000000"/>
                <w:szCs w:val="21"/>
              </w:rPr>
            </w:pPr>
          </w:p>
        </w:tc>
        <w:tc>
          <w:tcPr>
            <w:tcW w:w="2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0EB0E">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时效指标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AEE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2023.01—2023.05</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15B5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定性完成近景成像雷达多角度多径信号建模与分析研究； 完成基于多径信号抑制的高精度三维成像算法； 构建面向高刷新率帧流的帧间三维点云匹配模型</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7841D">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完成近景成像雷达多角度多径信号建模与分析研究；完成基于多径信号抑制的高精度三维成像算法；构建面向高刷新率帧流的帧间三维点云匹配模型</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62F4A">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E6F01">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645BA0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3525311D">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73E29">
            <w:pPr>
              <w:jc w:val="center"/>
              <w:rPr>
                <w:rFonts w:ascii="仿宋_GB2312" w:hAnsi="宋体" w:eastAsia="仿宋_GB2312" w:cs="仿宋_GB2312"/>
                <w:color w:val="000000"/>
                <w:szCs w:val="21"/>
              </w:rPr>
            </w:pPr>
          </w:p>
        </w:tc>
        <w:tc>
          <w:tcPr>
            <w:tcW w:w="885" w:type="dxa"/>
            <w:vMerge w:val="continue"/>
            <w:tcBorders>
              <w:left w:val="single" w:color="000000" w:sz="4" w:space="0"/>
              <w:right w:val="single" w:color="000000" w:sz="4" w:space="0"/>
            </w:tcBorders>
            <w:shd w:val="clear" w:color="auto" w:fill="auto"/>
            <w:vAlign w:val="center"/>
          </w:tcPr>
          <w:p w14:paraId="5FD27AA9">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98E22">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7C15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2023.06—2023.10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C492">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定性完成面向数据稀疏、检测失真的多维度信息聚类技术； 完成基于雷达成像数据自适应推演的高精度三维定位算法； 完成基于多角度多径抑制的高精度三维成像处理器方案设计</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D77D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完成面向数据稀疏、检测失真的多维度信息聚类技术；完成基于雷达成像数据自适应推演的高精度三维定位算法；完成基于多角度多径抑制的高精度三维成像处理器方案设计；</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E512">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E8AF">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5E333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0E9C3153">
        <w:tblPrEx>
          <w:tblCellMar>
            <w:top w:w="0" w:type="dxa"/>
            <w:left w:w="108" w:type="dxa"/>
            <w:bottom w:w="0" w:type="dxa"/>
            <w:right w:w="108" w:type="dxa"/>
          </w:tblCellMar>
        </w:tblPrEx>
        <w:trPr>
          <w:trHeight w:val="582"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C57FE">
            <w:pPr>
              <w:jc w:val="center"/>
              <w:rPr>
                <w:rFonts w:ascii="仿宋_GB2312" w:hAnsi="宋体" w:eastAsia="仿宋_GB2312" w:cs="仿宋_GB2312"/>
                <w:color w:val="000000"/>
                <w:szCs w:val="21"/>
              </w:rPr>
            </w:pPr>
          </w:p>
        </w:tc>
        <w:tc>
          <w:tcPr>
            <w:tcW w:w="885" w:type="dxa"/>
            <w:vMerge w:val="continue"/>
            <w:tcBorders>
              <w:left w:val="single" w:color="000000" w:sz="4" w:space="0"/>
              <w:bottom w:val="single" w:color="000000" w:sz="4" w:space="0"/>
              <w:right w:val="single" w:color="000000" w:sz="4" w:space="0"/>
            </w:tcBorders>
            <w:shd w:val="clear" w:color="auto" w:fill="auto"/>
            <w:vAlign w:val="center"/>
          </w:tcPr>
          <w:p w14:paraId="03D45D51">
            <w:pPr>
              <w:jc w:val="center"/>
              <w:rPr>
                <w:rFonts w:ascii="仿宋_GB2312" w:hAnsi="宋体" w:eastAsia="仿宋_GB2312" w:cs="仿宋_GB2312"/>
                <w:color w:val="000000"/>
                <w:szCs w:val="21"/>
              </w:rPr>
            </w:pPr>
          </w:p>
        </w:tc>
        <w:tc>
          <w:tcPr>
            <w:tcW w:w="2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C444F">
            <w:pPr>
              <w:jc w:val="center"/>
              <w:rPr>
                <w:rFonts w:ascii="仿宋_GB2312" w:hAnsi="宋体" w:eastAsia="仿宋_GB2312" w:cs="仿宋_GB2312"/>
                <w:color w:val="000000"/>
                <w:szCs w:val="21"/>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240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2023.11—2023.12</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137D">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定性完成高精度三维定位处理器方案设计； 完成阵列三维成像与定位的算法仿真验证工作</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7E09BC">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完成高精度三维定位处理器方案设计；完成阵列三维成像与定位的算法仿真验证工作</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D50A">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FFB7C">
            <w:pPr>
              <w:widowControl/>
              <w:jc w:val="center"/>
              <w:textAlignment w:val="center"/>
              <w:rPr>
                <w:rFonts w:ascii="仿宋_GB2312" w:hAnsi="宋体" w:eastAsia="仿宋_GB2312" w:cs="仿宋_GB2312"/>
                <w:color w:val="000000"/>
                <w:szCs w:val="21"/>
              </w:rPr>
            </w:pPr>
            <w:r>
              <w:rPr>
                <w:rFonts w:hint="default" w:ascii="仿宋_GB2312" w:hAnsi="宋体" w:eastAsia="仿宋_GB2312" w:cs="仿宋_GB2312"/>
                <w:color w:val="000000"/>
                <w:kern w:val="0"/>
                <w:szCs w:val="21"/>
                <w:lang w:bidi="ar"/>
              </w:rPr>
              <w:t>5</w:t>
            </w:r>
            <w:r>
              <w:rPr>
                <w:rFonts w:hint="eastAsia" w:ascii="仿宋_GB2312" w:hAnsi="宋体" w:eastAsia="仿宋_GB2312" w:cs="仿宋_GB2312"/>
                <w:color w:val="000000"/>
                <w:kern w:val="0"/>
                <w:szCs w:val="21"/>
                <w:lang w:bidi="ar"/>
              </w:rPr>
              <w:t>.00</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89514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无</w:t>
            </w:r>
          </w:p>
        </w:tc>
      </w:tr>
      <w:tr w14:paraId="68A694E9">
        <w:tblPrEx>
          <w:tblCellMar>
            <w:top w:w="0" w:type="dxa"/>
            <w:left w:w="108" w:type="dxa"/>
            <w:bottom w:w="0" w:type="dxa"/>
            <w:right w:w="108" w:type="dxa"/>
          </w:tblCellMar>
        </w:tblPrEx>
        <w:trPr>
          <w:trHeight w:val="1560"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4CB48">
            <w:pPr>
              <w:jc w:val="center"/>
              <w:rPr>
                <w:rFonts w:ascii="仿宋_GB2312" w:hAnsi="宋体" w:eastAsia="仿宋_GB2312" w:cs="仿宋_GB2312"/>
                <w:color w:val="000000"/>
                <w:szCs w:val="21"/>
              </w:rPr>
            </w:pPr>
          </w:p>
        </w:tc>
        <w:tc>
          <w:tcPr>
            <w:tcW w:w="885" w:type="dxa"/>
            <w:vMerge w:val="restart"/>
            <w:tcBorders>
              <w:top w:val="single" w:color="000000" w:sz="4" w:space="0"/>
              <w:left w:val="single" w:color="000000" w:sz="4" w:space="0"/>
              <w:bottom w:val="nil"/>
              <w:right w:val="single" w:color="000000" w:sz="4" w:space="0"/>
            </w:tcBorders>
            <w:shd w:val="clear" w:color="auto" w:fill="auto"/>
            <w:vAlign w:val="center"/>
          </w:tcPr>
          <w:p w14:paraId="7FB5B86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效益指标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28C5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社会效益</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C970">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社会效益</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75D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定性研究成果的进一步推广应用，将为重特大滑坡实时监测预警提供新型技术， 保障安全生产、公共安全，减少人员伤亡、保障人民生命财产安全，具有重大的社会和经济价值。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234F0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团队负责人王彦平研究员获得由北京市总工会、北京</w:t>
            </w:r>
            <w:r>
              <w:rPr>
                <w:rFonts w:hint="eastAsia" w:ascii="仿宋_GB2312" w:hAnsi="宋体" w:eastAsia="仿宋_GB2312" w:cs="仿宋_GB2312"/>
                <w:color w:val="000000"/>
                <w:kern w:val="0"/>
                <w:szCs w:val="21"/>
                <w:lang w:eastAsia="zh-CN" w:bidi="ar"/>
              </w:rPr>
              <w:t>市人力资源和社会保障局</w:t>
            </w:r>
            <w:r>
              <w:rPr>
                <w:rFonts w:hint="eastAsia" w:ascii="仿宋_GB2312" w:hAnsi="宋体" w:eastAsia="仿宋_GB2312" w:cs="仿宋_GB2312"/>
                <w:color w:val="000000"/>
                <w:kern w:val="0"/>
                <w:szCs w:val="21"/>
                <w:lang w:bidi="ar"/>
              </w:rPr>
              <w:t>授予的首都劳动奖章。</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李洋高工获评北京公路学会科学技术奖一等奖；</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团队成员组成“雷达成像安全监测技术攻坚团队”获得北方工业大学青年五四奖章。</w:t>
            </w:r>
            <w:r>
              <w:rPr>
                <w:rFonts w:hint="eastAsia" w:ascii="仿宋_GB2312" w:hAnsi="宋体" w:eastAsia="仿宋_GB2312" w:cs="仿宋_GB2312"/>
                <w:color w:val="000000"/>
                <w:kern w:val="0"/>
                <w:szCs w:val="21"/>
                <w:lang w:bidi="ar"/>
              </w:rPr>
              <w:br w:type="textWrapping"/>
            </w:r>
            <w:r>
              <w:rPr>
                <w:rFonts w:hint="eastAsia" w:ascii="仿宋_GB2312" w:hAnsi="宋体" w:eastAsia="仿宋_GB2312" w:cs="仿宋_GB2312"/>
                <w:color w:val="000000"/>
                <w:kern w:val="0"/>
                <w:szCs w:val="21"/>
                <w:lang w:bidi="ar"/>
              </w:rPr>
              <w:t>毕福昆教授获评获评“北方工业大学青年教学名师”</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43B9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w:t>
            </w:r>
            <w:r>
              <w:rPr>
                <w:rFonts w:hint="default" w:ascii="仿宋_GB2312" w:hAnsi="宋体" w:eastAsia="仿宋_GB2312" w:cs="仿宋_GB2312"/>
                <w:color w:val="000000"/>
                <w:kern w:val="0"/>
                <w:szCs w:val="21"/>
                <w:lang w:bidi="ar"/>
              </w:rPr>
              <w:t>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91E05">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8</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6D1561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偏差原因：绩效目标不完整，实际完成情况侧重于团队建设和人才培养；措施：提高绩效目标的质量</w:t>
            </w:r>
          </w:p>
        </w:tc>
      </w:tr>
      <w:tr w14:paraId="4C4DAD41">
        <w:tblPrEx>
          <w:tblCellMar>
            <w:top w:w="0" w:type="dxa"/>
            <w:left w:w="108" w:type="dxa"/>
            <w:bottom w:w="0" w:type="dxa"/>
            <w:right w:w="108" w:type="dxa"/>
          </w:tblCellMar>
        </w:tblPrEx>
        <w:trPr>
          <w:trHeight w:val="181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2BD6D">
            <w:pPr>
              <w:jc w:val="center"/>
              <w:rPr>
                <w:rFonts w:ascii="仿宋_GB2312" w:hAnsi="宋体" w:eastAsia="仿宋_GB2312" w:cs="仿宋_GB2312"/>
                <w:color w:val="000000"/>
                <w:szCs w:val="21"/>
              </w:rPr>
            </w:pPr>
          </w:p>
        </w:tc>
        <w:tc>
          <w:tcPr>
            <w:tcW w:w="885" w:type="dxa"/>
            <w:vMerge w:val="continue"/>
            <w:tcBorders>
              <w:top w:val="single" w:color="000000" w:sz="4" w:space="0"/>
              <w:left w:val="single" w:color="000000" w:sz="4" w:space="0"/>
              <w:bottom w:val="nil"/>
              <w:right w:val="single" w:color="000000" w:sz="4" w:space="0"/>
            </w:tcBorders>
            <w:shd w:val="clear" w:color="auto" w:fill="auto"/>
            <w:vAlign w:val="center"/>
          </w:tcPr>
          <w:p w14:paraId="1A7E570F">
            <w:pPr>
              <w:jc w:val="center"/>
              <w:rPr>
                <w:rFonts w:ascii="仿宋_GB2312" w:hAnsi="宋体" w:eastAsia="仿宋_GB2312" w:cs="仿宋_GB2312"/>
                <w:color w:val="000000"/>
                <w:szCs w:val="21"/>
              </w:rPr>
            </w:pP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7E57">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可持续影响</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278A">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经济效益</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94F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定性雷达成像技术应用于封闭半封闭空间动态安全监测存在诸多关键难题待研究和突破， 封闭半封闭城市重大基础设施的安全运营问题日益凸显，其动态安全监测的需求极为迫切</w:t>
            </w: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9016D0">
            <w:pPr>
              <w:jc w:val="center"/>
              <w:rPr>
                <w:rFonts w:ascii="仿宋_GB2312" w:hAnsi="宋体" w:eastAsia="仿宋_GB2312" w:cs="仿宋_GB2312"/>
                <w:color w:val="000000"/>
                <w:szCs w:val="21"/>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F180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w:t>
            </w:r>
            <w:r>
              <w:rPr>
                <w:rFonts w:hint="default" w:ascii="仿宋_GB2312" w:hAnsi="宋体" w:eastAsia="仿宋_GB2312" w:cs="仿宋_GB2312"/>
                <w:color w:val="000000"/>
                <w:kern w:val="0"/>
                <w:szCs w:val="21"/>
                <w:lang w:bidi="ar"/>
              </w:rPr>
              <w:t>0</w:t>
            </w:r>
            <w:r>
              <w:rPr>
                <w:rFonts w:hint="eastAsia" w:ascii="仿宋_GB2312" w:hAnsi="宋体" w:eastAsia="仿宋_GB2312" w:cs="仿宋_GB2312"/>
                <w:color w:val="000000"/>
                <w:kern w:val="0"/>
                <w:szCs w:val="21"/>
                <w:lang w:bidi="ar"/>
              </w:rPr>
              <w:t xml:space="preserve">.00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C8D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w:t>
            </w:r>
            <w:r>
              <w:rPr>
                <w:rFonts w:hint="default" w:ascii="仿宋_GB2312" w:hAnsi="宋体" w:eastAsia="仿宋_GB2312" w:cs="仿宋_GB2312"/>
                <w:color w:val="000000"/>
                <w:kern w:val="0"/>
                <w:szCs w:val="21"/>
                <w:lang w:bidi="ar"/>
              </w:rPr>
              <w:t>8</w:t>
            </w:r>
            <w:r>
              <w:rPr>
                <w:rFonts w:hint="eastAsia" w:ascii="仿宋_GB2312" w:hAnsi="宋体" w:eastAsia="仿宋_GB2312" w:cs="仿宋_GB2312"/>
                <w:color w:val="000000"/>
                <w:kern w:val="0"/>
                <w:szCs w:val="21"/>
                <w:lang w:bidi="ar"/>
              </w:rPr>
              <w:t xml:space="preserve">.00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29FB09E">
            <w:pPr>
              <w:jc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偏差原因：绩效目标不完整，实际完成情况侧重于团队建设和人才培养；措施：提高绩效目标的质量</w:t>
            </w:r>
          </w:p>
        </w:tc>
      </w:tr>
      <w:tr w14:paraId="7AF9C80E">
        <w:tblPrEx>
          <w:tblCellMar>
            <w:top w:w="0" w:type="dxa"/>
            <w:left w:w="108" w:type="dxa"/>
            <w:bottom w:w="0" w:type="dxa"/>
            <w:right w:w="108" w:type="dxa"/>
          </w:tblCellMar>
        </w:tblPrEx>
        <w:trPr>
          <w:trHeight w:val="1159" w:hRule="atLeast"/>
        </w:trPr>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50D76">
            <w:pPr>
              <w:jc w:val="center"/>
              <w:rPr>
                <w:rFonts w:ascii="仿宋_GB2312" w:hAnsi="宋体" w:eastAsia="仿宋_GB2312" w:cs="仿宋_GB2312"/>
                <w:color w:val="000000"/>
                <w:szCs w:val="21"/>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3C64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满意度指标</w:t>
            </w:r>
          </w:p>
        </w:tc>
        <w:tc>
          <w:tcPr>
            <w:tcW w:w="2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E674">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服务对象满意度指标</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BA6C3">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服务对象满意度</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3FBB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≥90人次</w:t>
            </w:r>
          </w:p>
        </w:tc>
        <w:tc>
          <w:tcPr>
            <w:tcW w:w="14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1237FB">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99%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FD9F">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10.00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C8BD">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7.00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E8C2789">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偏差：绩效目标制定不合理，人次无法衡量满意度；措施：提高绩效目标的合理性</w:t>
            </w:r>
          </w:p>
        </w:tc>
      </w:tr>
      <w:tr w14:paraId="17EEF691">
        <w:tblPrEx>
          <w:tblCellMar>
            <w:top w:w="0" w:type="dxa"/>
            <w:left w:w="108" w:type="dxa"/>
            <w:bottom w:w="0" w:type="dxa"/>
            <w:right w:w="108" w:type="dxa"/>
          </w:tblCellMar>
        </w:tblPrEx>
        <w:trPr>
          <w:trHeight w:val="450" w:hRule="atLeast"/>
        </w:trPr>
        <w:tc>
          <w:tcPr>
            <w:tcW w:w="88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F36E68">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总分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3996">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100.00 </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7FF1">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 xml:space="preserve"> 9</w:t>
            </w:r>
            <w:r>
              <w:rPr>
                <w:rFonts w:hint="default" w:ascii="仿宋_GB2312" w:hAnsi="宋体" w:eastAsia="仿宋_GB2312" w:cs="仿宋_GB2312"/>
                <w:color w:val="000000"/>
                <w:kern w:val="0"/>
                <w:szCs w:val="21"/>
                <w:lang w:bidi="ar"/>
              </w:rPr>
              <w:t>1</w:t>
            </w:r>
            <w:r>
              <w:rPr>
                <w:rFonts w:hint="eastAsia" w:ascii="仿宋_GB2312" w:hAnsi="宋体" w:eastAsia="仿宋_GB2312" w:cs="仿宋_GB2312"/>
                <w:color w:val="000000"/>
                <w:kern w:val="0"/>
                <w:szCs w:val="21"/>
                <w:lang w:val="en-US" w:eastAsia="zh-Hans" w:bidi="ar"/>
              </w:rPr>
              <w:t>.</w:t>
            </w:r>
            <w:r>
              <w:rPr>
                <w:rFonts w:hint="default" w:ascii="仿宋_GB2312" w:hAnsi="宋体" w:eastAsia="仿宋_GB2312" w:cs="仿宋_GB2312"/>
                <w:color w:val="000000"/>
                <w:kern w:val="0"/>
                <w:szCs w:val="21"/>
                <w:lang w:eastAsia="zh-Hans" w:bidi="ar"/>
              </w:rPr>
              <w:t>99</w:t>
            </w:r>
            <w:r>
              <w:rPr>
                <w:rFonts w:hint="eastAsia" w:ascii="仿宋_GB2312" w:hAnsi="宋体" w:eastAsia="仿宋_GB2312" w:cs="仿宋_GB2312"/>
                <w:color w:val="000000"/>
                <w:kern w:val="0"/>
                <w:szCs w:val="21"/>
                <w:lang w:bidi="ar"/>
              </w:rPr>
              <w:t xml:space="preserve"> </w:t>
            </w:r>
          </w:p>
        </w:tc>
        <w:tc>
          <w:tcPr>
            <w:tcW w:w="19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BDA0DBF">
            <w:pPr>
              <w:jc w:val="center"/>
              <w:rPr>
                <w:rFonts w:ascii="仿宋_GB2312" w:hAnsi="宋体" w:eastAsia="仿宋_GB2312" w:cs="仿宋_GB2312"/>
                <w:color w:val="000000"/>
                <w:szCs w:val="21"/>
              </w:rPr>
            </w:pPr>
          </w:p>
        </w:tc>
      </w:tr>
    </w:tbl>
    <w:p w14:paraId="60514D3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00"/>
    <w:family w:val="auto"/>
    <w:pitch w:val="default"/>
    <w:sig w:usb0="00000000" w:usb1="00000000" w:usb2="00000000" w:usb3="00000000" w:csb0="00000000" w:csb1="00000000"/>
  </w:font>
  <w:font w:name="汉仪书宋二KW">
    <w:altName w:val="宋体"/>
    <w:panose1 w:val="00020600040101010101"/>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xZmY0MGNmOWM5OTQ2MzdlMzg4M2ZhNTg3YWUyZGYifQ=="/>
  </w:docVars>
  <w:rsids>
    <w:rsidRoot w:val="00BE6578"/>
    <w:rsid w:val="00492A97"/>
    <w:rsid w:val="00631569"/>
    <w:rsid w:val="006A6CCE"/>
    <w:rsid w:val="00B32AA2"/>
    <w:rsid w:val="00B7202C"/>
    <w:rsid w:val="00BE6578"/>
    <w:rsid w:val="00C61F63"/>
    <w:rsid w:val="2CD80074"/>
    <w:rsid w:val="529C68D8"/>
    <w:rsid w:val="6D6F79FB"/>
    <w:rsid w:val="6E6B7EF9"/>
    <w:rsid w:val="7FDDA133"/>
    <w:rsid w:val="9EFF88D2"/>
    <w:rsid w:val="DD9BD41D"/>
    <w:rsid w:val="FF9B78E4"/>
    <w:rsid w:val="FFDD9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1575</Words>
  <Characters>1821</Characters>
  <Lines>15</Lines>
  <Paragraphs>4</Paragraphs>
  <TotalTime>2</TotalTime>
  <ScaleCrop>false</ScaleCrop>
  <LinksUpToDate>false</LinksUpToDate>
  <CharactersWithSpaces>1881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chenl</dc:creator>
  <cp:lastModifiedBy>真·大型肉食动物饲养员</cp:lastModifiedBy>
  <dcterms:modified xsi:type="dcterms:W3CDTF">2024-12-06T03:14:33Z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9A8F303E5DB6412495D42617171065C6_12</vt:lpwstr>
  </property>
</Properties>
</file>