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7337A">
      <w:pPr>
        <w:spacing w:line="560" w:lineRule="exact"/>
        <w:jc w:val="center"/>
        <w:rPr>
          <w:rFonts w:eastAsia="方正小标宋简体"/>
          <w:sz w:val="44"/>
          <w:szCs w:val="44"/>
        </w:rPr>
      </w:pPr>
      <w:bookmarkStart w:id="1" w:name="_GoBack"/>
      <w:bookmarkEnd w:id="1"/>
    </w:p>
    <w:p w14:paraId="0FFA659B">
      <w:pPr>
        <w:spacing w:line="560" w:lineRule="exact"/>
        <w:jc w:val="center"/>
        <w:rPr>
          <w:rFonts w:eastAsia="方正小标宋简体"/>
          <w:sz w:val="44"/>
          <w:szCs w:val="44"/>
        </w:rPr>
      </w:pPr>
      <w:r>
        <w:rPr>
          <w:rFonts w:eastAsia="方正小标宋简体"/>
          <w:sz w:val="44"/>
          <w:szCs w:val="44"/>
        </w:rPr>
        <w:t>中国共产党北京市委员会教育工作委员会</w:t>
      </w:r>
    </w:p>
    <w:p w14:paraId="7EF538A7">
      <w:pPr>
        <w:spacing w:line="560" w:lineRule="exact"/>
        <w:jc w:val="center"/>
        <w:rPr>
          <w:rFonts w:eastAsia="方正小标宋简体"/>
          <w:sz w:val="44"/>
          <w:szCs w:val="44"/>
        </w:rPr>
      </w:pPr>
      <w:r>
        <w:rPr>
          <w:rFonts w:hint="eastAsia" w:eastAsia="方正小标宋简体"/>
          <w:sz w:val="44"/>
          <w:szCs w:val="44"/>
        </w:rPr>
        <w:t>202</w:t>
      </w:r>
      <w:r>
        <w:rPr>
          <w:rFonts w:hint="eastAsia" w:eastAsia="方正小标宋简体"/>
          <w:sz w:val="44"/>
          <w:szCs w:val="44"/>
          <w:lang w:val="en-US" w:eastAsia="zh-CN"/>
        </w:rPr>
        <w:t>3</w:t>
      </w:r>
      <w:r>
        <w:rPr>
          <w:rFonts w:hint="eastAsia" w:eastAsia="方正小标宋简体"/>
          <w:sz w:val="44"/>
          <w:szCs w:val="44"/>
        </w:rPr>
        <w:t>年</w:t>
      </w:r>
      <w:r>
        <w:rPr>
          <w:rFonts w:eastAsia="方正小标宋简体"/>
          <w:sz w:val="44"/>
          <w:szCs w:val="44"/>
        </w:rPr>
        <w:t>部门整体绩效评价报告</w:t>
      </w:r>
    </w:p>
    <w:p w14:paraId="71685B1B">
      <w:pPr>
        <w:keepNext w:val="0"/>
        <w:keepLines w:val="0"/>
        <w:pageBreakBefore w:val="0"/>
        <w:widowControl w:val="0"/>
        <w:kinsoku/>
        <w:wordWrap/>
        <w:overflowPunct/>
        <w:topLinePunct w:val="0"/>
        <w:autoSpaceDN/>
        <w:bidi w:val="0"/>
        <w:adjustRightInd/>
        <w:spacing w:line="560" w:lineRule="exact"/>
        <w:jc w:val="center"/>
        <w:textAlignment w:val="auto"/>
        <w:rPr>
          <w:szCs w:val="30"/>
        </w:rPr>
      </w:pPr>
    </w:p>
    <w:p w14:paraId="2B885213">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黑体"/>
          <w:color w:val="000000"/>
          <w:kern w:val="0"/>
          <w:sz w:val="32"/>
          <w:szCs w:val="32"/>
        </w:rPr>
      </w:pPr>
      <w:r>
        <w:rPr>
          <w:rFonts w:eastAsia="黑体"/>
          <w:color w:val="000000"/>
          <w:kern w:val="0"/>
          <w:sz w:val="32"/>
          <w:szCs w:val="32"/>
        </w:rPr>
        <w:t>一、部门概况</w:t>
      </w:r>
    </w:p>
    <w:p w14:paraId="1284956C">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楷体_GB2312"/>
          <w:sz w:val="32"/>
          <w:szCs w:val="32"/>
        </w:rPr>
      </w:pPr>
      <w:r>
        <w:rPr>
          <w:rFonts w:eastAsia="楷体_GB2312"/>
          <w:sz w:val="32"/>
          <w:szCs w:val="32"/>
        </w:rPr>
        <w:t>（一）机构设置及职责工作任务情况</w:t>
      </w:r>
    </w:p>
    <w:p w14:paraId="42A6CDB5">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sz w:val="32"/>
          <w:szCs w:val="32"/>
        </w:rPr>
      </w:pPr>
      <w:r>
        <w:rPr>
          <w:rFonts w:eastAsia="仿宋_GB2312"/>
          <w:sz w:val="32"/>
          <w:szCs w:val="32"/>
        </w:rPr>
        <w:t>中国共产党北京市委员会教育工作委员会是市委工作机关，主要职能是贯彻落实党中央关于教育事业的方针政策、决策部署和市委有关工作要求，制定北京教育系统坚持党的领导、加强党的建设的措施并在职权范围内组织实施。统筹指导北京教育系统党的建设、思想政治、德育、干部人才、统战群工、安全稳定等工作。</w:t>
      </w:r>
    </w:p>
    <w:p w14:paraId="239757D7">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sz w:val="32"/>
          <w:szCs w:val="32"/>
        </w:rPr>
      </w:pPr>
      <w:r>
        <w:rPr>
          <w:rFonts w:eastAsia="仿宋_GB2312"/>
          <w:sz w:val="32"/>
          <w:szCs w:val="32"/>
        </w:rPr>
        <w:t>中国共产党北京市委员会教育工作委员会</w:t>
      </w:r>
      <w:r>
        <w:rPr>
          <w:rStyle w:val="13"/>
          <w:rFonts w:hint="eastAsia" w:ascii="仿宋_GB2312" w:hAnsi="仿宋_GB2312" w:eastAsia="仿宋_GB2312" w:cs="仿宋_GB2312"/>
          <w:bCs/>
          <w:color w:val="auto"/>
          <w:sz w:val="32"/>
          <w:szCs w:val="32"/>
          <w:u w:val="none"/>
        </w:rPr>
        <w:t>坚持以习近平新时代中国特色社会主义思想为指导，</w:t>
      </w:r>
      <w:r>
        <w:rPr>
          <w:rFonts w:hint="eastAsia" w:ascii="仿宋_GB2312" w:hAnsi="仿宋_GB2312" w:eastAsia="仿宋_GB2312" w:cs="仿宋_GB2312"/>
          <w:bCs/>
          <w:sz w:val="32"/>
          <w:szCs w:val="32"/>
        </w:rPr>
        <w:t>全面学习宣传贯彻党的二十大精神，</w:t>
      </w:r>
      <w:r>
        <w:rPr>
          <w:rFonts w:hint="eastAsia" w:ascii="仿宋_GB2312" w:hAnsi="仿宋_GB2312" w:eastAsia="仿宋_GB2312" w:cs="仿宋_GB2312"/>
          <w:bCs/>
          <w:sz w:val="32"/>
          <w:szCs w:val="32"/>
          <w:lang w:eastAsia="zh-CN"/>
        </w:rPr>
        <w:t>深入</w:t>
      </w:r>
      <w:r>
        <w:rPr>
          <w:rFonts w:hint="eastAsia" w:eastAsia="仿宋_GB2312"/>
          <w:sz w:val="32"/>
          <w:szCs w:val="32"/>
        </w:rPr>
        <w:t>贯彻落实</w:t>
      </w:r>
      <w:r>
        <w:rPr>
          <w:rFonts w:hint="eastAsia" w:ascii="仿宋_GB2312" w:eastAsia="仿宋_GB2312"/>
          <w:bCs/>
          <w:sz w:val="32"/>
          <w:szCs w:val="32"/>
        </w:rPr>
        <w:t>习近平总书记关于教育的重要论述</w:t>
      </w:r>
      <w:r>
        <w:rPr>
          <w:rFonts w:hint="eastAsia" w:ascii="仿宋_GB2312" w:eastAsia="仿宋_GB2312"/>
          <w:bCs/>
          <w:sz w:val="32"/>
          <w:szCs w:val="32"/>
          <w:lang w:eastAsia="zh-CN"/>
        </w:rPr>
        <w:t>和对北京重要讲话精神</w:t>
      </w:r>
      <w:r>
        <w:rPr>
          <w:rFonts w:hint="eastAsia" w:ascii="仿宋_GB2312" w:eastAsia="仿宋_GB2312"/>
          <w:bCs/>
          <w:sz w:val="32"/>
          <w:szCs w:val="32"/>
        </w:rPr>
        <w:t>，</w:t>
      </w:r>
      <w:r>
        <w:rPr>
          <w:rFonts w:hint="eastAsia" w:ascii="仿宋_GB2312" w:eastAsia="仿宋_GB2312"/>
          <w:sz w:val="32"/>
          <w:szCs w:val="32"/>
        </w:rPr>
        <w:t>落实市第十三次党代会</w:t>
      </w:r>
      <w:r>
        <w:rPr>
          <w:rFonts w:hint="eastAsia" w:eastAsia="仿宋_GB2312"/>
          <w:sz w:val="32"/>
          <w:szCs w:val="32"/>
          <w:lang w:eastAsia="zh-CN"/>
        </w:rPr>
        <w:t>和十三届二次、三次全会精神</w:t>
      </w:r>
      <w:r>
        <w:rPr>
          <w:rFonts w:hint="eastAsia" w:ascii="仿宋_GB2312" w:eastAsia="仿宋_GB2312"/>
          <w:sz w:val="32"/>
          <w:szCs w:val="32"/>
        </w:rPr>
        <w:t>，</w:t>
      </w:r>
      <w:r>
        <w:rPr>
          <w:rFonts w:hint="eastAsia" w:ascii="仿宋_GB2312" w:eastAsia="仿宋_GB2312"/>
          <w:sz w:val="32"/>
          <w:szCs w:val="32"/>
          <w:lang w:eastAsia="zh-CN"/>
        </w:rPr>
        <w:t>坚持和加强党对教育工作的全面领导，</w:t>
      </w:r>
      <w:r>
        <w:rPr>
          <w:rFonts w:hint="eastAsia" w:ascii="仿宋_GB2312" w:eastAsia="仿宋_GB2312"/>
          <w:bCs/>
          <w:sz w:val="32"/>
          <w:szCs w:val="32"/>
        </w:rPr>
        <w:t>全面贯彻党的教育方针，落实立德树人根本任务，</w:t>
      </w:r>
      <w:r>
        <w:rPr>
          <w:rFonts w:hint="eastAsia" w:ascii="仿宋_GB2312" w:hAnsi="仿宋_GB2312" w:eastAsia="仿宋_GB2312" w:cs="仿宋_GB2312"/>
          <w:bCs/>
          <w:sz w:val="32"/>
          <w:szCs w:val="32"/>
          <w:lang w:eastAsia="zh-CN"/>
        </w:rPr>
        <w:t>加快</w:t>
      </w:r>
      <w:r>
        <w:rPr>
          <w:rFonts w:hint="eastAsia" w:ascii="仿宋_GB2312" w:hAnsi="仿宋_GB2312" w:eastAsia="仿宋_GB2312" w:cs="仿宋_GB2312"/>
          <w:bCs/>
          <w:sz w:val="32"/>
          <w:szCs w:val="32"/>
        </w:rPr>
        <w:t>推进首都教育高质量发展，服务支撑北京“四个中心”功能建设，</w:t>
      </w:r>
      <w:r>
        <w:rPr>
          <w:rFonts w:hint="eastAsia" w:ascii="仿宋_GB2312" w:hAnsi="仿宋_GB2312" w:eastAsia="仿宋_GB2312" w:cs="仿宋_GB2312"/>
          <w:bCs/>
          <w:sz w:val="32"/>
          <w:szCs w:val="32"/>
          <w:lang w:eastAsia="zh-CN"/>
        </w:rPr>
        <w:t>有力维护</w:t>
      </w:r>
      <w:r>
        <w:rPr>
          <w:rFonts w:hint="eastAsia" w:ascii="仿宋_GB2312" w:hAnsi="仿宋_GB2312" w:eastAsia="仿宋_GB2312" w:cs="仿宋_GB2312"/>
          <w:bCs/>
          <w:sz w:val="32"/>
          <w:szCs w:val="32"/>
        </w:rPr>
        <w:t>教育系统安全稳定</w:t>
      </w:r>
      <w:r>
        <w:rPr>
          <w:rFonts w:hint="eastAsia" w:ascii="仿宋_GB2312" w:hAnsi="仿宋_GB2312" w:eastAsia="仿宋_GB2312" w:cs="仿宋_GB2312"/>
          <w:bCs/>
          <w:sz w:val="32"/>
          <w:szCs w:val="32"/>
          <w:lang w:eastAsia="zh-CN"/>
        </w:rPr>
        <w:t>，</w:t>
      </w:r>
      <w:r>
        <w:rPr>
          <w:rFonts w:eastAsia="仿宋_GB2312"/>
          <w:sz w:val="32"/>
          <w:szCs w:val="32"/>
        </w:rPr>
        <w:t>坚定不移推进全面从严治党</w:t>
      </w:r>
      <w:r>
        <w:rPr>
          <w:rFonts w:hint="eastAsia" w:eastAsia="仿宋_GB2312"/>
          <w:sz w:val="32"/>
          <w:szCs w:val="32"/>
          <w:lang w:eastAsia="zh-CN"/>
        </w:rPr>
        <w:t>，</w:t>
      </w:r>
      <w:r>
        <w:rPr>
          <w:rFonts w:hint="eastAsia" w:ascii="仿宋_GB2312" w:hAnsi="仿宋_GB2312" w:eastAsia="仿宋_GB2312" w:cs="仿宋_GB2312"/>
          <w:bCs/>
          <w:sz w:val="32"/>
          <w:szCs w:val="32"/>
        </w:rPr>
        <w:t>努力</w:t>
      </w:r>
      <w:r>
        <w:rPr>
          <w:rFonts w:hint="eastAsia" w:ascii="仿宋_GB2312" w:eastAsia="仿宋_GB2312"/>
          <w:bCs/>
          <w:sz w:val="32"/>
          <w:szCs w:val="32"/>
        </w:rPr>
        <w:t>办好人民满意的首都教育</w:t>
      </w:r>
      <w:r>
        <w:rPr>
          <w:rFonts w:eastAsia="仿宋_GB2312"/>
          <w:sz w:val="32"/>
          <w:szCs w:val="32"/>
        </w:rPr>
        <w:t>。</w:t>
      </w:r>
    </w:p>
    <w:p w14:paraId="024B6D85">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楷体_GB2312"/>
          <w:sz w:val="32"/>
          <w:szCs w:val="32"/>
        </w:rPr>
      </w:pPr>
      <w:r>
        <w:rPr>
          <w:rFonts w:eastAsia="楷体_GB2312"/>
          <w:sz w:val="32"/>
          <w:szCs w:val="32"/>
        </w:rPr>
        <w:t>（二）部门整体绩效目标设立情况（包括绩效目标设立依据、目标与职责任务匹配情况、目标合理性等）。</w:t>
      </w:r>
    </w:p>
    <w:p w14:paraId="62E67BC7">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color w:val="000000"/>
          <w:kern w:val="0"/>
          <w:sz w:val="32"/>
          <w:szCs w:val="32"/>
        </w:rPr>
      </w:pPr>
      <w:r>
        <w:rPr>
          <w:rFonts w:eastAsia="仿宋_GB2312"/>
          <w:sz w:val="32"/>
          <w:szCs w:val="32"/>
        </w:rPr>
        <w:t>中国共产党北京市委员会教育工作委员会</w:t>
      </w:r>
      <w:r>
        <w:rPr>
          <w:rFonts w:eastAsia="仿宋_GB2312"/>
          <w:color w:val="000000"/>
          <w:kern w:val="0"/>
          <w:sz w:val="32"/>
          <w:szCs w:val="32"/>
        </w:rPr>
        <w:t>202</w:t>
      </w:r>
      <w:r>
        <w:rPr>
          <w:rFonts w:hint="eastAsia" w:eastAsia="仿宋_GB2312"/>
          <w:color w:val="000000"/>
          <w:kern w:val="0"/>
          <w:sz w:val="32"/>
          <w:szCs w:val="32"/>
          <w:lang w:val="en-US" w:eastAsia="zh-CN"/>
        </w:rPr>
        <w:t>3</w:t>
      </w:r>
      <w:r>
        <w:rPr>
          <w:rFonts w:eastAsia="仿宋_GB2312"/>
          <w:color w:val="000000"/>
          <w:kern w:val="0"/>
          <w:sz w:val="32"/>
          <w:szCs w:val="32"/>
        </w:rPr>
        <w:t>年部门整体绩效目标依据《中共北京市委教育工作委员会北京市教育委员会关于印发202</w:t>
      </w:r>
      <w:r>
        <w:rPr>
          <w:rFonts w:hint="eastAsia" w:eastAsia="仿宋_GB2312"/>
          <w:color w:val="000000"/>
          <w:kern w:val="0"/>
          <w:sz w:val="32"/>
          <w:szCs w:val="32"/>
          <w:lang w:val="en-US" w:eastAsia="zh-CN"/>
        </w:rPr>
        <w:t>3</w:t>
      </w:r>
      <w:r>
        <w:rPr>
          <w:rFonts w:eastAsia="仿宋_GB2312"/>
          <w:color w:val="000000"/>
          <w:kern w:val="0"/>
          <w:sz w:val="32"/>
          <w:szCs w:val="32"/>
        </w:rPr>
        <w:t>年工作要点的通知》（京教工〔202</w:t>
      </w:r>
      <w:r>
        <w:rPr>
          <w:rFonts w:hint="eastAsia" w:eastAsia="仿宋_GB2312"/>
          <w:color w:val="000000"/>
          <w:kern w:val="0"/>
          <w:sz w:val="32"/>
          <w:szCs w:val="32"/>
          <w:lang w:val="en-US" w:eastAsia="zh-CN"/>
        </w:rPr>
        <w:t>3</w:t>
      </w:r>
      <w:r>
        <w:rPr>
          <w:rFonts w:eastAsia="仿宋_GB2312"/>
          <w:color w:val="000000"/>
          <w:kern w:val="0"/>
          <w:sz w:val="32"/>
          <w:szCs w:val="32"/>
        </w:rPr>
        <w:t>〕</w:t>
      </w:r>
      <w:r>
        <w:rPr>
          <w:rFonts w:hint="eastAsia" w:eastAsia="仿宋_GB2312"/>
          <w:color w:val="000000"/>
          <w:kern w:val="0"/>
          <w:sz w:val="32"/>
          <w:szCs w:val="32"/>
          <w:lang w:val="en-US" w:eastAsia="zh-CN"/>
        </w:rPr>
        <w:t>9</w:t>
      </w:r>
      <w:r>
        <w:rPr>
          <w:rFonts w:eastAsia="仿宋_GB2312"/>
          <w:color w:val="000000"/>
          <w:kern w:val="0"/>
          <w:sz w:val="32"/>
          <w:szCs w:val="32"/>
        </w:rPr>
        <w:t>号），对照部门工作职责和年度要点，合理预计在本年度内履职所能达到的总体产出和效果，将其设立为部门总体目标。同时，结合各处室具体工作职责和任务，概括、提炼最能反映工作任务预期实现程度的关键性指标，将其确定为相应的绩效指标。部门整体绩效目标设立较为明确、合理，与市委教育工委职能相符。</w:t>
      </w:r>
    </w:p>
    <w:p w14:paraId="1EC88490">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黑体"/>
          <w:color w:val="000000"/>
          <w:kern w:val="0"/>
          <w:sz w:val="32"/>
          <w:szCs w:val="32"/>
        </w:rPr>
      </w:pPr>
      <w:r>
        <w:rPr>
          <w:rFonts w:eastAsia="黑体"/>
          <w:color w:val="000000"/>
          <w:kern w:val="0"/>
          <w:sz w:val="32"/>
          <w:szCs w:val="32"/>
        </w:rPr>
        <w:t>二、当年预算执行情况</w:t>
      </w:r>
    </w:p>
    <w:p w14:paraId="67CD992F">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color w:val="000000"/>
          <w:kern w:val="0"/>
          <w:sz w:val="32"/>
          <w:szCs w:val="32"/>
        </w:rPr>
      </w:pPr>
      <w:r>
        <w:rPr>
          <w:rFonts w:eastAsia="仿宋_GB2312"/>
          <w:kern w:val="0"/>
          <w:sz w:val="32"/>
          <w:szCs w:val="32"/>
        </w:rPr>
        <w:t>202</w:t>
      </w:r>
      <w:r>
        <w:rPr>
          <w:rFonts w:hint="eastAsia" w:eastAsia="仿宋_GB2312"/>
          <w:kern w:val="0"/>
          <w:sz w:val="32"/>
          <w:szCs w:val="32"/>
          <w:lang w:val="en-US" w:eastAsia="zh-CN"/>
        </w:rPr>
        <w:t>3</w:t>
      </w:r>
      <w:r>
        <w:rPr>
          <w:rFonts w:eastAsia="仿宋_GB2312"/>
          <w:color w:val="000000"/>
          <w:kern w:val="0"/>
          <w:sz w:val="32"/>
          <w:szCs w:val="32"/>
        </w:rPr>
        <w:t>年全年预算数</w:t>
      </w:r>
      <w:r>
        <w:rPr>
          <w:rFonts w:hint="eastAsia" w:eastAsia="仿宋_GB2312"/>
          <w:color w:val="000000"/>
          <w:kern w:val="0"/>
          <w:sz w:val="32"/>
          <w:szCs w:val="32"/>
        </w:rPr>
        <w:t>29582</w:t>
      </w:r>
      <w:r>
        <w:rPr>
          <w:rFonts w:hint="eastAsia" w:eastAsia="仿宋_GB2312"/>
          <w:color w:val="000000"/>
          <w:kern w:val="0"/>
          <w:sz w:val="32"/>
          <w:szCs w:val="32"/>
          <w:lang w:val="en-US" w:eastAsia="zh-CN"/>
        </w:rPr>
        <w:t>.</w:t>
      </w:r>
      <w:r>
        <w:rPr>
          <w:rFonts w:hint="eastAsia" w:eastAsia="仿宋_GB2312"/>
          <w:color w:val="000000"/>
          <w:kern w:val="0"/>
          <w:sz w:val="32"/>
          <w:szCs w:val="32"/>
        </w:rPr>
        <w:t>1</w:t>
      </w:r>
      <w:r>
        <w:rPr>
          <w:rFonts w:hint="eastAsia" w:eastAsia="仿宋_GB2312"/>
          <w:color w:val="000000"/>
          <w:kern w:val="0"/>
          <w:sz w:val="32"/>
          <w:szCs w:val="32"/>
          <w:lang w:val="en-US" w:eastAsia="zh-CN"/>
        </w:rPr>
        <w:t>4</w:t>
      </w:r>
      <w:r>
        <w:rPr>
          <w:rFonts w:eastAsia="仿宋_GB2312"/>
          <w:color w:val="000000"/>
          <w:kern w:val="0"/>
          <w:sz w:val="32"/>
          <w:szCs w:val="32"/>
        </w:rPr>
        <w:t>万元，其中，基本支出预算数</w:t>
      </w:r>
      <w:r>
        <w:rPr>
          <w:rFonts w:hint="eastAsia" w:eastAsia="仿宋_GB2312"/>
          <w:color w:val="000000"/>
          <w:kern w:val="0"/>
          <w:sz w:val="32"/>
          <w:szCs w:val="32"/>
        </w:rPr>
        <w:t>5326</w:t>
      </w:r>
      <w:r>
        <w:rPr>
          <w:rFonts w:hint="eastAsia" w:eastAsia="仿宋_GB2312"/>
          <w:color w:val="000000"/>
          <w:kern w:val="0"/>
          <w:sz w:val="32"/>
          <w:szCs w:val="32"/>
          <w:lang w:val="en-US" w:eastAsia="zh-CN"/>
        </w:rPr>
        <w:t>.</w:t>
      </w:r>
      <w:r>
        <w:rPr>
          <w:rFonts w:hint="eastAsia" w:eastAsia="仿宋_GB2312"/>
          <w:color w:val="000000"/>
          <w:kern w:val="0"/>
          <w:sz w:val="32"/>
          <w:szCs w:val="32"/>
        </w:rPr>
        <w:t>87</w:t>
      </w:r>
      <w:r>
        <w:rPr>
          <w:rFonts w:eastAsia="仿宋_GB2312"/>
          <w:color w:val="000000"/>
          <w:kern w:val="0"/>
          <w:sz w:val="32"/>
          <w:szCs w:val="32"/>
        </w:rPr>
        <w:t>万元，项目支出预算数</w:t>
      </w:r>
      <w:r>
        <w:rPr>
          <w:rFonts w:hint="eastAsia" w:eastAsia="仿宋_GB2312"/>
          <w:color w:val="000000"/>
          <w:kern w:val="0"/>
          <w:sz w:val="32"/>
          <w:szCs w:val="32"/>
        </w:rPr>
        <w:t>24255</w:t>
      </w:r>
      <w:r>
        <w:rPr>
          <w:rFonts w:hint="eastAsia" w:eastAsia="仿宋_GB2312"/>
          <w:color w:val="000000"/>
          <w:kern w:val="0"/>
          <w:sz w:val="32"/>
          <w:szCs w:val="32"/>
          <w:lang w:val="en-US" w:eastAsia="zh-CN"/>
        </w:rPr>
        <w:t>.</w:t>
      </w:r>
      <w:r>
        <w:rPr>
          <w:rFonts w:hint="eastAsia" w:eastAsia="仿宋_GB2312"/>
          <w:color w:val="000000"/>
          <w:kern w:val="0"/>
          <w:sz w:val="32"/>
          <w:szCs w:val="32"/>
        </w:rPr>
        <w:t>2</w:t>
      </w:r>
      <w:r>
        <w:rPr>
          <w:rFonts w:hint="eastAsia" w:eastAsia="仿宋_GB2312"/>
          <w:color w:val="000000"/>
          <w:kern w:val="0"/>
          <w:sz w:val="32"/>
          <w:szCs w:val="32"/>
          <w:lang w:val="en-US" w:eastAsia="zh-CN"/>
        </w:rPr>
        <w:t>7</w:t>
      </w:r>
      <w:r>
        <w:rPr>
          <w:rFonts w:eastAsia="仿宋_GB2312"/>
          <w:color w:val="000000"/>
          <w:kern w:val="0"/>
          <w:sz w:val="32"/>
          <w:szCs w:val="32"/>
        </w:rPr>
        <w:t>万元，其他支出预算数0万元。资金总体支出</w:t>
      </w:r>
      <w:r>
        <w:rPr>
          <w:rFonts w:hint="eastAsia" w:eastAsia="仿宋_GB2312"/>
          <w:color w:val="000000"/>
          <w:kern w:val="0"/>
          <w:sz w:val="32"/>
          <w:szCs w:val="32"/>
        </w:rPr>
        <w:t>27917</w:t>
      </w:r>
      <w:r>
        <w:rPr>
          <w:rFonts w:hint="eastAsia" w:eastAsia="仿宋_GB2312"/>
          <w:color w:val="000000"/>
          <w:kern w:val="0"/>
          <w:sz w:val="32"/>
          <w:szCs w:val="32"/>
          <w:lang w:val="en-US" w:eastAsia="zh-CN"/>
        </w:rPr>
        <w:t>.</w:t>
      </w:r>
      <w:r>
        <w:rPr>
          <w:rFonts w:hint="eastAsia" w:eastAsia="仿宋_GB2312"/>
          <w:color w:val="000000"/>
          <w:kern w:val="0"/>
          <w:sz w:val="32"/>
          <w:szCs w:val="32"/>
        </w:rPr>
        <w:t>21</w:t>
      </w:r>
      <w:r>
        <w:rPr>
          <w:rFonts w:eastAsia="仿宋_GB2312"/>
          <w:color w:val="000000"/>
          <w:kern w:val="0"/>
          <w:sz w:val="32"/>
          <w:szCs w:val="32"/>
        </w:rPr>
        <w:t>万元，其中，基本支出</w:t>
      </w:r>
      <w:r>
        <w:rPr>
          <w:rFonts w:hint="eastAsia" w:eastAsia="仿宋_GB2312"/>
          <w:color w:val="000000"/>
          <w:kern w:val="0"/>
          <w:sz w:val="32"/>
          <w:szCs w:val="32"/>
        </w:rPr>
        <w:t>5226</w:t>
      </w:r>
      <w:r>
        <w:rPr>
          <w:rFonts w:hint="eastAsia" w:eastAsia="仿宋_GB2312"/>
          <w:color w:val="000000"/>
          <w:kern w:val="0"/>
          <w:sz w:val="32"/>
          <w:szCs w:val="32"/>
          <w:lang w:val="en-US" w:eastAsia="zh-CN"/>
        </w:rPr>
        <w:t>.</w:t>
      </w:r>
      <w:r>
        <w:rPr>
          <w:rFonts w:hint="eastAsia" w:eastAsia="仿宋_GB2312"/>
          <w:color w:val="000000"/>
          <w:kern w:val="0"/>
          <w:sz w:val="32"/>
          <w:szCs w:val="32"/>
        </w:rPr>
        <w:t>4</w:t>
      </w:r>
      <w:r>
        <w:rPr>
          <w:rFonts w:hint="eastAsia" w:eastAsia="仿宋_GB2312"/>
          <w:color w:val="000000"/>
          <w:kern w:val="0"/>
          <w:sz w:val="32"/>
          <w:szCs w:val="32"/>
          <w:lang w:val="en-US" w:eastAsia="zh-CN"/>
        </w:rPr>
        <w:t>1</w:t>
      </w:r>
      <w:r>
        <w:rPr>
          <w:rFonts w:eastAsia="仿宋_GB2312"/>
          <w:color w:val="000000"/>
          <w:kern w:val="0"/>
          <w:sz w:val="32"/>
          <w:szCs w:val="32"/>
        </w:rPr>
        <w:t>万元，项目支出</w:t>
      </w:r>
      <w:r>
        <w:rPr>
          <w:rFonts w:hint="eastAsia" w:eastAsia="仿宋_GB2312"/>
          <w:color w:val="000000"/>
          <w:kern w:val="0"/>
          <w:sz w:val="32"/>
          <w:szCs w:val="32"/>
        </w:rPr>
        <w:t>22690</w:t>
      </w:r>
      <w:r>
        <w:rPr>
          <w:rFonts w:hint="eastAsia" w:eastAsia="仿宋_GB2312"/>
          <w:color w:val="000000"/>
          <w:kern w:val="0"/>
          <w:sz w:val="32"/>
          <w:szCs w:val="32"/>
          <w:lang w:val="en-US" w:eastAsia="zh-CN"/>
        </w:rPr>
        <w:t>.</w:t>
      </w:r>
      <w:r>
        <w:rPr>
          <w:rFonts w:hint="eastAsia" w:eastAsia="仿宋_GB2312"/>
          <w:color w:val="000000"/>
          <w:kern w:val="0"/>
          <w:sz w:val="32"/>
          <w:szCs w:val="32"/>
        </w:rPr>
        <w:t>8</w:t>
      </w:r>
      <w:r>
        <w:rPr>
          <w:rFonts w:eastAsia="仿宋_GB2312"/>
          <w:color w:val="000000"/>
          <w:kern w:val="0"/>
          <w:sz w:val="32"/>
          <w:szCs w:val="32"/>
        </w:rPr>
        <w:t>万元，其他支出0万元。预算执行率为94</w:t>
      </w:r>
      <w:r>
        <w:rPr>
          <w:rFonts w:hint="eastAsia" w:eastAsia="仿宋_GB2312"/>
          <w:color w:val="000000"/>
          <w:kern w:val="0"/>
          <w:sz w:val="32"/>
          <w:szCs w:val="32"/>
          <w:lang w:val="en-US" w:eastAsia="zh-CN"/>
        </w:rPr>
        <w:t>.37</w:t>
      </w:r>
      <w:r>
        <w:rPr>
          <w:rFonts w:eastAsia="仿宋_GB2312"/>
          <w:color w:val="000000"/>
          <w:kern w:val="0"/>
          <w:sz w:val="32"/>
          <w:szCs w:val="32"/>
        </w:rPr>
        <w:t>%。</w:t>
      </w:r>
    </w:p>
    <w:p w14:paraId="41CF0375">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黑体"/>
          <w:color w:val="000000"/>
          <w:kern w:val="0"/>
          <w:sz w:val="32"/>
          <w:szCs w:val="32"/>
          <w:highlight w:val="none"/>
        </w:rPr>
      </w:pPr>
      <w:r>
        <w:rPr>
          <w:rFonts w:eastAsia="黑体"/>
          <w:color w:val="000000"/>
          <w:kern w:val="0"/>
          <w:sz w:val="32"/>
          <w:szCs w:val="32"/>
          <w:highlight w:val="none"/>
        </w:rPr>
        <w:t>三、整体绩效目标实现情况</w:t>
      </w:r>
    </w:p>
    <w:p w14:paraId="0FA4C658">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楷体_GB2312"/>
          <w:sz w:val="32"/>
          <w:szCs w:val="32"/>
          <w:highlight w:val="none"/>
        </w:rPr>
      </w:pPr>
      <w:r>
        <w:rPr>
          <w:rFonts w:eastAsia="楷体_GB2312"/>
          <w:sz w:val="32"/>
          <w:szCs w:val="32"/>
          <w:highlight w:val="none"/>
        </w:rPr>
        <w:t>（一）产出完成情况分析</w:t>
      </w:r>
    </w:p>
    <w:p w14:paraId="376FB64E">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楷体_GB2312"/>
          <w:sz w:val="32"/>
          <w:szCs w:val="32"/>
          <w:highlight w:val="none"/>
        </w:rPr>
      </w:pPr>
      <w:r>
        <w:rPr>
          <w:rFonts w:eastAsia="仿宋_GB2312"/>
          <w:color w:val="000000"/>
          <w:kern w:val="0"/>
          <w:sz w:val="32"/>
          <w:szCs w:val="32"/>
          <w:highlight w:val="none"/>
        </w:rPr>
        <w:t>1.产出数量</w:t>
      </w:r>
    </w:p>
    <w:p w14:paraId="76DCC075">
      <w:pPr>
        <w:pStyle w:val="16"/>
        <w:keepNext w:val="0"/>
        <w:keepLines w:val="0"/>
        <w:pageBreakBefore w:val="0"/>
        <w:widowControl w:val="0"/>
        <w:kinsoku/>
        <w:wordWrap/>
        <w:overflowPunct/>
        <w:topLinePunct w:val="0"/>
        <w:autoSpaceDN/>
        <w:bidi w:val="0"/>
        <w:adjustRightInd/>
        <w:snapToGrid w:val="0"/>
        <w:spacing w:line="560" w:lineRule="exact"/>
        <w:textAlignment w:val="auto"/>
        <w:rPr>
          <w:rFonts w:ascii="仿宋_GB2312" w:hAnsi="仿宋_GB2312" w:cs="仿宋_GB2312"/>
          <w:sz w:val="32"/>
          <w:szCs w:val="32"/>
          <w:highlight w:val="none"/>
          <w:shd w:val="clear" w:color="auto" w:fill="FFFFFF"/>
        </w:rPr>
      </w:pPr>
      <w:r>
        <w:rPr>
          <w:rFonts w:eastAsia="仿宋_GB2312"/>
          <w:color w:val="000000"/>
          <w:kern w:val="0"/>
          <w:sz w:val="32"/>
          <w:szCs w:val="32"/>
          <w:highlight w:val="none"/>
        </w:rPr>
        <w:t>完成重大任务方面：</w:t>
      </w:r>
      <w:r>
        <w:rPr>
          <w:rFonts w:ascii="仿宋_GB2312" w:hAnsi="仿宋_GB2312" w:cs="仿宋_GB2312"/>
          <w:sz w:val="32"/>
          <w:szCs w:val="32"/>
          <w:highlight w:val="none"/>
        </w:rPr>
        <w:t>扎实开展学习贯彻习近平新时代中国特色社会主义思想主题教育</w:t>
      </w:r>
      <w:r>
        <w:rPr>
          <w:rFonts w:hint="eastAsia" w:ascii="仿宋_GB2312" w:hAnsi="仿宋_GB2312" w:cs="仿宋_GB2312"/>
          <w:sz w:val="32"/>
          <w:szCs w:val="32"/>
          <w:highlight w:val="none"/>
          <w:lang w:eastAsia="zh-CN"/>
        </w:rPr>
        <w:t>。</w:t>
      </w:r>
      <w:r>
        <w:rPr>
          <w:rFonts w:ascii="仿宋_GB2312" w:hAnsi="仿宋_GB2312" w:cs="仿宋_GB2312"/>
          <w:sz w:val="32"/>
          <w:szCs w:val="32"/>
          <w:highlight w:val="none"/>
        </w:rPr>
        <w:t>牢牢把握“学思想、强党性、重实践、建新功”总要求，抓好机关、指导高校、引领系统。与教育部、市委组织部等开展联学</w:t>
      </w:r>
      <w:r>
        <w:rPr>
          <w:rFonts w:hint="default" w:cs="Times New Roman"/>
          <w:sz w:val="32"/>
          <w:szCs w:val="32"/>
          <w:highlight w:val="none"/>
        </w:rPr>
        <w:t>6</w:t>
      </w:r>
      <w:r>
        <w:rPr>
          <w:rFonts w:ascii="仿宋_GB2312" w:hAnsi="仿宋_GB2312" w:cs="仿宋_GB2312"/>
          <w:sz w:val="32"/>
          <w:szCs w:val="32"/>
          <w:highlight w:val="none"/>
        </w:rPr>
        <w:t>次，讲好专题党课，</w:t>
      </w:r>
      <w:r>
        <w:rPr>
          <w:rFonts w:ascii="仿宋_GB2312" w:hAnsi="仿宋_GB2312" w:cs="仿宋_GB2312"/>
          <w:bCs/>
          <w:sz w:val="32"/>
          <w:szCs w:val="32"/>
          <w:highlight w:val="none"/>
        </w:rPr>
        <w:t>“六学”联动推进理论学习“五覆盖”</w:t>
      </w:r>
      <w:r>
        <w:rPr>
          <w:rFonts w:ascii="仿宋_GB2312" w:hAnsi="仿宋_GB2312" w:cs="仿宋_GB2312"/>
          <w:sz w:val="32"/>
          <w:szCs w:val="32"/>
          <w:highlight w:val="none"/>
        </w:rPr>
        <w:t>。开展领题调研、集体调研，</w:t>
      </w:r>
      <w:r>
        <w:rPr>
          <w:rFonts w:hint="eastAsia" w:cs="Times New Roman"/>
          <w:sz w:val="32"/>
          <w:szCs w:val="32"/>
          <w:highlight w:val="none"/>
          <w:lang w:val="en-US" w:eastAsia="zh-CN"/>
        </w:rPr>
        <w:t>55</w:t>
      </w:r>
      <w:r>
        <w:rPr>
          <w:rFonts w:hint="default" w:cs="Times New Roman"/>
          <w:sz w:val="32"/>
          <w:szCs w:val="32"/>
          <w:highlight w:val="none"/>
        </w:rPr>
        <w:t>项</w:t>
      </w:r>
      <w:r>
        <w:rPr>
          <w:rFonts w:ascii="仿宋_GB2312" w:hAnsi="仿宋_GB2312" w:cs="仿宋_GB2312"/>
          <w:sz w:val="32"/>
          <w:szCs w:val="32"/>
          <w:highlight w:val="none"/>
        </w:rPr>
        <w:t>调研课题全部完成。聚焦构建中小学通学公共交通体系，成立市级工作专班，对</w:t>
      </w:r>
      <w:r>
        <w:rPr>
          <w:rFonts w:hint="default" w:cs="Times New Roman"/>
          <w:sz w:val="32"/>
          <w:szCs w:val="32"/>
          <w:highlight w:val="none"/>
        </w:rPr>
        <w:t>17所试点校进行多轮摸底，规划25条线路、制定近30项制度、优化103条公交线路、解决7760项校园周边治理问题</w:t>
      </w:r>
      <w:r>
        <w:rPr>
          <w:rFonts w:ascii="仿宋_GB2312" w:hAnsi="仿宋_GB2312" w:cs="仿宋_GB2312"/>
          <w:sz w:val="32"/>
          <w:szCs w:val="32"/>
          <w:highlight w:val="none"/>
        </w:rPr>
        <w:t>。聚焦推动发展，以项目制推进完成</w:t>
      </w:r>
      <w:r>
        <w:rPr>
          <w:rFonts w:cs="Times New Roman"/>
          <w:sz w:val="32"/>
          <w:szCs w:val="32"/>
          <w:highlight w:val="none"/>
        </w:rPr>
        <w:t>256</w:t>
      </w:r>
      <w:r>
        <w:rPr>
          <w:rFonts w:ascii="仿宋_GB2312" w:hAnsi="仿宋_GB2312" w:cs="仿宋_GB2312"/>
          <w:sz w:val="32"/>
          <w:szCs w:val="32"/>
          <w:highlight w:val="none"/>
        </w:rPr>
        <w:t>项重点任务。</w:t>
      </w:r>
      <w:r>
        <w:rPr>
          <w:rFonts w:hint="eastAsia" w:ascii="仿宋_GB2312" w:hAnsi="仿宋_GB2312" w:eastAsia="仿宋_GB2312" w:cs="仿宋_GB2312"/>
          <w:sz w:val="32"/>
          <w:szCs w:val="32"/>
          <w:highlight w:val="none"/>
        </w:rPr>
        <w:t>充分发挥市委教育工作领导小组抓大事、议要事作用，</w:t>
      </w:r>
      <w:r>
        <w:rPr>
          <w:rFonts w:ascii="仿宋_GB2312" w:eastAsia="仿宋_GB2312"/>
          <w:bCs/>
          <w:sz w:val="32"/>
          <w:szCs w:val="32"/>
          <w:highlight w:val="none"/>
        </w:rPr>
        <w:t>研究推进</w:t>
      </w:r>
      <w:r>
        <w:rPr>
          <w:rFonts w:ascii="仿宋_GB2312" w:eastAsia="仿宋_GB2312"/>
          <w:sz w:val="32"/>
          <w:szCs w:val="32"/>
          <w:highlight w:val="none"/>
        </w:rPr>
        <w:t>重点改革</w:t>
      </w:r>
      <w:r>
        <w:rPr>
          <w:rFonts w:hint="eastAsia" w:ascii="仿宋_GB2312" w:eastAsia="仿宋_GB2312"/>
          <w:sz w:val="32"/>
          <w:szCs w:val="32"/>
          <w:highlight w:val="none"/>
        </w:rPr>
        <w:t>任务落实，</w:t>
      </w:r>
      <w:r>
        <w:rPr>
          <w:rFonts w:ascii="仿宋_GB2312" w:eastAsia="仿宋_GB2312"/>
          <w:sz w:val="32"/>
          <w:szCs w:val="32"/>
          <w:highlight w:val="none"/>
        </w:rPr>
        <w:t>清单式推进市委市政府领导批办和会议决策事</w:t>
      </w:r>
      <w:r>
        <w:rPr>
          <w:rFonts w:ascii="Times New Roman" w:hAnsi="Times New Roman" w:eastAsia="仿宋_GB2312" w:cs="Times New Roman"/>
          <w:sz w:val="32"/>
          <w:szCs w:val="32"/>
          <w:highlight w:val="none"/>
        </w:rPr>
        <w:t>项621件</w:t>
      </w:r>
      <w:r>
        <w:rPr>
          <w:rFonts w:ascii="仿宋_GB2312" w:eastAsia="仿宋_GB2312"/>
          <w:sz w:val="32"/>
          <w:szCs w:val="32"/>
          <w:highlight w:val="none"/>
        </w:rPr>
        <w:t>。</w:t>
      </w:r>
    </w:p>
    <w:p w14:paraId="67E92E1B">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eastAsia="仿宋_GB2312"/>
          <w:bCs/>
          <w:kern w:val="44"/>
          <w:sz w:val="32"/>
          <w:szCs w:val="32"/>
          <w:highlight w:val="none"/>
        </w:rPr>
      </w:pPr>
      <w:r>
        <w:rPr>
          <w:rFonts w:eastAsia="仿宋_GB2312"/>
          <w:color w:val="000000"/>
          <w:kern w:val="0"/>
          <w:sz w:val="32"/>
          <w:szCs w:val="32"/>
          <w:highlight w:val="none"/>
        </w:rPr>
        <w:t>落实立德树人方面：</w:t>
      </w:r>
      <w:r>
        <w:rPr>
          <w:rFonts w:hint="eastAsia" w:ascii="仿宋_GB2312" w:hAnsi="仿宋_GB2312" w:eastAsia="仿宋_GB2312" w:cs="仿宋_GB2312"/>
          <w:bCs/>
          <w:sz w:val="32"/>
          <w:szCs w:val="32"/>
          <w:highlight w:val="none"/>
        </w:rPr>
        <w:t>指导高校开好“习近平新时代中国特色社会主义思想概论”必修课程。纵深推进以实践教学为主题的“大思政课”综合改革，组织</w:t>
      </w:r>
      <w:r>
        <w:rPr>
          <w:rFonts w:hint="eastAsia" w:ascii="Times New Roman" w:hAnsi="Times New Roman" w:eastAsia="仿宋_GB2312" w:cs="Times New Roman"/>
          <w:sz w:val="32"/>
          <w:szCs w:val="32"/>
          <w:highlight w:val="none"/>
        </w:rPr>
        <w:t>20余</w:t>
      </w:r>
      <w:r>
        <w:rPr>
          <w:rFonts w:hint="eastAsia" w:ascii="仿宋_GB2312" w:hAnsi="仿宋_GB2312" w:eastAsia="仿宋_GB2312" w:cs="仿宋_GB2312"/>
          <w:bCs/>
          <w:sz w:val="32"/>
          <w:szCs w:val="32"/>
          <w:highlight w:val="none"/>
        </w:rPr>
        <w:t>万学生参与“千人百村”、红色“</w:t>
      </w:r>
      <w:r>
        <w:rPr>
          <w:rFonts w:hint="eastAsia" w:ascii="Times New Roman" w:hAnsi="Times New Roman" w:eastAsia="仿宋_GB2312" w:cs="Times New Roman"/>
          <w:sz w:val="32"/>
          <w:szCs w:val="32"/>
          <w:highlight w:val="none"/>
        </w:rPr>
        <w:t>1+1</w:t>
      </w:r>
      <w:r>
        <w:rPr>
          <w:rFonts w:hint="eastAsia" w:ascii="仿宋_GB2312" w:hAnsi="仿宋_GB2312" w:eastAsia="仿宋_GB2312" w:cs="仿宋_GB2312"/>
          <w:bCs/>
          <w:sz w:val="32"/>
          <w:szCs w:val="32"/>
          <w:highlight w:val="none"/>
        </w:rPr>
        <w:t>”等实践调研，得到中央领导同志批示肯定。推进大中小学思想政治教育一体化，</w:t>
      </w:r>
      <w:r>
        <w:rPr>
          <w:rFonts w:hint="eastAsia" w:ascii="仿宋_GB2312" w:hAnsi="仿宋_GB2312" w:eastAsia="仿宋_GB2312" w:cs="仿宋_GB2312"/>
          <w:bCs/>
          <w:kern w:val="36"/>
          <w:sz w:val="32"/>
          <w:szCs w:val="32"/>
          <w:highlight w:val="none"/>
        </w:rPr>
        <w:t>试点</w:t>
      </w:r>
      <w:r>
        <w:rPr>
          <w:rFonts w:hint="eastAsia" w:ascii="仿宋_GB2312" w:hAnsi="仿宋_GB2312" w:eastAsia="仿宋_GB2312" w:cs="仿宋_GB2312"/>
          <w:sz w:val="32"/>
          <w:szCs w:val="32"/>
          <w:highlight w:val="none"/>
        </w:rPr>
        <w:t>建立家校社共育</w:t>
      </w:r>
      <w:r>
        <w:rPr>
          <w:rFonts w:hint="eastAsia" w:ascii="仿宋_GB2312" w:hAnsi="仿宋_GB2312" w:eastAsia="仿宋_GB2312" w:cs="仿宋_GB2312"/>
          <w:bCs/>
          <w:kern w:val="36"/>
          <w:sz w:val="32"/>
          <w:szCs w:val="32"/>
          <w:highlight w:val="none"/>
        </w:rPr>
        <w:t>咨询室</w:t>
      </w:r>
      <w:r>
        <w:rPr>
          <w:rFonts w:hint="eastAsia" w:ascii="Times New Roman" w:hAnsi="Times New Roman" w:eastAsia="仿宋_GB2312" w:cs="Times New Roman"/>
          <w:sz w:val="32"/>
          <w:szCs w:val="32"/>
          <w:highlight w:val="none"/>
        </w:rPr>
        <w:t>120</w:t>
      </w:r>
      <w:r>
        <w:rPr>
          <w:rFonts w:hint="eastAsia" w:ascii="仿宋_GB2312" w:hAnsi="仿宋_GB2312" w:eastAsia="仿宋_GB2312" w:cs="仿宋_GB2312"/>
          <w:bCs/>
          <w:kern w:val="36"/>
          <w:sz w:val="32"/>
          <w:szCs w:val="32"/>
          <w:highlight w:val="none"/>
        </w:rPr>
        <w:t>个</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举办心理健康教育季，开展学生心理问题“一对一”帮扶。举办第一届小学生运动会、高校田径运动会，</w:t>
      </w:r>
      <w:r>
        <w:rPr>
          <w:rFonts w:hint="eastAsia" w:ascii="仿宋_GB2312" w:eastAsia="仿宋_GB2312"/>
          <w:sz w:val="32"/>
          <w:szCs w:val="32"/>
          <w:highlight w:val="none"/>
        </w:rPr>
        <w:t>平稳实施学生体质健康测试，开展“美育芳草”国家大剧院青少年艺术节。推动构建多渠道融合劳动教育实施路径。组织开展</w:t>
      </w:r>
      <w:r>
        <w:rPr>
          <w:rFonts w:hint="eastAsia" w:ascii="仿宋_GB2312" w:hAnsi="仿宋_GB2312" w:eastAsia="仿宋_GB2312" w:cs="仿宋_GB2312"/>
          <w:sz w:val="32"/>
          <w:szCs w:val="32"/>
          <w:highlight w:val="none"/>
        </w:rPr>
        <w:t>北京学生科技节</w:t>
      </w:r>
      <w:r>
        <w:rPr>
          <w:rFonts w:hint="eastAsia" w:ascii="仿宋_GB2312" w:eastAsia="仿宋_GB2312"/>
          <w:sz w:val="32"/>
          <w:szCs w:val="32"/>
          <w:highlight w:val="none"/>
        </w:rPr>
        <w:t>等科学实践活动。</w:t>
      </w:r>
    </w:p>
    <w:p w14:paraId="016AFFC3">
      <w:pPr>
        <w:keepNext w:val="0"/>
        <w:keepLines w:val="0"/>
        <w:pageBreakBefore w:val="0"/>
        <w:widowControl w:val="0"/>
        <w:kinsoku/>
        <w:wordWrap/>
        <w:overflowPunct/>
        <w:topLinePunct w:val="0"/>
        <w:autoSpaceDN/>
        <w:bidi w:val="0"/>
        <w:adjustRightInd/>
        <w:spacing w:line="560" w:lineRule="exact"/>
        <w:ind w:left="105" w:leftChars="50" w:firstLine="640" w:firstLineChars="200"/>
        <w:textAlignment w:val="auto"/>
        <w:rPr>
          <w:rStyle w:val="13"/>
          <w:rFonts w:ascii="仿宋_GB2312" w:hAnsi="仿宋_GB2312" w:eastAsia="仿宋_GB2312" w:cs="仿宋_GB2312"/>
          <w:bCs/>
          <w:sz w:val="32"/>
          <w:szCs w:val="32"/>
          <w:highlight w:val="none"/>
        </w:rPr>
      </w:pPr>
      <w:r>
        <w:rPr>
          <w:rFonts w:eastAsia="仿宋_GB2312"/>
          <w:color w:val="000000"/>
          <w:kern w:val="0"/>
          <w:sz w:val="32"/>
          <w:szCs w:val="32"/>
          <w:highlight w:val="none"/>
        </w:rPr>
        <w:t>加强党的建设方面：</w:t>
      </w:r>
      <w:r>
        <w:rPr>
          <w:rFonts w:hint="eastAsia" w:eastAsia="仿宋_GB2312"/>
          <w:color w:val="000000"/>
          <w:kern w:val="0"/>
          <w:sz w:val="32"/>
          <w:szCs w:val="32"/>
          <w:highlight w:val="none"/>
          <w:lang w:eastAsia="zh-CN"/>
        </w:rPr>
        <w:t>坚持和加强党对教育工作的全面领导，</w:t>
      </w:r>
      <w:r>
        <w:rPr>
          <w:rFonts w:hint="eastAsia" w:ascii="仿宋_GB2312" w:hAnsi="仿宋_GB2312" w:eastAsia="仿宋_GB2312" w:cs="仿宋_GB2312"/>
          <w:bCs/>
          <w:sz w:val="32"/>
          <w:szCs w:val="32"/>
          <w:highlight w:val="none"/>
        </w:rPr>
        <w:t>开展“学习二十大、奋进新征程”</w:t>
      </w:r>
      <w:r>
        <w:rPr>
          <w:rFonts w:hint="eastAsia" w:ascii="仿宋_GB2312" w:hAnsi="仿宋_GB2312" w:eastAsia="仿宋_GB2312" w:cs="仿宋_GB2312"/>
          <w:bCs/>
          <w:kern w:val="44"/>
          <w:sz w:val="32"/>
          <w:szCs w:val="32"/>
          <w:highlight w:val="none"/>
        </w:rPr>
        <w:t>等主题活动</w:t>
      </w:r>
      <w:r>
        <w:rPr>
          <w:rFonts w:hint="eastAsia" w:ascii="仿宋_GB2312" w:hAnsi="仿宋_GB2312" w:eastAsia="仿宋_GB2312" w:cs="仿宋_GB2312"/>
          <w:bCs/>
          <w:sz w:val="32"/>
          <w:szCs w:val="32"/>
          <w:highlight w:val="none"/>
        </w:rPr>
        <w:t>，认真落实“第一议题”制度，开展</w:t>
      </w:r>
      <w:r>
        <w:rPr>
          <w:rFonts w:hint="eastAsia" w:ascii="仿宋_GB2312" w:hAnsi="仿宋_GB2312" w:eastAsia="仿宋_GB2312" w:cs="仿宋_GB2312"/>
          <w:bCs/>
          <w:sz w:val="32"/>
          <w:szCs w:val="32"/>
          <w:highlight w:val="none"/>
          <w:lang w:eastAsia="zh-CN"/>
        </w:rPr>
        <w:t>理论中心学习组</w:t>
      </w:r>
      <w:r>
        <w:rPr>
          <w:rFonts w:hint="eastAsia" w:ascii="仿宋_GB2312" w:hAnsi="仿宋_GB2312" w:eastAsia="仿宋_GB2312" w:cs="仿宋_GB2312"/>
          <w:bCs/>
          <w:sz w:val="32"/>
          <w:szCs w:val="32"/>
          <w:highlight w:val="none"/>
        </w:rPr>
        <w:t>学习</w:t>
      </w:r>
      <w:r>
        <w:rPr>
          <w:rFonts w:hint="eastAsia" w:ascii="Times New Roman" w:hAnsi="Times New Roman" w:eastAsia="仿宋_GB2312" w:cs="Times New Roman"/>
          <w:sz w:val="32"/>
          <w:szCs w:val="32"/>
          <w:highlight w:val="none"/>
        </w:rPr>
        <w:t>19次</w:t>
      </w:r>
      <w:r>
        <w:rPr>
          <w:rStyle w:val="13"/>
          <w:rFonts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落实高校党委领导下的校长负责制，</w:t>
      </w:r>
      <w:r>
        <w:rPr>
          <w:rFonts w:hint="eastAsia" w:ascii="仿宋_GB2312" w:eastAsia="仿宋_GB2312"/>
          <w:bCs/>
          <w:sz w:val="32"/>
          <w:szCs w:val="32"/>
          <w:highlight w:val="none"/>
        </w:rPr>
        <w:t>开展党建和思想政治工作基本标准入校检查、高校党委书记全覆盖考核。选树</w:t>
      </w:r>
      <w:r>
        <w:rPr>
          <w:rFonts w:hint="eastAsia" w:ascii="Times New Roman" w:hAnsi="Times New Roman" w:eastAsia="仿宋_GB2312" w:cs="Times New Roman"/>
          <w:sz w:val="32"/>
          <w:szCs w:val="32"/>
          <w:highlight w:val="none"/>
        </w:rPr>
        <w:t>300个先</w:t>
      </w:r>
      <w:r>
        <w:rPr>
          <w:rFonts w:hint="eastAsia" w:ascii="仿宋_GB2312" w:eastAsia="仿宋_GB2312"/>
          <w:bCs/>
          <w:sz w:val="32"/>
          <w:szCs w:val="32"/>
          <w:highlight w:val="none"/>
        </w:rPr>
        <w:t>进典型，中组部向全国推广北京高校党内表彰经验。</w:t>
      </w:r>
      <w:r>
        <w:rPr>
          <w:rFonts w:hint="eastAsia" w:ascii="仿宋_GB2312" w:eastAsia="仿宋_GB2312"/>
          <w:sz w:val="32"/>
          <w:szCs w:val="32"/>
          <w:highlight w:val="none"/>
        </w:rPr>
        <w:t>深化中小学校党组织领导的校长负责制改革，深化公办、民办学校党建“</w:t>
      </w:r>
      <w:r>
        <w:rPr>
          <w:rFonts w:hint="eastAsia" w:ascii="Times New Roman" w:hAnsi="Times New Roman" w:eastAsia="仿宋_GB2312" w:cs="Times New Roman"/>
          <w:sz w:val="32"/>
          <w:szCs w:val="32"/>
          <w:highlight w:val="none"/>
        </w:rPr>
        <w:t>1+1</w:t>
      </w:r>
      <w:r>
        <w:rPr>
          <w:rFonts w:hint="eastAsia" w:ascii="仿宋_GB2312" w:eastAsia="仿宋_GB2312"/>
          <w:sz w:val="32"/>
          <w:szCs w:val="32"/>
          <w:highlight w:val="none"/>
        </w:rPr>
        <w:t>”结对共建。</w:t>
      </w:r>
    </w:p>
    <w:p w14:paraId="2B1D34D3">
      <w:pPr>
        <w:keepNext w:val="0"/>
        <w:keepLines w:val="0"/>
        <w:pageBreakBefore w:val="0"/>
        <w:widowControl w:val="0"/>
        <w:kinsoku/>
        <w:wordWrap/>
        <w:overflowPunct/>
        <w:topLinePunct w:val="0"/>
        <w:autoSpaceDE w:val="0"/>
        <w:autoSpaceDN/>
        <w:bidi w:val="0"/>
        <w:adjustRightInd/>
        <w:snapToGrid w:val="0"/>
        <w:spacing w:line="560" w:lineRule="exact"/>
        <w:ind w:firstLine="640" w:firstLineChars="200"/>
        <w:textAlignment w:val="auto"/>
        <w:rPr>
          <w:rFonts w:hint="eastAsia" w:ascii="仿宋_GB2312" w:eastAsia="仿宋_GB2312"/>
          <w:sz w:val="32"/>
          <w:szCs w:val="32"/>
          <w:highlight w:val="none"/>
        </w:rPr>
      </w:pPr>
      <w:r>
        <w:rPr>
          <w:rFonts w:eastAsia="仿宋_GB2312"/>
          <w:color w:val="000000"/>
          <w:kern w:val="0"/>
          <w:sz w:val="32"/>
          <w:szCs w:val="32"/>
          <w:highlight w:val="none"/>
        </w:rPr>
        <w:t>维护校园安稳方面：</w:t>
      </w:r>
      <w:r>
        <w:rPr>
          <w:rFonts w:hint="eastAsia" w:ascii="仿宋_GB2312" w:hAnsi="仿宋_GB2312" w:eastAsia="仿宋_GB2312" w:cs="仿宋_GB2312"/>
          <w:sz w:val="32"/>
          <w:szCs w:val="32"/>
          <w:highlight w:val="none"/>
        </w:rPr>
        <w:t>守好意识形态阵地，</w:t>
      </w:r>
      <w:r>
        <w:rPr>
          <w:rFonts w:hint="eastAsia" w:ascii="仿宋_GB2312" w:eastAsia="仿宋_GB2312"/>
          <w:color w:val="000000"/>
          <w:kern w:val="0"/>
          <w:sz w:val="32"/>
          <w:szCs w:val="32"/>
          <w:highlight w:val="none"/>
        </w:rPr>
        <w:t>全面排查阵地建设管理情况。</w:t>
      </w:r>
      <w:r>
        <w:rPr>
          <w:rFonts w:hint="eastAsia" w:ascii="仿宋_GB2312" w:eastAsia="仿宋_GB2312"/>
          <w:sz w:val="32"/>
          <w:szCs w:val="32"/>
          <w:highlight w:val="none"/>
        </w:rPr>
        <w:t>强化学校安全联席会议机制，有力防范黑恶势力向中小学校幼儿园渗透。加强涉劳工、女权等新兴领域的情报搜集、形势研判，强化外馆外媒和境外非政府组织等关键领域监管。保持市级工作专班机制“热启动”状态，稳妥应对春季开学及</w:t>
      </w:r>
      <w:r>
        <w:rPr>
          <w:rFonts w:hint="eastAsia" w:ascii="仿宋_GB2312" w:eastAsia="仿宋_GB2312"/>
          <w:sz w:val="32"/>
          <w:szCs w:val="32"/>
          <w:highlight w:val="none"/>
          <w:lang w:eastAsia="zh-CN"/>
        </w:rPr>
        <w:t>全国两会</w:t>
      </w:r>
      <w:r>
        <w:rPr>
          <w:rFonts w:hint="eastAsia" w:ascii="仿宋_GB2312" w:eastAsia="仿宋_GB2312"/>
          <w:sz w:val="32"/>
          <w:szCs w:val="32"/>
          <w:highlight w:val="none"/>
        </w:rPr>
        <w:t>、“六四”等敏感节点和“北京特大暴雨”抢险救灾等涉稳风险。开展安全生产专项整治和学校周边交通综合治理，排查整</w:t>
      </w:r>
      <w:r>
        <w:rPr>
          <w:rFonts w:hint="eastAsia" w:ascii="Times New Roman" w:hAnsi="Times New Roman" w:eastAsia="仿宋_GB2312" w:cs="Times New Roman"/>
          <w:sz w:val="32"/>
          <w:szCs w:val="32"/>
          <w:highlight w:val="none"/>
        </w:rPr>
        <w:t>改640</w:t>
      </w:r>
      <w:r>
        <w:rPr>
          <w:rFonts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rPr>
        <w:t>余个安全隐患。首都教育系统连续3</w:t>
      </w:r>
      <w:r>
        <w:rPr>
          <w:rFonts w:ascii="Times New Roman" w:hAnsi="Times New Roman" w:eastAsia="仿宋_GB2312" w:cs="Times New Roman"/>
          <w:sz w:val="32"/>
          <w:szCs w:val="32"/>
          <w:highlight w:val="none"/>
        </w:rPr>
        <w:t>4</w:t>
      </w:r>
      <w:r>
        <w:rPr>
          <w:rFonts w:hint="eastAsia" w:ascii="Times New Roman" w:hAnsi="Times New Roman" w:eastAsia="仿宋_GB2312" w:cs="Times New Roman"/>
          <w:sz w:val="32"/>
          <w:szCs w:val="32"/>
          <w:highlight w:val="none"/>
        </w:rPr>
        <w:t>年保持</w:t>
      </w:r>
      <w:r>
        <w:rPr>
          <w:rFonts w:hint="eastAsia" w:ascii="仿宋_GB2312" w:eastAsia="仿宋_GB2312"/>
          <w:sz w:val="32"/>
          <w:szCs w:val="32"/>
          <w:highlight w:val="none"/>
        </w:rPr>
        <w:t>安全稳定。</w:t>
      </w:r>
    </w:p>
    <w:p w14:paraId="313FB08E">
      <w:pPr>
        <w:keepNext w:val="0"/>
        <w:keepLines w:val="0"/>
        <w:pageBreakBefore w:val="0"/>
        <w:widowControl w:val="0"/>
        <w:kinsoku/>
        <w:wordWrap/>
        <w:overflowPunct/>
        <w:topLinePunct w:val="0"/>
        <w:autoSpaceDN/>
        <w:bidi w:val="0"/>
        <w:adjustRightInd/>
        <w:spacing w:line="560" w:lineRule="exact"/>
        <w:ind w:left="105" w:leftChars="50" w:firstLine="640" w:firstLineChars="200"/>
        <w:textAlignment w:val="auto"/>
        <w:rPr>
          <w:rFonts w:eastAsia="仿宋_GB2312"/>
          <w:color w:val="000000"/>
          <w:kern w:val="0"/>
          <w:sz w:val="32"/>
          <w:szCs w:val="32"/>
          <w:highlight w:val="none"/>
        </w:rPr>
      </w:pPr>
      <w:r>
        <w:rPr>
          <w:rFonts w:eastAsia="仿宋_GB2312"/>
          <w:color w:val="000000"/>
          <w:kern w:val="0"/>
          <w:sz w:val="32"/>
          <w:szCs w:val="32"/>
          <w:highlight w:val="none"/>
        </w:rPr>
        <w:t>加强干部人才队伍建设方面：</w:t>
      </w:r>
      <w:r>
        <w:rPr>
          <w:rFonts w:hint="eastAsia" w:ascii="Times New Roman" w:hAnsi="Times New Roman" w:eastAsia="仿宋_GB2312" w:cs="Times New Roman"/>
          <w:bCs/>
          <w:sz w:val="32"/>
          <w:szCs w:val="32"/>
          <w:highlight w:val="none"/>
        </w:rPr>
        <w:t>把深化机关干部赛马贯穿始终</w:t>
      </w:r>
      <w:r>
        <w:rPr>
          <w:rFonts w:hint="eastAsia" w:ascii="仿宋_GB2312" w:eastAsia="仿宋_GB2312"/>
          <w:bCs/>
          <w:sz w:val="32"/>
          <w:szCs w:val="32"/>
          <w:highlight w:val="none"/>
        </w:rPr>
        <w:t>，</w:t>
      </w:r>
      <w:r>
        <w:rPr>
          <w:rFonts w:ascii="仿宋_GB2312" w:eastAsia="仿宋_GB2312"/>
          <w:bCs/>
          <w:sz w:val="32"/>
          <w:szCs w:val="32"/>
          <w:highlight w:val="none"/>
        </w:rPr>
        <w:t>分</w:t>
      </w:r>
      <w:r>
        <w:rPr>
          <w:rFonts w:ascii="Times New Roman" w:hAnsi="Times New Roman" w:eastAsia="仿宋_GB2312" w:cs="Times New Roman"/>
          <w:bCs/>
          <w:sz w:val="32"/>
          <w:szCs w:val="32"/>
          <w:highlight w:val="none"/>
        </w:rPr>
        <w:t>步平稳开展两委干部</w:t>
      </w:r>
      <w:r>
        <w:rPr>
          <w:rFonts w:hint="eastAsia" w:ascii="Times New Roman" w:hAnsi="Times New Roman" w:eastAsia="仿宋_GB2312" w:cs="Times New Roman"/>
          <w:bCs/>
          <w:sz w:val="32"/>
          <w:szCs w:val="32"/>
          <w:highlight w:val="none"/>
        </w:rPr>
        <w:t>调整</w:t>
      </w:r>
      <w:r>
        <w:rPr>
          <w:rFonts w:ascii="Times New Roman" w:hAnsi="Times New Roman" w:eastAsia="仿宋_GB2312" w:cs="Times New Roman"/>
          <w:bCs/>
          <w:sz w:val="32"/>
          <w:szCs w:val="32"/>
          <w:highlight w:val="none"/>
        </w:rPr>
        <w:t>工作，</w:t>
      </w:r>
      <w:r>
        <w:rPr>
          <w:rFonts w:hint="eastAsia" w:ascii="Times New Roman" w:hAnsi="Times New Roman" w:eastAsia="仿宋_GB2312" w:cs="Times New Roman"/>
          <w:bCs/>
          <w:sz w:val="32"/>
          <w:szCs w:val="32"/>
          <w:highlight w:val="none"/>
        </w:rPr>
        <w:t>全年共任免机关和直属单位干部148人次</w:t>
      </w:r>
      <w:r>
        <w:rPr>
          <w:rFonts w:ascii="Times New Roman" w:hAnsi="Times New Roman" w:eastAsia="仿宋_GB2312" w:cs="Times New Roman"/>
          <w:bCs/>
          <w:sz w:val="32"/>
          <w:szCs w:val="32"/>
          <w:highlight w:val="none"/>
        </w:rPr>
        <w:t>。</w:t>
      </w:r>
      <w:r>
        <w:rPr>
          <w:rFonts w:hint="eastAsia" w:ascii="仿宋_GB2312" w:eastAsia="仿宋_GB2312"/>
          <w:bCs/>
          <w:sz w:val="32"/>
          <w:szCs w:val="32"/>
          <w:highlight w:val="none"/>
        </w:rPr>
        <w:t>拓宽干部交流视野，打通向外输送干部渠道，输送干部到国家部委、高校、区任职</w:t>
      </w:r>
      <w:r>
        <w:rPr>
          <w:rFonts w:hint="eastAsia" w:ascii="Times New Roman" w:hAnsi="Times New Roman" w:eastAsia="仿宋_GB2312" w:cs="Times New Roman"/>
          <w:bCs/>
          <w:sz w:val="32"/>
          <w:szCs w:val="32"/>
          <w:highlight w:val="none"/>
        </w:rPr>
        <w:t>5</w:t>
      </w:r>
      <w:r>
        <w:rPr>
          <w:rFonts w:hint="eastAsia" w:ascii="仿宋_GB2312" w:eastAsia="仿宋_GB2312"/>
          <w:bCs/>
          <w:sz w:val="32"/>
          <w:szCs w:val="32"/>
          <w:highlight w:val="none"/>
        </w:rPr>
        <w:t>人，推动干部队伍结构不断优化。</w:t>
      </w:r>
      <w:r>
        <w:rPr>
          <w:rFonts w:ascii="Times New Roman" w:hAnsi="Times New Roman" w:eastAsia="仿宋_GB2312" w:cs="Times New Roman"/>
          <w:bCs/>
          <w:sz w:val="32"/>
          <w:szCs w:val="32"/>
          <w:highlight w:val="none"/>
        </w:rPr>
        <w:t>加大各级各类干部交流轮岗力度，交流处长</w:t>
      </w:r>
      <w:r>
        <w:rPr>
          <w:rFonts w:hint="eastAsia" w:ascii="Times New Roman" w:hAnsi="Times New Roman" w:eastAsia="仿宋_GB2312" w:cs="Times New Roman"/>
          <w:bCs/>
          <w:sz w:val="32"/>
          <w:szCs w:val="32"/>
          <w:highlight w:val="none"/>
        </w:rPr>
        <w:t>22人，两委机关之间交流12人，</w:t>
      </w:r>
      <w:r>
        <w:rPr>
          <w:rFonts w:ascii="Times New Roman" w:hAnsi="Times New Roman" w:eastAsia="仿宋_GB2312" w:cs="Times New Roman"/>
          <w:bCs/>
          <w:sz w:val="32"/>
          <w:szCs w:val="32"/>
          <w:highlight w:val="none"/>
        </w:rPr>
        <w:t>机关和直属单位之间交流</w:t>
      </w:r>
      <w:r>
        <w:rPr>
          <w:rFonts w:hint="eastAsia" w:ascii="Times New Roman" w:hAnsi="Times New Roman" w:eastAsia="仿宋_GB2312" w:cs="Times New Roman"/>
          <w:bCs/>
          <w:sz w:val="32"/>
          <w:szCs w:val="32"/>
          <w:highlight w:val="none"/>
        </w:rPr>
        <w:t>7人，推动7名在同处室工作超20年干部</w:t>
      </w:r>
      <w:r>
        <w:rPr>
          <w:rFonts w:ascii="Times New Roman" w:hAnsi="Times New Roman" w:eastAsia="仿宋_GB2312" w:cs="Times New Roman"/>
          <w:bCs/>
          <w:sz w:val="32"/>
          <w:szCs w:val="32"/>
          <w:highlight w:val="none"/>
        </w:rPr>
        <w:t>交流轮岗，</w:t>
      </w:r>
      <w:r>
        <w:rPr>
          <w:rFonts w:hint="eastAsia" w:ascii="Times New Roman" w:hAnsi="Times New Roman" w:eastAsia="仿宋_GB2312" w:cs="Times New Roman"/>
          <w:bCs/>
          <w:sz w:val="32"/>
          <w:szCs w:val="32"/>
          <w:highlight w:val="none"/>
        </w:rPr>
        <w:t>进一步</w:t>
      </w:r>
      <w:r>
        <w:rPr>
          <w:rFonts w:ascii="Times New Roman" w:hAnsi="Times New Roman" w:eastAsia="仿宋_GB2312" w:cs="Times New Roman"/>
          <w:bCs/>
          <w:sz w:val="32"/>
          <w:szCs w:val="32"/>
          <w:highlight w:val="none"/>
        </w:rPr>
        <w:t>激发</w:t>
      </w:r>
      <w:r>
        <w:rPr>
          <w:rFonts w:hint="eastAsia" w:ascii="Times New Roman" w:hAnsi="Times New Roman" w:eastAsia="仿宋_GB2312" w:cs="Times New Roman"/>
          <w:bCs/>
          <w:sz w:val="32"/>
          <w:szCs w:val="32"/>
          <w:highlight w:val="none"/>
        </w:rPr>
        <w:t>干事创业</w:t>
      </w:r>
      <w:r>
        <w:rPr>
          <w:rFonts w:ascii="Times New Roman" w:hAnsi="Times New Roman" w:eastAsia="仿宋_GB2312" w:cs="Times New Roman"/>
          <w:bCs/>
          <w:sz w:val="32"/>
          <w:szCs w:val="32"/>
          <w:highlight w:val="none"/>
        </w:rPr>
        <w:t>活力</w:t>
      </w:r>
      <w:r>
        <w:rPr>
          <w:rFonts w:hint="eastAsia" w:ascii="Times New Roman" w:hAnsi="Times New Roman" w:eastAsia="仿宋_GB2312" w:cs="Times New Roman"/>
          <w:bCs/>
          <w:sz w:val="32"/>
          <w:szCs w:val="32"/>
          <w:highlight w:val="none"/>
        </w:rPr>
        <w:t>。持续建好干部“蓄水池”，及时调整优秀年轻干部库，目前在库干部共53名。</w:t>
      </w:r>
      <w:r>
        <w:rPr>
          <w:rFonts w:ascii="Times New Roman" w:hAnsi="Times New Roman" w:eastAsia="仿宋_GB2312" w:cs="Times New Roman"/>
          <w:bCs/>
          <w:sz w:val="32"/>
          <w:szCs w:val="32"/>
          <w:highlight w:val="none"/>
        </w:rPr>
        <w:t>新进1</w:t>
      </w:r>
      <w:r>
        <w:rPr>
          <w:rFonts w:hint="eastAsia" w:ascii="Times New Roman" w:hAnsi="Times New Roman" w:eastAsia="仿宋_GB2312" w:cs="Times New Roman"/>
          <w:bCs/>
          <w:sz w:val="32"/>
          <w:szCs w:val="32"/>
          <w:highlight w:val="none"/>
        </w:rPr>
        <w:t>1</w:t>
      </w:r>
      <w:r>
        <w:rPr>
          <w:rFonts w:ascii="Times New Roman" w:hAnsi="Times New Roman" w:eastAsia="仿宋_GB2312" w:cs="Times New Roman"/>
          <w:bCs/>
          <w:sz w:val="32"/>
          <w:szCs w:val="32"/>
          <w:highlight w:val="none"/>
        </w:rPr>
        <w:t>名优秀</w:t>
      </w:r>
      <w:r>
        <w:rPr>
          <w:rFonts w:hint="eastAsia" w:ascii="仿宋_GB2312" w:eastAsia="仿宋_GB2312"/>
          <w:bCs/>
          <w:sz w:val="32"/>
          <w:szCs w:val="32"/>
          <w:highlight w:val="none"/>
        </w:rPr>
        <w:t>年轻干部补充到两委机关，选调生工作有关做法获市委组织部充分肯定，《组工通讯》专门介绍工作经验。</w:t>
      </w:r>
    </w:p>
    <w:p w14:paraId="1089BE29">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color w:val="000000"/>
          <w:kern w:val="0"/>
          <w:sz w:val="32"/>
          <w:szCs w:val="32"/>
          <w:highlight w:val="none"/>
        </w:rPr>
      </w:pPr>
      <w:r>
        <w:rPr>
          <w:rFonts w:eastAsia="仿宋_GB2312"/>
          <w:color w:val="000000"/>
          <w:kern w:val="0"/>
          <w:sz w:val="32"/>
          <w:szCs w:val="32"/>
          <w:highlight w:val="none"/>
        </w:rPr>
        <w:t>2.产出质量</w:t>
      </w:r>
    </w:p>
    <w:p w14:paraId="1215BD02">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eastAsia="仿宋_GB2312"/>
          <w:sz w:val="32"/>
          <w:szCs w:val="32"/>
          <w:highlight w:val="none"/>
        </w:rPr>
      </w:pPr>
      <w:r>
        <w:rPr>
          <w:rStyle w:val="13"/>
          <w:rFonts w:hint="eastAsia" w:ascii="仿宋_GB2312" w:hAnsi="仿宋_GB2312" w:eastAsia="仿宋_GB2312" w:cs="仿宋_GB2312"/>
          <w:bCs/>
          <w:sz w:val="32"/>
          <w:szCs w:val="32"/>
          <w:highlight w:val="none"/>
        </w:rPr>
        <w:t>高位推动首都教育战略谋划，</w:t>
      </w:r>
      <w:r>
        <w:rPr>
          <w:rStyle w:val="13"/>
          <w:rFonts w:hint="eastAsia" w:ascii="仿宋_GB2312" w:hAnsi="仿宋_GB2312" w:eastAsia="仿宋_GB2312" w:cs="仿宋_GB2312"/>
          <w:bCs/>
          <w:sz w:val="32"/>
          <w:szCs w:val="32"/>
          <w:highlight w:val="none"/>
          <w:lang w:eastAsia="zh-CN"/>
        </w:rPr>
        <w:t>市领导</w:t>
      </w:r>
      <w:r>
        <w:rPr>
          <w:rFonts w:hint="eastAsia" w:ascii="仿宋_GB2312" w:hAnsi="仿宋_GB2312" w:eastAsia="仿宋_GB2312" w:cs="仿宋_GB2312"/>
          <w:sz w:val="32"/>
          <w:szCs w:val="32"/>
          <w:highlight w:val="none"/>
          <w:lang w:bidi="ar"/>
        </w:rPr>
        <w:t>带队，赴长三角地区、粤港澳大湾区等地调研，形</w:t>
      </w:r>
      <w:r>
        <w:rPr>
          <w:rFonts w:hint="eastAsia" w:ascii="Times New Roman" w:hAnsi="Times New Roman" w:eastAsia="仿宋_GB2312" w:cs="Times New Roman"/>
          <w:sz w:val="32"/>
          <w:szCs w:val="32"/>
          <w:highlight w:val="none"/>
        </w:rPr>
        <w:t>成10份调研报告、30余项处室重点改革任务和80余份改</w:t>
      </w:r>
      <w:r>
        <w:rPr>
          <w:rFonts w:hint="eastAsia" w:ascii="仿宋_GB2312" w:hAnsi="仿宋_GB2312" w:eastAsia="仿宋_GB2312" w:cs="仿宋_GB2312"/>
          <w:sz w:val="32"/>
          <w:szCs w:val="32"/>
          <w:highlight w:val="none"/>
          <w:lang w:bidi="ar"/>
        </w:rPr>
        <w:t>革建议，起草形成《推进新时代首都教育高质量发展的战略举措》，</w:t>
      </w:r>
      <w:r>
        <w:rPr>
          <w:rFonts w:hint="eastAsia" w:ascii="仿宋_GB2312" w:hAnsi="仿宋_GB2312" w:eastAsia="仿宋_GB2312" w:cs="仿宋_GB2312"/>
          <w:sz w:val="32"/>
          <w:szCs w:val="32"/>
          <w:highlight w:val="none"/>
        </w:rPr>
        <w:t>相关情况得到教育部</w:t>
      </w:r>
      <w:r>
        <w:rPr>
          <w:rFonts w:hint="eastAsia" w:ascii="仿宋_GB2312" w:hAnsi="仿宋_GB2312" w:eastAsia="仿宋_GB2312" w:cs="仿宋_GB2312"/>
          <w:sz w:val="32"/>
          <w:szCs w:val="32"/>
          <w:highlight w:val="none"/>
          <w:lang w:eastAsia="zh-CN"/>
        </w:rPr>
        <w:t>领导</w:t>
      </w:r>
      <w:r>
        <w:rPr>
          <w:rFonts w:hint="eastAsia" w:ascii="仿宋_GB2312" w:hAnsi="仿宋_GB2312" w:eastAsia="仿宋_GB2312" w:cs="仿宋_GB2312"/>
          <w:sz w:val="32"/>
          <w:szCs w:val="32"/>
          <w:highlight w:val="none"/>
        </w:rPr>
        <w:t>充分肯定。</w:t>
      </w:r>
      <w:r>
        <w:rPr>
          <w:rFonts w:hint="eastAsia" w:ascii="仿宋_GB2312" w:eastAsia="仿宋_GB2312"/>
          <w:sz w:val="32"/>
          <w:szCs w:val="32"/>
          <w:highlight w:val="none"/>
        </w:rPr>
        <w:t>建立“11</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8”新型教育智库体系，为首都教育高质量发展提供智力支持。</w:t>
      </w:r>
      <w:r>
        <w:rPr>
          <w:rFonts w:hint="eastAsia" w:ascii="仿宋_GB2312" w:hAnsi="仿宋_GB2312" w:eastAsia="仿宋_GB2312" w:cs="仿宋_GB2312"/>
          <w:sz w:val="32"/>
          <w:szCs w:val="32"/>
          <w:highlight w:val="none"/>
        </w:rPr>
        <w:t>出台《关于加强新时代北京高校统一战线工作的若干措施》，推荐北京高校7名同志当选中国妇女第十三次全国代表大会执委、代表。</w:t>
      </w:r>
    </w:p>
    <w:p w14:paraId="44D5426A">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color w:val="000000"/>
          <w:kern w:val="0"/>
          <w:sz w:val="32"/>
          <w:szCs w:val="32"/>
          <w:highlight w:val="none"/>
        </w:rPr>
      </w:pPr>
      <w:r>
        <w:rPr>
          <w:rFonts w:eastAsia="仿宋_GB2312"/>
          <w:color w:val="000000"/>
          <w:kern w:val="0"/>
          <w:sz w:val="32"/>
          <w:szCs w:val="32"/>
          <w:highlight w:val="none"/>
        </w:rPr>
        <w:t>3.产出进度</w:t>
      </w:r>
    </w:p>
    <w:p w14:paraId="1B1C302B">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trike/>
          <w:sz w:val="32"/>
          <w:szCs w:val="32"/>
          <w:highlight w:val="none"/>
        </w:rPr>
      </w:pPr>
      <w:r>
        <w:rPr>
          <w:rFonts w:hint="eastAsia" w:ascii="仿宋_GB2312" w:eastAsia="仿宋_GB2312"/>
          <w:sz w:val="32"/>
          <w:szCs w:val="32"/>
          <w:highlight w:val="none"/>
          <w:lang w:val="en"/>
        </w:rPr>
        <w:t>扎实</w:t>
      </w:r>
      <w:r>
        <w:rPr>
          <w:rFonts w:hint="eastAsia" w:ascii="仿宋_GB2312" w:hAnsi="仿宋_GB2312" w:eastAsia="仿宋_GB2312" w:cs="仿宋_GB2312"/>
          <w:sz w:val="32"/>
          <w:szCs w:val="32"/>
          <w:highlight w:val="none"/>
        </w:rPr>
        <w:t>做好防汛救灾及灾后恢复重建，</w:t>
      </w:r>
      <w:r>
        <w:rPr>
          <w:rFonts w:hint="eastAsia" w:ascii="Times New Roman" w:hAnsi="Times New Roman" w:eastAsia="仿宋_GB2312" w:cs="Times New Roman"/>
          <w:sz w:val="32"/>
          <w:szCs w:val="32"/>
          <w:highlight w:val="none"/>
        </w:rPr>
        <w:t>对749所（</w:t>
      </w:r>
      <w:r>
        <w:rPr>
          <w:rFonts w:hint="eastAsia" w:ascii="仿宋_GB2312" w:eastAsia="仿宋_GB2312"/>
          <w:sz w:val="32"/>
          <w:szCs w:val="32"/>
          <w:highlight w:val="none"/>
        </w:rPr>
        <w:t>址）受灾受损校园进行安全评估检测和恢复修缮，妥善分流安置学生，实现秋季学期如期开学。</w:t>
      </w:r>
      <w:r>
        <w:rPr>
          <w:rFonts w:hint="eastAsia" w:ascii="仿宋_GB2312" w:hAnsi="仿宋_GB2312" w:eastAsia="仿宋_GB2312" w:cs="仿宋_GB2312"/>
          <w:bCs/>
          <w:sz w:val="32"/>
          <w:szCs w:val="32"/>
          <w:highlight w:val="none"/>
        </w:rPr>
        <w:t>落实学前教育普惠保障、义务教育强校提质</w:t>
      </w:r>
      <w:r>
        <w:rPr>
          <w:rFonts w:hint="eastAsia" w:ascii="Times New Roman" w:hAnsi="Times New Roman" w:eastAsia="仿宋_GB2312" w:cs="Times New Roman"/>
          <w:sz w:val="32"/>
          <w:szCs w:val="32"/>
          <w:highlight w:val="none"/>
        </w:rPr>
        <w:t>等8项</w:t>
      </w:r>
      <w:r>
        <w:rPr>
          <w:rFonts w:hint="eastAsia" w:ascii="仿宋_GB2312" w:hAnsi="仿宋_GB2312" w:eastAsia="仿宋_GB2312" w:cs="仿宋_GB2312"/>
          <w:bCs/>
          <w:sz w:val="32"/>
          <w:szCs w:val="32"/>
          <w:highlight w:val="none"/>
        </w:rPr>
        <w:t>行动，推动义务教育优质均衡发展，城乡义务教育学校“手拉手”结对实现全覆盖。</w:t>
      </w:r>
      <w:r>
        <w:rPr>
          <w:rFonts w:hint="eastAsia" w:ascii="仿宋_GB2312" w:eastAsia="仿宋_GB2312"/>
          <w:bCs/>
          <w:sz w:val="32"/>
          <w:szCs w:val="32"/>
          <w:highlight w:val="none"/>
        </w:rPr>
        <w:t>深入推动北京高校“双一流”建设，</w:t>
      </w:r>
      <w:r>
        <w:rPr>
          <w:rFonts w:hint="eastAsia" w:ascii="仿宋_GB2312" w:eastAsia="仿宋_GB2312"/>
          <w:sz w:val="32"/>
          <w:szCs w:val="32"/>
          <w:highlight w:val="none"/>
          <w:shd w:val="clear" w:color="auto" w:fill="FFFFFF"/>
        </w:rPr>
        <w:t>加强有组织的学科建设，</w:t>
      </w:r>
      <w:r>
        <w:rPr>
          <w:rFonts w:hint="eastAsia" w:ascii="仿宋_GB2312" w:eastAsia="仿宋_GB2312"/>
          <w:sz w:val="32"/>
          <w:szCs w:val="32"/>
          <w:highlight w:val="none"/>
        </w:rPr>
        <w:t>市属高校科技进步奖获奖数显著提高</w:t>
      </w:r>
      <w:r>
        <w:rPr>
          <w:rFonts w:hint="eastAsia" w:ascii="仿宋_GB2312" w:eastAsia="仿宋_GB2312"/>
          <w:sz w:val="32"/>
          <w:szCs w:val="32"/>
          <w:highlight w:val="none"/>
          <w:shd w:val="clear" w:color="auto" w:fill="FFFFFF"/>
        </w:rPr>
        <w:t>。</w:t>
      </w:r>
      <w:r>
        <w:rPr>
          <w:rFonts w:hint="eastAsia" w:ascii="Times New Roman" w:hAnsi="Times New Roman" w:eastAsia="仿宋_GB2312" w:cs="Times New Roman"/>
          <w:sz w:val="32"/>
          <w:szCs w:val="32"/>
          <w:highlight w:val="none"/>
        </w:rPr>
        <w:t>稳步推进未来区块链技术与隐私计算、集成电路2</w:t>
      </w:r>
      <w:r>
        <w:rPr>
          <w:rFonts w:hint="eastAsia" w:ascii="仿宋_GB2312" w:eastAsia="仿宋_GB2312"/>
          <w:sz w:val="32"/>
          <w:szCs w:val="32"/>
          <w:highlight w:val="none"/>
        </w:rPr>
        <w:t>个高精尖创新中心建设，推动“卡脖子”关键技术攻关和硕博士研究生产教融合人才培养。</w:t>
      </w:r>
      <w:r>
        <w:rPr>
          <w:rFonts w:hint="eastAsia" w:ascii="仿宋_GB2312" w:eastAsia="仿宋_GB2312"/>
          <w:sz w:val="32"/>
          <w:szCs w:val="32"/>
          <w:highlight w:val="none"/>
          <w:shd w:val="clear" w:color="auto" w:fill="FFFFFF"/>
        </w:rPr>
        <w:t>压茬推进市委市政府每月一题“民办义务教育学校规范管理”专项治理，制定印发《关于加强民办义务教育学校收费管理的指导意见》，推动9所“公参民”性质学校转为公办并平稳运行。</w:t>
      </w:r>
    </w:p>
    <w:p w14:paraId="7320B234">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color w:val="000000"/>
          <w:kern w:val="0"/>
          <w:sz w:val="32"/>
          <w:szCs w:val="32"/>
          <w:highlight w:val="none"/>
        </w:rPr>
      </w:pPr>
      <w:r>
        <w:rPr>
          <w:rFonts w:eastAsia="仿宋_GB2312"/>
          <w:color w:val="000000"/>
          <w:kern w:val="0"/>
          <w:sz w:val="32"/>
          <w:szCs w:val="32"/>
          <w:highlight w:val="none"/>
        </w:rPr>
        <w:t>4.产出成本</w:t>
      </w:r>
    </w:p>
    <w:p w14:paraId="779E1161">
      <w:pPr>
        <w:keepNext w:val="0"/>
        <w:keepLines w:val="0"/>
        <w:pageBreakBefore w:val="0"/>
        <w:widowControl w:val="0"/>
        <w:kinsoku/>
        <w:wordWrap/>
        <w:overflowPunct/>
        <w:topLinePunct w:val="0"/>
        <w:autoSpaceDN/>
        <w:bidi w:val="0"/>
        <w:adjustRightInd/>
        <w:spacing w:line="560" w:lineRule="exact"/>
        <w:ind w:left="105" w:leftChars="50" w:firstLine="640" w:firstLineChars="200"/>
        <w:textAlignment w:val="auto"/>
        <w:rPr>
          <w:rFonts w:eastAsia="仿宋_GB2312"/>
          <w:color w:val="000000"/>
          <w:kern w:val="0"/>
          <w:sz w:val="32"/>
          <w:szCs w:val="32"/>
          <w:highlight w:val="none"/>
        </w:rPr>
      </w:pPr>
      <w:r>
        <w:rPr>
          <w:rFonts w:eastAsia="仿宋_GB2312"/>
          <w:color w:val="000000"/>
          <w:kern w:val="0"/>
          <w:sz w:val="32"/>
          <w:szCs w:val="32"/>
          <w:highlight w:val="none"/>
        </w:rPr>
        <w:t>202</w:t>
      </w:r>
      <w:r>
        <w:rPr>
          <w:rFonts w:hint="eastAsia" w:eastAsia="仿宋_GB2312"/>
          <w:color w:val="000000"/>
          <w:kern w:val="0"/>
          <w:sz w:val="32"/>
          <w:szCs w:val="32"/>
          <w:highlight w:val="none"/>
          <w:lang w:val="en-US" w:eastAsia="zh-CN"/>
        </w:rPr>
        <w:t>3</w:t>
      </w:r>
      <w:r>
        <w:rPr>
          <w:rFonts w:eastAsia="仿宋_GB2312"/>
          <w:color w:val="000000"/>
          <w:kern w:val="0"/>
          <w:sz w:val="32"/>
          <w:szCs w:val="32"/>
          <w:highlight w:val="none"/>
        </w:rPr>
        <w:t>年总支出</w:t>
      </w:r>
      <w:r>
        <w:rPr>
          <w:rFonts w:hint="eastAsia" w:ascii="Times New Roman" w:hAnsi="Times New Roman" w:eastAsia="仿宋_GB2312" w:cs="Times New Roman"/>
          <w:bCs/>
          <w:sz w:val="32"/>
          <w:szCs w:val="32"/>
          <w:highlight w:val="none"/>
          <w:lang w:val="en-US" w:eastAsia="zh-CN"/>
        </w:rPr>
        <w:t>27917.21</w:t>
      </w:r>
      <w:r>
        <w:rPr>
          <w:rFonts w:eastAsia="仿宋_GB2312"/>
          <w:color w:val="000000"/>
          <w:kern w:val="0"/>
          <w:sz w:val="32"/>
          <w:szCs w:val="32"/>
          <w:highlight w:val="none"/>
        </w:rPr>
        <w:t>万元，其中基本支出</w:t>
      </w:r>
      <w:r>
        <w:rPr>
          <w:rFonts w:hint="eastAsia" w:ascii="Times New Roman" w:hAnsi="Times New Roman" w:eastAsia="仿宋_GB2312" w:cs="Times New Roman"/>
          <w:sz w:val="32"/>
          <w:szCs w:val="32"/>
          <w:highlight w:val="none"/>
          <w:lang w:val="en-US" w:eastAsia="zh-CN"/>
        </w:rPr>
        <w:t>5226.41</w:t>
      </w:r>
      <w:r>
        <w:rPr>
          <w:rFonts w:eastAsia="仿宋_GB2312"/>
          <w:color w:val="000000"/>
          <w:kern w:val="0"/>
          <w:sz w:val="32"/>
          <w:szCs w:val="32"/>
          <w:highlight w:val="none"/>
        </w:rPr>
        <w:t>万元，占总支出的</w:t>
      </w:r>
      <w:r>
        <w:rPr>
          <w:rFonts w:hint="eastAsia" w:eastAsia="仿宋_GB2312"/>
          <w:color w:val="000000"/>
          <w:kern w:val="0"/>
          <w:sz w:val="32"/>
          <w:szCs w:val="32"/>
          <w:highlight w:val="none"/>
          <w:lang w:val="en-US" w:eastAsia="zh-CN"/>
        </w:rPr>
        <w:t>18.72</w:t>
      </w:r>
      <w:r>
        <w:rPr>
          <w:rFonts w:eastAsia="仿宋_GB2312"/>
          <w:color w:val="000000"/>
          <w:kern w:val="0"/>
          <w:sz w:val="32"/>
          <w:szCs w:val="32"/>
          <w:highlight w:val="none"/>
        </w:rPr>
        <w:t>%；项目支出</w:t>
      </w:r>
      <w:r>
        <w:rPr>
          <w:rFonts w:hint="eastAsia" w:ascii="Times New Roman" w:hAnsi="Times New Roman" w:eastAsia="仿宋_GB2312" w:cs="Times New Roman"/>
          <w:sz w:val="32"/>
          <w:szCs w:val="32"/>
          <w:highlight w:val="none"/>
          <w:lang w:val="en-US" w:eastAsia="zh-CN"/>
        </w:rPr>
        <w:t>22690.8</w:t>
      </w:r>
      <w:r>
        <w:rPr>
          <w:rFonts w:eastAsia="仿宋_GB2312"/>
          <w:color w:val="000000"/>
          <w:kern w:val="0"/>
          <w:sz w:val="32"/>
          <w:szCs w:val="32"/>
          <w:highlight w:val="none"/>
        </w:rPr>
        <w:t>万元，占总支出的</w:t>
      </w:r>
      <w:r>
        <w:rPr>
          <w:rFonts w:hint="eastAsia" w:eastAsia="仿宋_GB2312"/>
          <w:color w:val="000000"/>
          <w:kern w:val="0"/>
          <w:sz w:val="32"/>
          <w:szCs w:val="32"/>
          <w:highlight w:val="none"/>
          <w:lang w:val="en-US" w:eastAsia="zh-CN"/>
        </w:rPr>
        <w:t>81.28</w:t>
      </w:r>
      <w:r>
        <w:rPr>
          <w:rFonts w:eastAsia="仿宋_GB2312"/>
          <w:color w:val="000000"/>
          <w:kern w:val="0"/>
          <w:sz w:val="32"/>
          <w:szCs w:val="32"/>
          <w:highlight w:val="none"/>
        </w:rPr>
        <w:t>%。202</w:t>
      </w:r>
      <w:r>
        <w:rPr>
          <w:rFonts w:hint="eastAsia" w:eastAsia="仿宋_GB2312"/>
          <w:color w:val="000000"/>
          <w:kern w:val="0"/>
          <w:sz w:val="32"/>
          <w:szCs w:val="32"/>
          <w:highlight w:val="none"/>
          <w:lang w:val="en-US" w:eastAsia="zh-CN"/>
        </w:rPr>
        <w:t>3</w:t>
      </w:r>
      <w:r>
        <w:rPr>
          <w:rFonts w:eastAsia="仿宋_GB2312"/>
          <w:color w:val="000000"/>
          <w:kern w:val="0"/>
          <w:sz w:val="32"/>
          <w:szCs w:val="32"/>
          <w:highlight w:val="none"/>
        </w:rPr>
        <w:t>年总支出比202</w:t>
      </w:r>
      <w:r>
        <w:rPr>
          <w:rFonts w:hint="eastAsia" w:eastAsia="仿宋_GB2312"/>
          <w:color w:val="000000"/>
          <w:kern w:val="0"/>
          <w:sz w:val="32"/>
          <w:szCs w:val="32"/>
          <w:highlight w:val="none"/>
          <w:lang w:val="en-US" w:eastAsia="zh-CN"/>
        </w:rPr>
        <w:t>2</w:t>
      </w:r>
      <w:r>
        <w:rPr>
          <w:rFonts w:eastAsia="仿宋_GB2312"/>
          <w:color w:val="000000"/>
          <w:kern w:val="0"/>
          <w:sz w:val="32"/>
          <w:szCs w:val="32"/>
          <w:highlight w:val="none"/>
        </w:rPr>
        <w:t>年</w:t>
      </w:r>
      <w:r>
        <w:rPr>
          <w:rFonts w:hint="eastAsia" w:eastAsia="仿宋_GB2312"/>
          <w:color w:val="000000"/>
          <w:kern w:val="0"/>
          <w:sz w:val="32"/>
          <w:szCs w:val="32"/>
          <w:highlight w:val="none"/>
          <w:lang w:eastAsia="zh-CN"/>
        </w:rPr>
        <w:t>增加</w:t>
      </w:r>
      <w:r>
        <w:rPr>
          <w:rFonts w:hint="eastAsia" w:eastAsia="仿宋_GB2312"/>
          <w:color w:val="000000"/>
          <w:kern w:val="0"/>
          <w:sz w:val="32"/>
          <w:szCs w:val="32"/>
          <w:highlight w:val="none"/>
          <w:lang w:val="en-US" w:eastAsia="zh-CN"/>
        </w:rPr>
        <w:t>1492.76</w:t>
      </w:r>
      <w:r>
        <w:rPr>
          <w:rFonts w:eastAsia="仿宋_GB2312"/>
          <w:color w:val="000000"/>
          <w:kern w:val="0"/>
          <w:sz w:val="32"/>
          <w:szCs w:val="32"/>
          <w:highlight w:val="none"/>
        </w:rPr>
        <w:t>万元，</w:t>
      </w:r>
      <w:r>
        <w:rPr>
          <w:rFonts w:hint="eastAsia" w:eastAsia="仿宋_GB2312"/>
          <w:color w:val="000000"/>
          <w:kern w:val="0"/>
          <w:sz w:val="32"/>
          <w:szCs w:val="32"/>
          <w:highlight w:val="none"/>
          <w:lang w:eastAsia="zh-CN"/>
        </w:rPr>
        <w:t>增</w:t>
      </w:r>
      <w:r>
        <w:rPr>
          <w:rFonts w:eastAsia="仿宋_GB2312"/>
          <w:color w:val="000000"/>
          <w:kern w:val="0"/>
          <w:sz w:val="32"/>
          <w:szCs w:val="32"/>
          <w:highlight w:val="none"/>
        </w:rPr>
        <w:t>幅</w:t>
      </w:r>
      <w:r>
        <w:rPr>
          <w:rFonts w:hint="eastAsia" w:eastAsia="仿宋_GB2312"/>
          <w:color w:val="000000"/>
          <w:kern w:val="0"/>
          <w:sz w:val="32"/>
          <w:szCs w:val="32"/>
          <w:highlight w:val="none"/>
          <w:lang w:val="en-US" w:eastAsia="zh-CN"/>
        </w:rPr>
        <w:t>5.65</w:t>
      </w:r>
      <w:r>
        <w:rPr>
          <w:rFonts w:eastAsia="仿宋_GB2312"/>
          <w:color w:val="000000"/>
          <w:kern w:val="0"/>
          <w:sz w:val="32"/>
          <w:szCs w:val="32"/>
          <w:highlight w:val="none"/>
        </w:rPr>
        <w:t>%，主要是根据事业发展规划，调整部分预算，用于保障年度重大活动和重点工作，无超预算支出、资金浪费等现象。</w:t>
      </w:r>
    </w:p>
    <w:p w14:paraId="3F168CE5">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楷体_GB2312"/>
          <w:sz w:val="32"/>
          <w:szCs w:val="32"/>
          <w:highlight w:val="none"/>
        </w:rPr>
      </w:pPr>
      <w:r>
        <w:rPr>
          <w:rFonts w:eastAsia="楷体_GB2312"/>
          <w:sz w:val="32"/>
          <w:szCs w:val="32"/>
          <w:highlight w:val="none"/>
        </w:rPr>
        <w:t>（二）效果实现情况分析</w:t>
      </w:r>
    </w:p>
    <w:p w14:paraId="49A28004">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仿宋_GB2312"/>
          <w:color w:val="000000"/>
          <w:kern w:val="0"/>
          <w:sz w:val="32"/>
          <w:szCs w:val="32"/>
          <w:highlight w:val="none"/>
        </w:rPr>
      </w:pPr>
      <w:r>
        <w:rPr>
          <w:rFonts w:hint="eastAsia" w:eastAsia="仿宋_GB2312"/>
          <w:color w:val="000000"/>
          <w:kern w:val="0"/>
          <w:sz w:val="32"/>
          <w:szCs w:val="32"/>
          <w:highlight w:val="none"/>
        </w:rPr>
        <w:t>1</w:t>
      </w:r>
      <w:r>
        <w:rPr>
          <w:rFonts w:eastAsia="仿宋_GB2312"/>
          <w:color w:val="000000"/>
          <w:kern w:val="0"/>
          <w:sz w:val="32"/>
          <w:szCs w:val="32"/>
          <w:highlight w:val="none"/>
        </w:rPr>
        <w:t>.社会效益</w:t>
      </w:r>
    </w:p>
    <w:p w14:paraId="2A0B995E">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Style w:val="13"/>
          <w:rFonts w:hint="eastAsia" w:ascii="仿宋_GB2312" w:hAnsi="仿宋_GB2312" w:eastAsia="仿宋_GB2312" w:cs="仿宋_GB2312"/>
          <w:sz w:val="32"/>
          <w:szCs w:val="32"/>
          <w:highlight w:val="none"/>
          <w:lang w:val="zh-TW"/>
        </w:rPr>
      </w:pPr>
      <w:r>
        <w:rPr>
          <w:rFonts w:hint="eastAsia" w:ascii="仿宋_GB2312" w:eastAsia="仿宋_GB2312"/>
          <w:sz w:val="32"/>
          <w:szCs w:val="32"/>
          <w:highlight w:val="none"/>
        </w:rPr>
        <w:t>稳妥推进新冠</w:t>
      </w:r>
      <w:r>
        <w:rPr>
          <w:rFonts w:hint="eastAsia" w:ascii="仿宋_GB2312" w:hAnsi="仿宋_GB2312" w:eastAsia="仿宋_GB2312" w:cs="仿宋_GB2312"/>
          <w:bCs/>
          <w:sz w:val="32"/>
          <w:szCs w:val="32"/>
          <w:highlight w:val="none"/>
        </w:rPr>
        <w:t>疫情防控平稳转段，</w:t>
      </w:r>
      <w:r>
        <w:rPr>
          <w:rFonts w:hint="eastAsia" w:ascii="仿宋_GB2312" w:hAnsi="仿宋_GB2312" w:eastAsia="仿宋_GB2312" w:cs="仿宋_GB2312"/>
          <w:sz w:val="32"/>
          <w:szCs w:val="32"/>
          <w:highlight w:val="none"/>
        </w:rPr>
        <w:t>全面恢复正常教育教学秩序，</w:t>
      </w:r>
      <w:r>
        <w:rPr>
          <w:rFonts w:hint="eastAsia" w:ascii="仿宋_GB2312" w:eastAsia="仿宋_GB2312"/>
          <w:sz w:val="32"/>
          <w:szCs w:val="32"/>
          <w:highlight w:val="none"/>
        </w:rPr>
        <w:t>有序推进高校校园开放</w:t>
      </w:r>
      <w:r>
        <w:rPr>
          <w:rFonts w:hint="eastAsia" w:ascii="仿宋_GB2312" w:eastAsia="仿宋_GB2312"/>
          <w:sz w:val="32"/>
          <w:szCs w:val="32"/>
          <w:highlight w:val="none"/>
          <w:lang w:val="en"/>
        </w:rPr>
        <w:t>。</w:t>
      </w:r>
      <w:r>
        <w:rPr>
          <w:rFonts w:hint="eastAsia" w:ascii="仿宋_GB2312" w:hAnsi="仿宋_GB2312" w:eastAsia="仿宋_GB2312" w:cs="仿宋_GB2312"/>
          <w:snapToGrid w:val="0"/>
          <w:color w:val="000000"/>
          <w:kern w:val="0"/>
          <w:sz w:val="32"/>
          <w:szCs w:val="32"/>
          <w:highlight w:val="none"/>
          <w:lang w:bidi="ar"/>
        </w:rPr>
        <w:t>联合市委宣传部创新开展《“‘京’彩文化 青春绽放”行动计划》，高标准推进信仰行、红色行、古都行、文艺行、志愿行、园区行</w:t>
      </w:r>
      <w:r>
        <w:rPr>
          <w:rFonts w:hint="eastAsia" w:ascii="Times New Roman" w:hAnsi="Times New Roman" w:eastAsia="仿宋_GB2312" w:cs="Times New Roman"/>
          <w:sz w:val="32"/>
          <w:szCs w:val="32"/>
          <w:highlight w:val="none"/>
        </w:rPr>
        <w:t>6大机制14个项目。</w:t>
      </w:r>
      <w:r>
        <w:rPr>
          <w:rFonts w:hint="eastAsia" w:ascii="仿宋_GB2312" w:hAnsi="仿宋_GB2312" w:eastAsia="仿宋_GB2312" w:cs="仿宋_GB2312"/>
          <w:sz w:val="32"/>
          <w:szCs w:val="32"/>
          <w:highlight w:val="none"/>
        </w:rPr>
        <w:t>举办服贸会教育专题展，签约额</w:t>
      </w:r>
      <w:r>
        <w:rPr>
          <w:rFonts w:hint="eastAsia" w:ascii="Times New Roman" w:hAnsi="Times New Roman" w:eastAsia="仿宋_GB2312" w:cs="Times New Roman"/>
          <w:sz w:val="32"/>
          <w:szCs w:val="32"/>
          <w:highlight w:val="none"/>
        </w:rPr>
        <w:t>达2530余万美元，发布留学北京十项便利措施，做强做优“留学北京”品牌；重启与21个国家的交流交往，推</w:t>
      </w:r>
      <w:r>
        <w:rPr>
          <w:rFonts w:hint="eastAsia" w:ascii="仿宋_GB2312" w:hAnsi="仿宋_GB2312" w:eastAsia="仿宋_GB2312" w:cs="仿宋_GB2312"/>
          <w:sz w:val="32"/>
          <w:szCs w:val="32"/>
          <w:highlight w:val="none"/>
        </w:rPr>
        <w:t>动伯克利音乐学院等名校与在京高校深度合作，举办第三届“丝路工匠”国际技能大赛</w:t>
      </w:r>
      <w:r>
        <w:rPr>
          <w:rFonts w:hint="eastAsia" w:ascii="仿宋_GB2312" w:hAnsi="仿宋_GB2312" w:eastAsia="仿宋_GB2312" w:cs="仿宋_GB2312"/>
          <w:bCs/>
          <w:sz w:val="32"/>
          <w:szCs w:val="32"/>
          <w:highlight w:val="none"/>
        </w:rPr>
        <w:t>助力“一带一路”建设</w:t>
      </w:r>
      <w:r>
        <w:rPr>
          <w:rFonts w:hint="eastAsia" w:ascii="仿宋_GB2312" w:hAnsi="仿宋_GB2312" w:eastAsia="仿宋_GB2312" w:cs="仿宋_GB2312"/>
          <w:sz w:val="32"/>
          <w:szCs w:val="32"/>
          <w:highlight w:val="none"/>
        </w:rPr>
        <w:t>。</w:t>
      </w:r>
      <w:r>
        <w:rPr>
          <w:rStyle w:val="13"/>
          <w:rFonts w:hint="eastAsia" w:ascii="仿宋_GB2312" w:hAnsi="仿宋_GB2312" w:eastAsia="仿宋_GB2312" w:cs="仿宋_GB2312"/>
          <w:sz w:val="32"/>
          <w:szCs w:val="32"/>
          <w:highlight w:val="none"/>
        </w:rPr>
        <w:t>深化京津冀教育协同发展，</w:t>
      </w:r>
      <w:r>
        <w:rPr>
          <w:rFonts w:hint="eastAsia" w:ascii="仿宋_GB2312" w:hAnsi="仿宋_GB2312" w:eastAsia="仿宋_GB2312" w:cs="仿宋_GB2312"/>
          <w:sz w:val="32"/>
          <w:szCs w:val="32"/>
          <w:highlight w:val="none"/>
        </w:rPr>
        <w:t>推进首医等高校新校区建设，完</w:t>
      </w:r>
      <w:r>
        <w:rPr>
          <w:rFonts w:hint="eastAsia" w:ascii="Times New Roman" w:hAnsi="Times New Roman" w:eastAsia="仿宋_GB2312" w:cs="Times New Roman"/>
          <w:sz w:val="32"/>
          <w:szCs w:val="32"/>
          <w:highlight w:val="none"/>
        </w:rPr>
        <w:t>成6500名高</w:t>
      </w:r>
      <w:r>
        <w:rPr>
          <w:rFonts w:hint="eastAsia" w:ascii="仿宋_GB2312" w:hAnsi="仿宋_GB2312" w:eastAsia="仿宋_GB2312" w:cs="仿宋_GB2312"/>
          <w:sz w:val="32"/>
          <w:szCs w:val="32"/>
          <w:highlight w:val="none"/>
        </w:rPr>
        <w:t>校学生疏解任务</w:t>
      </w:r>
      <w:r>
        <w:rPr>
          <w:rFonts w:hint="eastAsia" w:ascii="仿宋_GB2312" w:hAnsi="仿宋_GB2312" w:eastAsia="仿宋_GB2312" w:cs="仿宋_GB2312"/>
          <w:sz w:val="32"/>
          <w:szCs w:val="32"/>
          <w:highlight w:val="none"/>
          <w:lang w:eastAsia="zh-CN"/>
        </w:rPr>
        <w:t>。</w:t>
      </w:r>
      <w:r>
        <w:rPr>
          <w:rStyle w:val="13"/>
          <w:rFonts w:hint="eastAsia" w:ascii="仿宋_GB2312" w:hAnsi="仿宋_GB2312" w:eastAsia="仿宋_GB2312" w:cs="仿宋_GB2312"/>
          <w:sz w:val="32"/>
          <w:szCs w:val="32"/>
          <w:highlight w:val="none"/>
          <w:lang w:val="zh-TW"/>
        </w:rPr>
        <w:t>积极做好教育对口支援，京蒙教育协作、京藏京疆京青教育对口支援迈上新台阶。</w:t>
      </w:r>
    </w:p>
    <w:p w14:paraId="65D4D3A4">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eastAsia="仿宋_GB2312"/>
          <w:color w:val="000000"/>
          <w:kern w:val="0"/>
          <w:sz w:val="32"/>
          <w:szCs w:val="32"/>
          <w:highlight w:val="none"/>
        </w:rPr>
      </w:pPr>
      <w:r>
        <w:rPr>
          <w:rFonts w:hint="eastAsia" w:eastAsia="仿宋_GB2312"/>
          <w:color w:val="000000"/>
          <w:kern w:val="0"/>
          <w:sz w:val="32"/>
          <w:szCs w:val="32"/>
          <w:highlight w:val="none"/>
        </w:rPr>
        <w:t>2</w:t>
      </w:r>
      <w:r>
        <w:rPr>
          <w:rFonts w:eastAsia="仿宋_GB2312"/>
          <w:color w:val="000000"/>
          <w:kern w:val="0"/>
          <w:sz w:val="32"/>
          <w:szCs w:val="32"/>
          <w:highlight w:val="none"/>
        </w:rPr>
        <w:t>.环境效益</w:t>
      </w:r>
    </w:p>
    <w:p w14:paraId="01D9F8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仿宋_GB2312" w:eastAsia="仿宋_GB2312"/>
          <w:sz w:val="32"/>
          <w:szCs w:val="32"/>
          <w:highlight w:val="none"/>
          <w:lang w:eastAsia="zh-CN"/>
        </w:rPr>
        <w:t>纵深推进全面从严治党，</w:t>
      </w:r>
      <w:r>
        <w:rPr>
          <w:rFonts w:hint="eastAsia" w:ascii="仿宋_GB2312" w:eastAsia="仿宋_GB2312"/>
          <w:sz w:val="32"/>
          <w:szCs w:val="32"/>
          <w:highlight w:val="none"/>
        </w:rPr>
        <w:t>召开</w:t>
      </w:r>
      <w:r>
        <w:rPr>
          <w:rFonts w:hint="eastAsia" w:ascii="仿宋_GB2312" w:eastAsia="仿宋_GB2312"/>
          <w:sz w:val="32"/>
          <w:szCs w:val="32"/>
          <w:highlight w:val="none"/>
          <w:lang w:val="en-US" w:eastAsia="zh-CN"/>
        </w:rPr>
        <w:t>2023年</w:t>
      </w:r>
      <w:r>
        <w:rPr>
          <w:rFonts w:hint="eastAsia" w:ascii="仿宋_GB2312" w:eastAsia="仿宋_GB2312"/>
          <w:sz w:val="32"/>
          <w:szCs w:val="32"/>
          <w:highlight w:val="none"/>
        </w:rPr>
        <w:t>北京教育系统</w:t>
      </w:r>
      <w:r>
        <w:rPr>
          <w:rFonts w:hint="eastAsia" w:ascii="仿宋_GB2312" w:eastAsia="仿宋_GB2312"/>
          <w:color w:val="000000"/>
          <w:sz w:val="32"/>
          <w:szCs w:val="32"/>
          <w:highlight w:val="none"/>
        </w:rPr>
        <w:t>全面从严治党工作会暨警示教育大会，</w:t>
      </w:r>
      <w:r>
        <w:rPr>
          <w:rFonts w:hint="eastAsia" w:eastAsia="仿宋_GB2312"/>
          <w:color w:val="000000"/>
          <w:sz w:val="32"/>
          <w:szCs w:val="32"/>
          <w:highlight w:val="none"/>
        </w:rPr>
        <w:t>编辑下发案例集，</w:t>
      </w:r>
      <w:r>
        <w:rPr>
          <w:rFonts w:hint="eastAsia" w:ascii="仿宋_GB2312" w:hAnsi="仿宋_GB2312" w:eastAsia="仿宋_GB2312" w:cs="仿宋_GB2312"/>
          <w:kern w:val="0"/>
          <w:sz w:val="32"/>
          <w:szCs w:val="32"/>
          <w:highlight w:val="none"/>
        </w:rPr>
        <w:t>开展</w:t>
      </w:r>
      <w:r>
        <w:rPr>
          <w:rFonts w:hint="eastAsia" w:ascii="仿宋_GB2312" w:hAnsi="仿宋_GB2312" w:eastAsia="仿宋_GB2312" w:cs="仿宋_GB2312"/>
          <w:kern w:val="0"/>
          <w:sz w:val="32"/>
          <w:szCs w:val="32"/>
          <w:highlight w:val="none"/>
          <w:lang w:eastAsia="zh-CN"/>
        </w:rPr>
        <w:t>教育系统</w:t>
      </w:r>
      <w:r>
        <w:rPr>
          <w:rFonts w:hint="eastAsia" w:ascii="仿宋_GB2312" w:hAnsi="仿宋_GB2312" w:eastAsia="仿宋_GB2312" w:cs="仿宋_GB2312"/>
          <w:kern w:val="0"/>
          <w:sz w:val="32"/>
          <w:szCs w:val="32"/>
          <w:highlight w:val="none"/>
        </w:rPr>
        <w:t>医药领域腐败问题集中整治</w:t>
      </w:r>
      <w:r>
        <w:rPr>
          <w:rFonts w:hint="eastAsia" w:ascii="仿宋_GB2312" w:eastAsia="仿宋_GB2312"/>
          <w:color w:val="000000"/>
          <w:sz w:val="32"/>
          <w:szCs w:val="32"/>
          <w:highlight w:val="none"/>
        </w:rPr>
        <w:t>。</w:t>
      </w:r>
      <w:r>
        <w:rPr>
          <w:rFonts w:hint="eastAsia" w:ascii="仿宋_GB2312" w:hAnsi="仿宋_GB2312" w:eastAsia="仿宋_GB2312" w:cs="仿宋_GB2312"/>
          <w:color w:val="000000"/>
          <w:sz w:val="32"/>
          <w:szCs w:val="32"/>
          <w:highlight w:val="none"/>
        </w:rPr>
        <w:t>推进市属高校监察体制改革，</w:t>
      </w:r>
      <w:r>
        <w:rPr>
          <w:rFonts w:hint="eastAsia" w:ascii="仿宋_GB2312" w:eastAsia="仿宋_GB2312"/>
          <w:sz w:val="32"/>
          <w:szCs w:val="32"/>
          <w:highlight w:val="none"/>
        </w:rPr>
        <w:t>严肃开展</w:t>
      </w:r>
      <w:r>
        <w:rPr>
          <w:rFonts w:hint="eastAsia" w:ascii="仿宋_GB2312" w:eastAsia="仿宋_GB2312"/>
          <w:color w:val="000000"/>
          <w:sz w:val="32"/>
          <w:szCs w:val="32"/>
          <w:highlight w:val="none"/>
        </w:rPr>
        <w:t>高校全面从严治党责任考核，</w:t>
      </w:r>
      <w:r>
        <w:rPr>
          <w:rFonts w:hint="eastAsia" w:ascii="仿宋_GB2312" w:eastAsia="仿宋_GB2312"/>
          <w:sz w:val="32"/>
          <w:szCs w:val="32"/>
          <w:highlight w:val="none"/>
        </w:rPr>
        <w:t>约谈问题突出高校负责人。</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kern w:val="0"/>
          <w:sz w:val="32"/>
          <w:szCs w:val="32"/>
          <w:highlight w:val="none"/>
        </w:rPr>
        <w:t>案为鉴，</w:t>
      </w:r>
      <w:r>
        <w:rPr>
          <w:rFonts w:hint="eastAsia" w:eastAsia="仿宋_GB2312" w:cs="仿宋_GB2312"/>
          <w:sz w:val="32"/>
          <w:szCs w:val="32"/>
          <w:highlight w:val="none"/>
        </w:rPr>
        <w:t>召开专题民主生活会，开展党风廉政风险点排查，举办专题廉政报告，针对招生、艺考等关键领域开展系统治理。</w:t>
      </w:r>
      <w:r>
        <w:rPr>
          <w:rFonts w:hint="eastAsia" w:ascii="Times New Roman" w:hAnsi="Times New Roman" w:eastAsia="仿宋_GB2312" w:cs="Times New Roman"/>
          <w:sz w:val="32"/>
          <w:szCs w:val="32"/>
          <w:highlight w:val="none"/>
        </w:rPr>
        <w:t>驰</w:t>
      </w:r>
      <w:r>
        <w:rPr>
          <w:rFonts w:hint="eastAsia" w:ascii="仿宋_GB2312" w:hAnsi="Times-Roman" w:eastAsia="仿宋_GB2312"/>
          <w:sz w:val="32"/>
          <w:szCs w:val="32"/>
          <w:highlight w:val="none"/>
        </w:rPr>
        <w:t>而不息正风肃纪，</w:t>
      </w:r>
      <w:r>
        <w:rPr>
          <w:rFonts w:hint="eastAsia" w:ascii="仿宋_GB2312" w:eastAsia="仿宋_GB2312"/>
          <w:sz w:val="32"/>
          <w:szCs w:val="32"/>
          <w:highlight w:val="none"/>
        </w:rPr>
        <w:t>对处室和直属单位开展新一届党建巡察</w:t>
      </w:r>
      <w:r>
        <w:rPr>
          <w:rFonts w:hint="eastAsia" w:ascii="仿宋_GB2312" w:hAnsi="Times-Roman" w:eastAsia="仿宋_GB2312"/>
          <w:sz w:val="32"/>
          <w:szCs w:val="32"/>
          <w:highlight w:val="none"/>
        </w:rPr>
        <w:t>和</w:t>
      </w:r>
      <w:r>
        <w:rPr>
          <w:rFonts w:hint="eastAsia" w:ascii="仿宋_GB2312" w:hAnsi="仿宋_GB2312" w:eastAsia="仿宋_GB2312" w:cs="仿宋_GB2312"/>
          <w:sz w:val="32"/>
          <w:szCs w:val="32"/>
          <w:highlight w:val="none"/>
        </w:rPr>
        <w:t>“过筛子”检查，办理信访举报问题线索</w:t>
      </w:r>
      <w:r>
        <w:rPr>
          <w:rFonts w:hint="eastAsia" w:ascii="Times New Roman" w:hAnsi="Times New Roman" w:eastAsia="仿宋_GB2312" w:cs="Times New Roman"/>
          <w:sz w:val="32"/>
          <w:szCs w:val="32"/>
          <w:highlight w:val="none"/>
        </w:rPr>
        <w:t>21件，给予2人</w:t>
      </w:r>
      <w:r>
        <w:rPr>
          <w:rFonts w:hint="eastAsia" w:ascii="仿宋_GB2312" w:hAnsi="仿宋_GB2312" w:eastAsia="仿宋_GB2312" w:cs="仿宋_GB2312"/>
          <w:sz w:val="32"/>
          <w:szCs w:val="32"/>
          <w:highlight w:val="none"/>
        </w:rPr>
        <w:t>党纪政务处分。</w:t>
      </w:r>
      <w:r>
        <w:rPr>
          <w:rFonts w:hint="eastAsia" w:eastAsia="仿宋_GB2312"/>
          <w:sz w:val="32"/>
          <w:szCs w:val="32"/>
          <w:highlight w:val="none"/>
        </w:rPr>
        <w:t>推进依法治校，组织开展高校依法治校达标抽查，评选依法治校示范校。</w:t>
      </w:r>
    </w:p>
    <w:p w14:paraId="6484E87E">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仿宋_GB2312"/>
          <w:color w:val="000000"/>
          <w:kern w:val="0"/>
          <w:sz w:val="32"/>
          <w:szCs w:val="32"/>
          <w:highlight w:val="none"/>
        </w:rPr>
      </w:pPr>
      <w:r>
        <w:rPr>
          <w:rFonts w:hint="eastAsia" w:eastAsia="仿宋_GB2312"/>
          <w:color w:val="000000"/>
          <w:kern w:val="0"/>
          <w:sz w:val="32"/>
          <w:szCs w:val="32"/>
          <w:highlight w:val="none"/>
        </w:rPr>
        <w:t>3</w:t>
      </w:r>
      <w:r>
        <w:rPr>
          <w:rFonts w:eastAsia="仿宋_GB2312"/>
          <w:color w:val="000000"/>
          <w:kern w:val="0"/>
          <w:sz w:val="32"/>
          <w:szCs w:val="32"/>
          <w:highlight w:val="none"/>
        </w:rPr>
        <w:t>.可持续性影响</w:t>
      </w:r>
    </w:p>
    <w:p w14:paraId="625FF516">
      <w:pPr>
        <w:keepNext w:val="0"/>
        <w:keepLines w:val="0"/>
        <w:pageBreakBefore w:val="0"/>
        <w:widowControl w:val="0"/>
        <w:kinsoku/>
        <w:wordWrap/>
        <w:overflowPunct/>
        <w:topLinePunct w:val="0"/>
        <w:autoSpaceDN/>
        <w:bidi w:val="0"/>
        <w:adjustRightInd/>
        <w:snapToGrid w:val="0"/>
        <w:spacing w:line="560" w:lineRule="exact"/>
        <w:ind w:firstLine="640" w:firstLineChars="200"/>
        <w:jc w:val="left"/>
        <w:textAlignment w:val="auto"/>
        <w:outlineLvl w:val="1"/>
        <w:rPr>
          <w:rFonts w:hint="eastAsia" w:ascii="仿宋_GB2312" w:eastAsia="仿宋_GB2312"/>
          <w:sz w:val="32"/>
          <w:szCs w:val="32"/>
          <w:highlight w:val="none"/>
          <w:shd w:val="clear" w:color="auto" w:fill="FFFFFF"/>
        </w:rPr>
      </w:pPr>
      <w:r>
        <w:rPr>
          <w:rFonts w:hint="eastAsia" w:ascii="Times New Roman" w:hAnsi="Times New Roman" w:eastAsia="仿宋_GB2312" w:cs="Times New Roman"/>
          <w:sz w:val="32"/>
          <w:szCs w:val="32"/>
          <w:highlight w:val="none"/>
        </w:rPr>
        <w:t>深化教育领域综合改革。</w:t>
      </w:r>
      <w:r>
        <w:rPr>
          <w:rFonts w:hint="eastAsia" w:ascii="仿宋_GB2312" w:eastAsia="仿宋_GB2312"/>
          <w:bCs/>
          <w:sz w:val="32"/>
          <w:szCs w:val="32"/>
          <w:highlight w:val="none"/>
        </w:rPr>
        <w:t>探索建立拔尖创新人才自主培养体系，升级建设北京青少年创新学院，遴选建</w:t>
      </w:r>
      <w:r>
        <w:rPr>
          <w:rFonts w:hint="eastAsia" w:ascii="Times New Roman" w:hAnsi="Times New Roman" w:eastAsia="仿宋_GB2312" w:cs="Times New Roman"/>
          <w:sz w:val="32"/>
          <w:szCs w:val="32"/>
          <w:highlight w:val="none"/>
        </w:rPr>
        <w:t>设46个优秀本科教学实验室、76</w:t>
      </w:r>
      <w:r>
        <w:rPr>
          <w:rFonts w:hint="eastAsia" w:ascii="仿宋_GB2312" w:eastAsia="仿宋_GB2312"/>
          <w:bCs/>
          <w:sz w:val="32"/>
          <w:szCs w:val="32"/>
          <w:highlight w:val="none"/>
        </w:rPr>
        <w:t>个产学研深度协同育人平台。</w:t>
      </w:r>
      <w:r>
        <w:rPr>
          <w:rFonts w:hint="eastAsia" w:ascii="仿宋_GB2312" w:hAnsi="仿宋_GB2312" w:eastAsia="仿宋_GB2312" w:cs="仿宋_GB2312"/>
          <w:sz w:val="32"/>
          <w:szCs w:val="32"/>
          <w:highlight w:val="none"/>
        </w:rPr>
        <w:t>深化课程教材教学改革，</w:t>
      </w:r>
      <w:r>
        <w:rPr>
          <w:rFonts w:hint="eastAsia" w:ascii="仿宋_GB2312" w:eastAsia="仿宋_GB2312"/>
          <w:sz w:val="32"/>
          <w:szCs w:val="32"/>
          <w:highlight w:val="none"/>
        </w:rPr>
        <w:t>获得国家基础教</w:t>
      </w:r>
      <w:r>
        <w:rPr>
          <w:rFonts w:hint="eastAsia" w:ascii="Times New Roman" w:hAnsi="Times New Roman" w:eastAsia="仿宋_GB2312" w:cs="Times New Roman"/>
          <w:sz w:val="32"/>
          <w:szCs w:val="32"/>
          <w:highlight w:val="none"/>
        </w:rPr>
        <w:t>育教学成果奖34项，获评教育部基础教育精品课237节。实</w:t>
      </w:r>
      <w:r>
        <w:rPr>
          <w:rFonts w:hint="eastAsia" w:ascii="仿宋_GB2312" w:hAnsi="仿宋_GB2312" w:eastAsia="仿宋_GB2312" w:cs="仿宋_GB2312"/>
          <w:sz w:val="32"/>
          <w:szCs w:val="32"/>
          <w:highlight w:val="none"/>
        </w:rPr>
        <w:t>施中考中招改革，畅通多样化录取途径和多元化升学途径。深化市属高校分类发展，</w:t>
      </w:r>
      <w:r>
        <w:rPr>
          <w:rFonts w:hint="eastAsia" w:ascii="Times New Roman" w:hAnsi="Times New Roman" w:eastAsia="仿宋_GB2312" w:cs="Times New Roman"/>
          <w:sz w:val="32"/>
          <w:szCs w:val="32"/>
          <w:highlight w:val="none"/>
        </w:rPr>
        <w:t>按5种类型制定绩效考核评价指标体系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大力培育教育家精神，</w:t>
      </w:r>
      <w:r>
        <w:rPr>
          <w:rFonts w:hint="eastAsia" w:ascii="仿宋_GB2312" w:eastAsia="仿宋_GB2312"/>
          <w:sz w:val="32"/>
          <w:szCs w:val="32"/>
          <w:highlight w:val="none"/>
        </w:rPr>
        <w:t>深化教师人事制度改革，</w:t>
      </w:r>
      <w:r>
        <w:rPr>
          <w:rFonts w:hint="eastAsia" w:ascii="仿宋_GB2312" w:eastAsia="仿宋_GB2312"/>
          <w:sz w:val="32"/>
          <w:szCs w:val="32"/>
          <w:highlight w:val="none"/>
          <w:shd w:val="clear" w:color="auto" w:fill="FFFFFF"/>
        </w:rPr>
        <w:t>推动师德师风建设常态化。</w:t>
      </w:r>
    </w:p>
    <w:p w14:paraId="72CCC5E5">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仿宋_GB2312"/>
          <w:color w:val="000000"/>
          <w:kern w:val="0"/>
          <w:sz w:val="32"/>
          <w:szCs w:val="32"/>
          <w:highlight w:val="none"/>
        </w:rPr>
      </w:pPr>
      <w:r>
        <w:rPr>
          <w:rFonts w:hint="eastAsia" w:eastAsia="仿宋_GB2312"/>
          <w:color w:val="000000"/>
          <w:kern w:val="0"/>
          <w:sz w:val="32"/>
          <w:szCs w:val="32"/>
          <w:highlight w:val="none"/>
        </w:rPr>
        <w:t>4</w:t>
      </w:r>
      <w:r>
        <w:rPr>
          <w:rFonts w:eastAsia="仿宋_GB2312"/>
          <w:color w:val="000000"/>
          <w:kern w:val="0"/>
          <w:sz w:val="32"/>
          <w:szCs w:val="32"/>
          <w:highlight w:val="none"/>
        </w:rPr>
        <w:t>.服务对象满意度</w:t>
      </w:r>
    </w:p>
    <w:p w14:paraId="6A2B4E65">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Style w:val="13"/>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高标准完成“七有”“五性”民生实事。积极配合落实托育服务体系建设</w:t>
      </w:r>
      <w:r>
        <w:rPr>
          <w:rFonts w:hint="eastAsia" w:ascii="Times New Roman" w:hAnsi="Times New Roman" w:eastAsia="仿宋_GB2312" w:cs="Times New Roman"/>
          <w:sz w:val="32"/>
          <w:szCs w:val="32"/>
          <w:highlight w:val="none"/>
        </w:rPr>
        <w:t>，213所幼儿园提供6039个托位。指导各区新建、改扩建学校35所，新增中小学学位3.8万个，有效缓解学位</w:t>
      </w:r>
      <w:r>
        <w:rPr>
          <w:rFonts w:hint="eastAsia" w:ascii="仿宋_GB2312" w:hAnsi="仿宋_GB2312" w:eastAsia="仿宋_GB2312" w:cs="仿宋_GB2312"/>
          <w:bCs/>
          <w:sz w:val="32"/>
          <w:szCs w:val="32"/>
          <w:highlight w:val="none"/>
        </w:rPr>
        <w:t>缺口。交流轮岗教</w:t>
      </w:r>
      <w:r>
        <w:rPr>
          <w:rFonts w:hint="eastAsia" w:ascii="Times New Roman" w:hAnsi="Times New Roman" w:eastAsia="仿宋_GB2312" w:cs="Times New Roman"/>
          <w:sz w:val="32"/>
          <w:szCs w:val="32"/>
          <w:highlight w:val="none"/>
        </w:rPr>
        <w:t>师</w:t>
      </w:r>
      <w:r>
        <w:rPr>
          <w:rFonts w:ascii="Times New Roman" w:hAnsi="Times New Roman" w:eastAsia="仿宋_GB2312" w:cs="Times New Roman"/>
          <w:sz w:val="32"/>
          <w:szCs w:val="32"/>
          <w:highlight w:val="none"/>
        </w:rPr>
        <w:t>4.2</w:t>
      </w:r>
      <w:r>
        <w:rPr>
          <w:rFonts w:hint="eastAsia" w:ascii="Times New Roman" w:hAnsi="Times New Roman" w:eastAsia="仿宋_GB2312" w:cs="Times New Roman"/>
          <w:sz w:val="32"/>
          <w:szCs w:val="32"/>
          <w:highlight w:val="none"/>
        </w:rPr>
        <w:t>万余名，交流轮岗比例占符合条件教师的79%。为1.2万余名小学生提供暑期托管服务。持续开展72所学</w:t>
      </w:r>
      <w:r>
        <w:rPr>
          <w:rFonts w:hint="eastAsia" w:ascii="仿宋_GB2312" w:hAnsi="仿宋_GB2312" w:eastAsia="仿宋_GB2312" w:cs="仿宋_GB2312"/>
          <w:bCs/>
          <w:sz w:val="32"/>
          <w:szCs w:val="32"/>
          <w:highlight w:val="none"/>
        </w:rPr>
        <w:t>校交通秩序监测和交通环境提升行动。</w:t>
      </w:r>
      <w:r>
        <w:rPr>
          <w:rFonts w:hint="eastAsia" w:ascii="仿宋_GB2312" w:hAnsi="仿宋_GB2312" w:eastAsia="仿宋_GB2312" w:cs="仿宋_GB2312"/>
          <w:sz w:val="32"/>
          <w:szCs w:val="32"/>
          <w:highlight w:val="none"/>
        </w:rPr>
        <w:t>落实“访企拓岗”专项行动，举办招聘会、双选</w:t>
      </w:r>
      <w:r>
        <w:rPr>
          <w:rFonts w:hint="eastAsia" w:ascii="Times New Roman" w:hAnsi="Times New Roman" w:eastAsia="仿宋_GB2312" w:cs="Times New Roman"/>
          <w:sz w:val="32"/>
          <w:szCs w:val="32"/>
          <w:highlight w:val="none"/>
        </w:rPr>
        <w:t>会6000余场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shd w:val="clear" w:color="auto" w:fill="FFFFFF"/>
        </w:rPr>
        <w:t>“接诉即办”派单同比下降</w:t>
      </w:r>
      <w:r>
        <w:rPr>
          <w:rFonts w:hint="eastAsia" w:ascii="Times New Roman" w:hAnsi="Times New Roman" w:eastAsia="仿宋_GB2312" w:cs="Times New Roman"/>
          <w:sz w:val="32"/>
          <w:szCs w:val="32"/>
          <w:highlight w:val="none"/>
        </w:rPr>
        <w:t>33.84%，</w:t>
      </w:r>
      <w:r>
        <w:rPr>
          <w:rFonts w:hint="eastAsia" w:ascii="仿宋_GB2312" w:hAnsi="仿宋_GB2312" w:eastAsia="仿宋_GB2312" w:cs="仿宋_GB2312"/>
          <w:sz w:val="32"/>
          <w:szCs w:val="32"/>
          <w:highlight w:val="none"/>
        </w:rPr>
        <w:t>人民群众获得感、满意度不断提升。</w:t>
      </w:r>
    </w:p>
    <w:p w14:paraId="28089F29">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黑体"/>
          <w:color w:val="000000"/>
          <w:kern w:val="0"/>
          <w:sz w:val="32"/>
          <w:szCs w:val="32"/>
        </w:rPr>
      </w:pPr>
      <w:r>
        <w:rPr>
          <w:rFonts w:eastAsia="黑体"/>
          <w:color w:val="000000"/>
          <w:kern w:val="0"/>
          <w:sz w:val="32"/>
          <w:szCs w:val="32"/>
        </w:rPr>
        <w:t>四、预算管理情况分析</w:t>
      </w:r>
    </w:p>
    <w:p w14:paraId="34CBDE7C">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楷体_GB2312"/>
          <w:sz w:val="32"/>
          <w:szCs w:val="32"/>
        </w:rPr>
      </w:pPr>
      <w:r>
        <w:rPr>
          <w:rFonts w:eastAsia="楷体_GB2312"/>
          <w:sz w:val="32"/>
          <w:szCs w:val="32"/>
        </w:rPr>
        <w:t>（一）财务管理</w:t>
      </w:r>
    </w:p>
    <w:p w14:paraId="4D6373CA">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仿宋_GB2312"/>
          <w:color w:val="000000"/>
          <w:kern w:val="0"/>
          <w:sz w:val="32"/>
          <w:szCs w:val="32"/>
        </w:rPr>
      </w:pPr>
      <w:r>
        <w:rPr>
          <w:rFonts w:eastAsia="仿宋_GB2312"/>
          <w:color w:val="000000"/>
          <w:kern w:val="0"/>
          <w:sz w:val="32"/>
          <w:szCs w:val="32"/>
        </w:rPr>
        <w:t>1.财务管理制度健全性</w:t>
      </w:r>
    </w:p>
    <w:p w14:paraId="484216A7">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Times New Roman" w:hAnsi="Times New Roman" w:eastAsia="仿宋_GB2312"/>
          <w:sz w:val="32"/>
          <w:szCs w:val="32"/>
          <w:lang w:eastAsia="zh-CN"/>
        </w:rPr>
        <w:t>持续推进制度建设</w:t>
      </w:r>
      <w:r>
        <w:rPr>
          <w:rFonts w:hint="eastAsia" w:ascii="仿宋_GB2312" w:hAnsi="仿宋" w:eastAsia="仿宋_GB2312" w:cs="Times New Roman"/>
          <w:sz w:val="32"/>
          <w:szCs w:val="32"/>
          <w:highlight w:val="none"/>
          <w:lang w:val="en-US" w:eastAsia="zh-CN"/>
        </w:rPr>
        <w:t>，进一步规范政府采购和政府购买服务预算管理，印发《市委教育工委政府购买服务负面清单》、《中共北京市委教育工作委员会政府购买服务指导性目录（修订）》、《中共北京市委教育工作委员会政府购买服务预算管理办法（试行）》。</w:t>
      </w:r>
    </w:p>
    <w:p w14:paraId="75B18422">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仿宋_GB2312"/>
          <w:color w:val="000000"/>
          <w:kern w:val="0"/>
          <w:sz w:val="32"/>
          <w:szCs w:val="32"/>
        </w:rPr>
      </w:pPr>
      <w:r>
        <w:rPr>
          <w:rFonts w:eastAsia="仿宋_GB2312"/>
          <w:color w:val="000000"/>
          <w:kern w:val="0"/>
          <w:sz w:val="32"/>
          <w:szCs w:val="32"/>
        </w:rPr>
        <w:t>2.资金使用合规性和安全性</w:t>
      </w:r>
    </w:p>
    <w:p w14:paraId="73F7A47D">
      <w:pPr>
        <w:keepNext w:val="0"/>
        <w:keepLines w:val="0"/>
        <w:pageBreakBefore w:val="0"/>
        <w:widowControl w:val="0"/>
        <w:kinsoku/>
        <w:wordWrap/>
        <w:overflowPunct/>
        <w:topLinePunct w:val="0"/>
        <w:autoSpaceDN/>
        <w:bidi w:val="0"/>
        <w:adjustRightInd/>
        <w:spacing w:line="560" w:lineRule="exact"/>
        <w:ind w:left="105" w:leftChars="50" w:firstLine="640" w:firstLineChars="200"/>
        <w:textAlignment w:val="auto"/>
        <w:rPr>
          <w:rFonts w:eastAsia="仿宋_GB2312"/>
          <w:color w:val="000000"/>
          <w:kern w:val="0"/>
          <w:sz w:val="32"/>
          <w:szCs w:val="32"/>
        </w:rPr>
      </w:pPr>
      <w:r>
        <w:rPr>
          <w:rFonts w:eastAsia="仿宋_GB2312"/>
          <w:color w:val="000000"/>
          <w:kern w:val="0"/>
          <w:sz w:val="32"/>
          <w:szCs w:val="32"/>
        </w:rPr>
        <w:t>严格按照预算批复开支经费，落实中央八项规定精神，遵守财经纪律，报销结算过程中严格按照中央和北京市的支出标准、流程、管理等方面要求执行，坚持“无预算不支出、超预算不执行”的原则。支出审核手续完备，确保各项资金安全规范有效使用。</w:t>
      </w:r>
    </w:p>
    <w:p w14:paraId="3CB34EE9">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仿宋_GB2312"/>
          <w:color w:val="000000"/>
          <w:kern w:val="0"/>
          <w:sz w:val="32"/>
          <w:szCs w:val="32"/>
        </w:rPr>
      </w:pPr>
      <w:r>
        <w:rPr>
          <w:rFonts w:eastAsia="仿宋_GB2312"/>
          <w:color w:val="000000"/>
          <w:kern w:val="0"/>
          <w:sz w:val="32"/>
          <w:szCs w:val="32"/>
        </w:rPr>
        <w:t>3.会计基础信息完善性</w:t>
      </w:r>
    </w:p>
    <w:p w14:paraId="57D2A569">
      <w:pPr>
        <w:keepNext w:val="0"/>
        <w:keepLines w:val="0"/>
        <w:pageBreakBefore w:val="0"/>
        <w:widowControl w:val="0"/>
        <w:kinsoku/>
        <w:wordWrap/>
        <w:overflowPunct/>
        <w:topLinePunct w:val="0"/>
        <w:autoSpaceDN/>
        <w:bidi w:val="0"/>
        <w:adjustRightInd/>
        <w:spacing w:line="560" w:lineRule="exact"/>
        <w:ind w:left="105" w:leftChars="50" w:firstLine="640" w:firstLineChars="200"/>
        <w:textAlignment w:val="auto"/>
        <w:rPr>
          <w:rFonts w:eastAsia="仿宋_GB2312"/>
          <w:color w:val="000000"/>
          <w:kern w:val="0"/>
          <w:sz w:val="32"/>
          <w:szCs w:val="32"/>
        </w:rPr>
      </w:pPr>
      <w:r>
        <w:rPr>
          <w:rFonts w:eastAsia="仿宋_GB2312"/>
          <w:color w:val="000000"/>
          <w:kern w:val="0"/>
          <w:sz w:val="32"/>
          <w:szCs w:val="32"/>
        </w:rPr>
        <w:t>加强会计基础工作，确保会计信息的真实性、准确性和完整性，提高会计信息质量。</w:t>
      </w:r>
      <w:r>
        <w:rPr>
          <w:rFonts w:hint="eastAsia" w:eastAsia="仿宋_GB2312"/>
          <w:color w:val="000000"/>
          <w:kern w:val="0"/>
          <w:sz w:val="32"/>
          <w:szCs w:val="32"/>
        </w:rPr>
        <w:t>聘请</w:t>
      </w:r>
      <w:r>
        <w:rPr>
          <w:rFonts w:hint="eastAsia" w:eastAsia="仿宋_GB2312"/>
          <w:color w:val="000000"/>
          <w:kern w:val="0"/>
          <w:sz w:val="32"/>
          <w:szCs w:val="32"/>
          <w:lang w:eastAsia="zh-CN"/>
        </w:rPr>
        <w:t>专业机构开展</w:t>
      </w:r>
      <w:r>
        <w:rPr>
          <w:rFonts w:hint="eastAsia" w:ascii="仿宋_GB2312" w:hAnsi="仿宋" w:eastAsia="仿宋_GB2312" w:cs="Times New Roman"/>
          <w:sz w:val="32"/>
          <w:szCs w:val="32"/>
          <w:highlight w:val="none"/>
          <w:lang w:val="en-US" w:eastAsia="zh-CN"/>
        </w:rPr>
        <w:t>预算执行与决算</w:t>
      </w:r>
      <w:r>
        <w:rPr>
          <w:rFonts w:hint="eastAsia" w:eastAsia="仿宋_GB2312"/>
          <w:color w:val="000000"/>
          <w:kern w:val="0"/>
          <w:sz w:val="32"/>
          <w:szCs w:val="32"/>
        </w:rPr>
        <w:t>审计、内部控制建设执行情况评价，查找日常财务管理中薄弱环节，夯实财务管理基础。</w:t>
      </w:r>
    </w:p>
    <w:p w14:paraId="393DCD3B">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楷体_GB2312"/>
          <w:sz w:val="32"/>
          <w:szCs w:val="32"/>
        </w:rPr>
      </w:pPr>
      <w:r>
        <w:rPr>
          <w:rFonts w:eastAsia="楷体_GB2312"/>
          <w:sz w:val="32"/>
          <w:szCs w:val="32"/>
        </w:rPr>
        <w:t>（二）资产管理</w:t>
      </w:r>
    </w:p>
    <w:p w14:paraId="6836FF87">
      <w:pPr>
        <w:keepNext w:val="0"/>
        <w:keepLines w:val="0"/>
        <w:pageBreakBefore w:val="0"/>
        <w:widowControl w:val="0"/>
        <w:kinsoku/>
        <w:wordWrap/>
        <w:overflowPunct/>
        <w:topLinePunct w:val="0"/>
        <w:autoSpaceDN/>
        <w:bidi w:val="0"/>
        <w:adjustRightInd/>
        <w:spacing w:line="560" w:lineRule="exact"/>
        <w:ind w:left="105" w:leftChars="50" w:firstLine="640" w:firstLineChars="200"/>
        <w:textAlignment w:val="auto"/>
        <w:rPr>
          <w:rFonts w:eastAsia="楷体_GB2312"/>
          <w:sz w:val="32"/>
          <w:szCs w:val="32"/>
        </w:rPr>
      </w:pPr>
      <w:r>
        <w:rPr>
          <w:rFonts w:hint="eastAsia" w:eastAsia="仿宋_GB2312"/>
          <w:color w:val="000000"/>
          <w:sz w:val="32"/>
          <w:szCs w:val="32"/>
        </w:rPr>
        <w:t>严格执行《中共北京市委教育工作委员会固定资产管理若干规定》，严格资产配置的审批程序，坚持资产配置与部门履行职能需要相适应，坚持资产管理与预算管理相结合。定期开展资产清查盘点，充分了解掌握资产现状，根据存量提出资产配置方案，能通过资产调剂解决的，原则上不重新购置，盘活了存量资产，提高了资产使用效益。</w:t>
      </w:r>
    </w:p>
    <w:p w14:paraId="57BE2238">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eastAsia="楷体_GB2312"/>
          <w:sz w:val="32"/>
          <w:szCs w:val="32"/>
        </w:rPr>
      </w:pPr>
      <w:r>
        <w:rPr>
          <w:rFonts w:eastAsia="楷体_GB2312"/>
          <w:sz w:val="32"/>
          <w:szCs w:val="32"/>
        </w:rPr>
        <w:t>（三）绩效管理</w:t>
      </w:r>
    </w:p>
    <w:p w14:paraId="71BDE278">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eastAsia="仿宋_GB2312"/>
          <w:sz w:val="32"/>
          <w:szCs w:val="32"/>
        </w:rPr>
      </w:pPr>
      <w:r>
        <w:rPr>
          <w:rFonts w:hint="eastAsia" w:ascii="仿宋_GB2312" w:hAnsi="仿宋" w:eastAsia="仿宋_GB2312" w:cs="Times New Roman"/>
          <w:sz w:val="32"/>
          <w:szCs w:val="32"/>
          <w:highlight w:val="none"/>
          <w:lang w:val="en-US" w:eastAsia="zh-CN"/>
        </w:rPr>
        <w:t>坚持“花钱必问效、无效必问责”原则，将绩效理念深度融入预算编制、执行、监督的全过程。</w:t>
      </w:r>
      <w:r>
        <w:rPr>
          <w:rFonts w:eastAsia="仿宋_GB2312"/>
          <w:sz w:val="32"/>
          <w:szCs w:val="32"/>
        </w:rPr>
        <w:t>年初预算项目全部实现绩效目标填报管理，新增项目严格开展事前绩效评估。印发《市委教育工委关于</w:t>
      </w:r>
      <w:r>
        <w:rPr>
          <w:rFonts w:hint="eastAsia" w:eastAsia="仿宋_GB2312"/>
          <w:sz w:val="32"/>
          <w:szCs w:val="32"/>
          <w:lang w:eastAsia="zh-CN"/>
        </w:rPr>
        <w:t>开展</w:t>
      </w:r>
      <w:r>
        <w:rPr>
          <w:rFonts w:eastAsia="仿宋_GB2312"/>
          <w:sz w:val="32"/>
          <w:szCs w:val="32"/>
        </w:rPr>
        <w:t>202</w:t>
      </w:r>
      <w:r>
        <w:rPr>
          <w:rFonts w:hint="eastAsia" w:eastAsia="仿宋_GB2312"/>
          <w:sz w:val="32"/>
          <w:szCs w:val="32"/>
          <w:lang w:val="en-US" w:eastAsia="zh-CN"/>
        </w:rPr>
        <w:t>4</w:t>
      </w:r>
      <w:r>
        <w:rPr>
          <w:rFonts w:eastAsia="仿宋_GB2312"/>
          <w:sz w:val="32"/>
          <w:szCs w:val="32"/>
        </w:rPr>
        <w:t>年预算绩效管理</w:t>
      </w:r>
      <w:r>
        <w:rPr>
          <w:rFonts w:hint="eastAsia" w:eastAsia="仿宋_GB2312"/>
          <w:sz w:val="32"/>
          <w:szCs w:val="32"/>
          <w:lang w:eastAsia="zh-CN"/>
        </w:rPr>
        <w:t>相关</w:t>
      </w:r>
      <w:r>
        <w:rPr>
          <w:rFonts w:eastAsia="仿宋_GB2312"/>
          <w:sz w:val="32"/>
          <w:szCs w:val="32"/>
        </w:rPr>
        <w:t>工作的通知》，明确工作内容和职责分工，组织各处室稳步做好项目支出绩效自评、重点项目绩效评价、成本绩效分析、部门整体绩效评价等工作。</w:t>
      </w:r>
    </w:p>
    <w:p w14:paraId="34A4490C">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eastAsia="楷体_GB2312"/>
          <w:sz w:val="32"/>
          <w:szCs w:val="32"/>
        </w:rPr>
      </w:pPr>
      <w:r>
        <w:rPr>
          <w:rFonts w:eastAsia="楷体_GB2312"/>
          <w:sz w:val="32"/>
          <w:szCs w:val="32"/>
        </w:rPr>
        <w:t>（四）结转结余率</w:t>
      </w:r>
    </w:p>
    <w:p w14:paraId="42D851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eastAsia="仿宋_GB2312"/>
          <w:sz w:val="32"/>
          <w:szCs w:val="32"/>
        </w:rPr>
        <w:t>202</w:t>
      </w:r>
      <w:r>
        <w:rPr>
          <w:rFonts w:hint="eastAsia" w:eastAsia="仿宋_GB2312"/>
          <w:sz w:val="32"/>
          <w:szCs w:val="32"/>
          <w:lang w:val="en-US" w:eastAsia="zh-CN"/>
        </w:rPr>
        <w:t>3</w:t>
      </w:r>
      <w:r>
        <w:rPr>
          <w:rFonts w:eastAsia="仿宋_GB2312"/>
          <w:sz w:val="32"/>
          <w:szCs w:val="32"/>
        </w:rPr>
        <w:t>年末总结转结余</w:t>
      </w:r>
      <w:r>
        <w:rPr>
          <w:rFonts w:hint="eastAsia" w:eastAsia="仿宋_GB2312"/>
          <w:sz w:val="32"/>
          <w:szCs w:val="32"/>
          <w:lang w:eastAsia="zh-CN"/>
        </w:rPr>
        <w:t>资金</w:t>
      </w:r>
      <w:r>
        <w:rPr>
          <w:rFonts w:hint="eastAsia" w:eastAsia="仿宋_GB2312"/>
          <w:sz w:val="32"/>
          <w:szCs w:val="32"/>
          <w:lang w:val="en-US" w:eastAsia="zh-CN"/>
        </w:rPr>
        <w:t>2019.12</w:t>
      </w:r>
      <w:r>
        <w:rPr>
          <w:rFonts w:hint="eastAsia" w:eastAsia="仿宋_GB2312"/>
          <w:sz w:val="32"/>
          <w:szCs w:val="32"/>
          <w:lang w:eastAsia="zh-CN"/>
        </w:rPr>
        <w:t>万元，结</w:t>
      </w:r>
      <w:r>
        <w:rPr>
          <w:rFonts w:eastAsia="仿宋_GB2312"/>
          <w:sz w:val="32"/>
          <w:szCs w:val="32"/>
        </w:rPr>
        <w:t>转结余率为</w:t>
      </w:r>
      <w:r>
        <w:rPr>
          <w:rFonts w:hint="eastAsia" w:eastAsia="仿宋_GB2312"/>
          <w:sz w:val="32"/>
          <w:szCs w:val="32"/>
          <w:lang w:val="en-US" w:eastAsia="zh-CN"/>
        </w:rPr>
        <w:t>5.63</w:t>
      </w:r>
      <w:r>
        <w:rPr>
          <w:rFonts w:eastAsia="仿宋_GB2312"/>
          <w:sz w:val="32"/>
          <w:szCs w:val="32"/>
        </w:rPr>
        <w:t>%，按照资金来源划分，其中：</w:t>
      </w:r>
      <w:r>
        <w:rPr>
          <w:rFonts w:hint="eastAsia" w:eastAsia="仿宋_GB2312"/>
          <w:sz w:val="32"/>
          <w:szCs w:val="32"/>
        </w:rPr>
        <w:t>一般公共预算财政拨款结转结余</w:t>
      </w:r>
      <w:r>
        <w:rPr>
          <w:rFonts w:hint="eastAsia" w:eastAsia="仿宋_GB2312"/>
          <w:sz w:val="32"/>
          <w:szCs w:val="32"/>
          <w:lang w:val="en-US" w:eastAsia="zh-CN"/>
        </w:rPr>
        <w:t>1652.24</w:t>
      </w:r>
      <w:r>
        <w:rPr>
          <w:rFonts w:hint="eastAsia" w:eastAsia="仿宋_GB2312"/>
          <w:sz w:val="32"/>
          <w:szCs w:val="32"/>
        </w:rPr>
        <w:t>万元，包括基本支出</w:t>
      </w:r>
      <w:r>
        <w:rPr>
          <w:rFonts w:hint="eastAsia" w:eastAsia="仿宋_GB2312"/>
          <w:sz w:val="32"/>
          <w:szCs w:val="32"/>
          <w:lang w:eastAsia="zh-CN"/>
        </w:rPr>
        <w:t>结转</w:t>
      </w:r>
      <w:r>
        <w:rPr>
          <w:rFonts w:hint="eastAsia" w:eastAsia="仿宋_GB2312"/>
          <w:sz w:val="32"/>
          <w:szCs w:val="32"/>
          <w:lang w:val="en-US" w:eastAsia="zh-CN"/>
        </w:rPr>
        <w:t>100.46</w:t>
      </w:r>
      <w:r>
        <w:rPr>
          <w:rFonts w:hint="eastAsia" w:eastAsia="仿宋_GB2312"/>
          <w:sz w:val="32"/>
          <w:szCs w:val="32"/>
        </w:rPr>
        <w:t>万元，项目支出结余</w:t>
      </w:r>
      <w:r>
        <w:rPr>
          <w:rFonts w:hint="eastAsia" w:eastAsia="仿宋_GB2312"/>
          <w:sz w:val="32"/>
          <w:szCs w:val="32"/>
          <w:lang w:val="en-US" w:eastAsia="zh-CN"/>
        </w:rPr>
        <w:t>1551.78</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rPr>
        <w:t>主要是因任务条件发生变化个别项目</w:t>
      </w:r>
      <w:r>
        <w:rPr>
          <w:rFonts w:hint="eastAsia" w:eastAsia="仿宋_GB2312"/>
          <w:sz w:val="32"/>
          <w:szCs w:val="32"/>
          <w:lang w:eastAsia="zh-CN"/>
        </w:rPr>
        <w:t>未</w:t>
      </w:r>
      <w:r>
        <w:rPr>
          <w:rFonts w:hint="eastAsia" w:eastAsia="仿宋_GB2312"/>
          <w:sz w:val="32"/>
          <w:szCs w:val="32"/>
        </w:rPr>
        <w:t>安排支出导致</w:t>
      </w:r>
      <w:r>
        <w:rPr>
          <w:rFonts w:hint="eastAsia" w:eastAsia="仿宋_GB2312"/>
          <w:sz w:val="32"/>
          <w:szCs w:val="32"/>
          <w:lang w:eastAsia="zh-CN"/>
        </w:rPr>
        <w:t>的</w:t>
      </w:r>
      <w:r>
        <w:rPr>
          <w:rFonts w:hint="eastAsia" w:eastAsia="仿宋_GB2312"/>
          <w:sz w:val="32"/>
          <w:szCs w:val="32"/>
        </w:rPr>
        <w:t>经费结余</w:t>
      </w:r>
      <w:r>
        <w:rPr>
          <w:rFonts w:hint="eastAsia" w:eastAsia="仿宋_GB2312"/>
          <w:sz w:val="32"/>
          <w:szCs w:val="32"/>
          <w:lang w:eastAsia="zh-CN"/>
        </w:rPr>
        <w:t>；其他收入</w:t>
      </w:r>
      <w:r>
        <w:rPr>
          <w:rFonts w:hint="eastAsia" w:eastAsia="仿宋_GB2312"/>
          <w:sz w:val="32"/>
          <w:szCs w:val="32"/>
        </w:rPr>
        <w:t>结转结余366</w:t>
      </w:r>
      <w:r>
        <w:rPr>
          <w:rFonts w:hint="eastAsia" w:eastAsia="仿宋_GB2312"/>
          <w:sz w:val="32"/>
          <w:szCs w:val="32"/>
          <w:lang w:val="en-US" w:eastAsia="zh-CN"/>
        </w:rPr>
        <w:t>.</w:t>
      </w:r>
      <w:r>
        <w:rPr>
          <w:rFonts w:hint="eastAsia" w:eastAsia="仿宋_GB2312"/>
          <w:sz w:val="32"/>
          <w:szCs w:val="32"/>
        </w:rPr>
        <w:t>8</w:t>
      </w:r>
      <w:r>
        <w:rPr>
          <w:rFonts w:hint="eastAsia" w:eastAsia="仿宋_GB2312"/>
          <w:sz w:val="32"/>
          <w:szCs w:val="32"/>
          <w:lang w:val="en-US" w:eastAsia="zh-CN"/>
        </w:rPr>
        <w:t>8</w:t>
      </w:r>
      <w:r>
        <w:rPr>
          <w:rFonts w:hint="eastAsia" w:eastAsia="仿宋_GB2312"/>
          <w:sz w:val="32"/>
          <w:szCs w:val="32"/>
        </w:rPr>
        <w:t>万元，为历年</w:t>
      </w:r>
      <w:r>
        <w:rPr>
          <w:rFonts w:hint="eastAsia" w:eastAsia="仿宋_GB2312"/>
          <w:sz w:val="32"/>
          <w:szCs w:val="32"/>
          <w:lang w:eastAsia="zh-CN"/>
        </w:rPr>
        <w:t>非财政拨款收入</w:t>
      </w:r>
      <w:r>
        <w:rPr>
          <w:rFonts w:hint="eastAsia" w:eastAsia="仿宋_GB2312"/>
          <w:sz w:val="32"/>
          <w:szCs w:val="32"/>
        </w:rPr>
        <w:t>滚存收支结转。</w:t>
      </w:r>
    </w:p>
    <w:p w14:paraId="083AFEBD">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eastAsia="楷体_GB2312"/>
          <w:sz w:val="32"/>
          <w:szCs w:val="32"/>
        </w:rPr>
      </w:pPr>
      <w:r>
        <w:rPr>
          <w:rFonts w:eastAsia="楷体_GB2312"/>
          <w:sz w:val="32"/>
          <w:szCs w:val="32"/>
        </w:rPr>
        <w:t>（五）部门预决算差异率</w:t>
      </w:r>
    </w:p>
    <w:p w14:paraId="759569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年支出决算数为</w:t>
      </w:r>
      <w:r>
        <w:rPr>
          <w:rFonts w:hint="eastAsia" w:eastAsia="仿宋_GB2312"/>
          <w:sz w:val="32"/>
          <w:szCs w:val="32"/>
          <w:lang w:val="en-US" w:eastAsia="zh-CN"/>
        </w:rPr>
        <w:t>27917.21</w:t>
      </w:r>
      <w:r>
        <w:rPr>
          <w:rFonts w:hint="eastAsia" w:eastAsia="仿宋_GB2312"/>
          <w:sz w:val="32"/>
          <w:szCs w:val="32"/>
        </w:rPr>
        <w:t>万元，年初预算数为30574.04万元，支出决算数比年初预算数少</w:t>
      </w:r>
      <w:r>
        <w:rPr>
          <w:rFonts w:hint="eastAsia" w:eastAsia="仿宋_GB2312"/>
          <w:sz w:val="32"/>
          <w:szCs w:val="32"/>
          <w:lang w:val="en-US" w:eastAsia="zh-CN"/>
        </w:rPr>
        <w:t>2656.82</w:t>
      </w:r>
      <w:r>
        <w:rPr>
          <w:rFonts w:hint="eastAsia" w:eastAsia="仿宋_GB2312"/>
          <w:sz w:val="32"/>
          <w:szCs w:val="32"/>
        </w:rPr>
        <w:t>万元，差异率为</w:t>
      </w:r>
      <w:r>
        <w:rPr>
          <w:rFonts w:hint="eastAsia" w:eastAsia="仿宋_GB2312"/>
          <w:sz w:val="32"/>
          <w:szCs w:val="32"/>
          <w:lang w:val="en-US" w:eastAsia="zh-CN"/>
        </w:rPr>
        <w:t>8.69</w:t>
      </w:r>
      <w:r>
        <w:rPr>
          <w:rFonts w:hint="eastAsia" w:eastAsia="仿宋_GB2312"/>
          <w:sz w:val="32"/>
          <w:szCs w:val="32"/>
        </w:rPr>
        <w:t>%。其中，基本支出年初预算数为5367.79万元，决算数为5226.41万元，决算数比年初预算数</w:t>
      </w:r>
      <w:r>
        <w:rPr>
          <w:rFonts w:hint="eastAsia" w:eastAsia="仿宋_GB2312"/>
          <w:sz w:val="32"/>
          <w:szCs w:val="32"/>
          <w:lang w:eastAsia="zh-CN"/>
        </w:rPr>
        <w:t>减少</w:t>
      </w:r>
      <w:r>
        <w:rPr>
          <w:rFonts w:hint="eastAsia" w:eastAsia="仿宋_GB2312"/>
          <w:sz w:val="32"/>
          <w:szCs w:val="32"/>
        </w:rPr>
        <w:t>141.38万元，产生差异的主要原因是</w:t>
      </w:r>
      <w:r>
        <w:rPr>
          <w:rFonts w:hint="eastAsia" w:eastAsia="仿宋_GB2312"/>
          <w:sz w:val="32"/>
          <w:szCs w:val="32"/>
          <w:lang w:val="en-US" w:eastAsia="zh-CN"/>
        </w:rPr>
        <w:t>在职人数变动，基本支出相应压减</w:t>
      </w:r>
      <w:r>
        <w:rPr>
          <w:rFonts w:hint="eastAsia" w:eastAsia="仿宋_GB2312"/>
          <w:sz w:val="32"/>
          <w:szCs w:val="32"/>
        </w:rPr>
        <w:t>；项目支出年初预算数为25206.25万元，决算数为22690.8万元，决算数比年初预算数减少2515.45万元，主要原因是</w:t>
      </w:r>
      <w:r>
        <w:rPr>
          <w:rFonts w:hint="eastAsia" w:eastAsia="仿宋_GB2312"/>
          <w:sz w:val="32"/>
          <w:szCs w:val="32"/>
          <w:lang w:val="en-US" w:eastAsia="zh-CN"/>
        </w:rPr>
        <w:t>个别项目因任务条件发生变化，不再安排支出。</w:t>
      </w:r>
    </w:p>
    <w:p w14:paraId="350F9B4C">
      <w:pPr>
        <w:keepNext w:val="0"/>
        <w:keepLines w:val="0"/>
        <w:pageBreakBefore w:val="0"/>
        <w:widowControl w:val="0"/>
        <w:kinsoku/>
        <w:wordWrap/>
        <w:overflowPunct/>
        <w:topLinePunct w:val="0"/>
        <w:autoSpaceDE/>
        <w:autoSpaceDN/>
        <w:bidi w:val="0"/>
        <w:adjustRightInd/>
        <w:spacing w:line="560" w:lineRule="exact"/>
        <w:ind w:left="105" w:leftChars="50" w:firstLine="480" w:firstLineChars="150"/>
        <w:textAlignment w:val="auto"/>
        <w:rPr>
          <w:rFonts w:eastAsia="黑体"/>
          <w:sz w:val="32"/>
          <w:szCs w:val="32"/>
        </w:rPr>
      </w:pPr>
      <w:r>
        <w:rPr>
          <w:rFonts w:eastAsia="黑体"/>
          <w:sz w:val="32"/>
          <w:szCs w:val="32"/>
        </w:rPr>
        <w:t>五、总体评价结论</w:t>
      </w:r>
    </w:p>
    <w:p w14:paraId="747B26E6">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楷体_GB2312"/>
          <w:sz w:val="32"/>
          <w:szCs w:val="32"/>
          <w:highlight w:val="none"/>
        </w:rPr>
      </w:pPr>
      <w:r>
        <w:rPr>
          <w:rFonts w:eastAsia="楷体_GB2312"/>
          <w:sz w:val="32"/>
          <w:szCs w:val="32"/>
          <w:highlight w:val="none"/>
        </w:rPr>
        <w:t>（一）评价得分情况</w:t>
      </w:r>
    </w:p>
    <w:p w14:paraId="5FBF8339">
      <w:pPr>
        <w:keepNext w:val="0"/>
        <w:keepLines w:val="0"/>
        <w:pageBreakBefore w:val="0"/>
        <w:widowControl w:val="0"/>
        <w:kinsoku/>
        <w:wordWrap/>
        <w:overflowPunct/>
        <w:topLinePunct w:val="0"/>
        <w:autoSpaceDN/>
        <w:bidi w:val="0"/>
        <w:adjustRightInd/>
        <w:spacing w:line="560" w:lineRule="exact"/>
        <w:ind w:left="105" w:leftChars="50" w:firstLine="640" w:firstLineChars="200"/>
        <w:textAlignment w:val="auto"/>
        <w:rPr>
          <w:rFonts w:eastAsia="仿宋_GB2312"/>
          <w:sz w:val="32"/>
          <w:szCs w:val="32"/>
          <w:highlight w:val="none"/>
        </w:rPr>
      </w:pPr>
      <w:r>
        <w:rPr>
          <w:rFonts w:eastAsia="仿宋_GB2312"/>
          <w:sz w:val="32"/>
          <w:szCs w:val="32"/>
          <w:highlight w:val="none"/>
        </w:rPr>
        <w:t>经综合评价，市委教育工委202</w:t>
      </w:r>
      <w:r>
        <w:rPr>
          <w:rFonts w:hint="eastAsia" w:eastAsia="仿宋_GB2312"/>
          <w:sz w:val="32"/>
          <w:szCs w:val="32"/>
          <w:highlight w:val="none"/>
          <w:lang w:val="en-US" w:eastAsia="zh-CN"/>
        </w:rPr>
        <w:t>3</w:t>
      </w:r>
      <w:r>
        <w:rPr>
          <w:rFonts w:eastAsia="仿宋_GB2312"/>
          <w:sz w:val="32"/>
          <w:szCs w:val="32"/>
          <w:highlight w:val="none"/>
        </w:rPr>
        <w:t>年部门整体绩效评价得分为</w:t>
      </w:r>
      <w:r>
        <w:rPr>
          <w:rFonts w:hint="eastAsia" w:eastAsia="仿宋_GB2312"/>
          <w:sz w:val="32"/>
          <w:highlight w:val="none"/>
        </w:rPr>
        <w:t>97.87分</w:t>
      </w:r>
      <w:r>
        <w:rPr>
          <w:rFonts w:eastAsia="仿宋_GB2312"/>
          <w:sz w:val="32"/>
          <w:szCs w:val="32"/>
          <w:highlight w:val="none"/>
        </w:rPr>
        <w:t>。</w:t>
      </w:r>
    </w:p>
    <w:p w14:paraId="761B6259">
      <w:pPr>
        <w:keepNext w:val="0"/>
        <w:keepLines w:val="0"/>
        <w:pageBreakBefore w:val="0"/>
        <w:widowControl w:val="0"/>
        <w:kinsoku/>
        <w:wordWrap/>
        <w:overflowPunct/>
        <w:topLinePunct w:val="0"/>
        <w:autoSpaceDN/>
        <w:bidi w:val="0"/>
        <w:adjustRightInd/>
        <w:spacing w:line="560" w:lineRule="exact"/>
        <w:ind w:left="105" w:leftChars="50" w:firstLine="480" w:firstLineChars="150"/>
        <w:textAlignment w:val="auto"/>
        <w:rPr>
          <w:rFonts w:eastAsia="楷体_GB2312"/>
          <w:sz w:val="32"/>
          <w:szCs w:val="32"/>
        </w:rPr>
      </w:pPr>
      <w:r>
        <w:rPr>
          <w:rFonts w:eastAsia="楷体_GB2312"/>
          <w:sz w:val="32"/>
          <w:szCs w:val="32"/>
        </w:rPr>
        <w:t>（二）存在的问题及原因分析</w:t>
      </w:r>
    </w:p>
    <w:p w14:paraId="490A9885">
      <w:pPr>
        <w:keepNext w:val="0"/>
        <w:keepLines w:val="0"/>
        <w:pageBreakBefore w:val="0"/>
        <w:widowControl w:val="0"/>
        <w:kinsoku/>
        <w:wordWrap/>
        <w:overflowPunct/>
        <w:topLinePunct w:val="0"/>
        <w:autoSpaceDN/>
        <w:bidi w:val="0"/>
        <w:adjustRightInd/>
        <w:spacing w:line="560" w:lineRule="exact"/>
        <w:ind w:left="105" w:leftChars="50" w:firstLine="640" w:firstLineChars="200"/>
        <w:textAlignment w:val="auto"/>
        <w:rPr>
          <w:rFonts w:eastAsia="仿宋_GB2312"/>
          <w:sz w:val="32"/>
          <w:szCs w:val="32"/>
        </w:rPr>
      </w:pPr>
      <w:r>
        <w:rPr>
          <w:rFonts w:eastAsia="仿宋_GB2312"/>
          <w:sz w:val="32"/>
          <w:szCs w:val="32"/>
        </w:rPr>
        <w:t>一是</w:t>
      </w:r>
      <w:r>
        <w:rPr>
          <w:rFonts w:hint="eastAsia" w:eastAsia="仿宋_GB2312"/>
          <w:sz w:val="32"/>
          <w:szCs w:val="32"/>
        </w:rPr>
        <w:t>绩效管理的意识有待加强。</w:t>
      </w:r>
      <w:r>
        <w:rPr>
          <w:rFonts w:hint="eastAsia" w:eastAsia="仿宋_GB2312"/>
          <w:sz w:val="32"/>
          <w:szCs w:val="32"/>
          <w:lang w:eastAsia="zh-CN"/>
        </w:rPr>
        <w:t>还</w:t>
      </w:r>
      <w:r>
        <w:rPr>
          <w:rFonts w:hint="eastAsia" w:ascii="仿宋_GB2312" w:hAnsi="仿宋" w:eastAsia="仿宋_GB2312"/>
          <w:sz w:val="32"/>
          <w:szCs w:val="32"/>
        </w:rPr>
        <w:t>存在“重结果，轻过程；重支出，轻绩效”的</w:t>
      </w:r>
      <w:r>
        <w:rPr>
          <w:rFonts w:hint="eastAsia" w:ascii="仿宋_GB2312" w:hAnsi="仿宋" w:eastAsia="仿宋_GB2312"/>
          <w:sz w:val="32"/>
          <w:szCs w:val="32"/>
          <w:lang w:eastAsia="zh-CN"/>
        </w:rPr>
        <w:t>问题，</w:t>
      </w:r>
      <w:r>
        <w:rPr>
          <w:rFonts w:hint="eastAsia" w:eastAsia="仿宋_GB2312"/>
          <w:sz w:val="32"/>
          <w:szCs w:val="32"/>
        </w:rPr>
        <w:t>项目负责人对预算绩效管理参与积极性不高。</w:t>
      </w:r>
    </w:p>
    <w:p w14:paraId="004D3FC4">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 w:eastAsia="仿宋_GB2312"/>
          <w:sz w:val="32"/>
          <w:szCs w:val="32"/>
          <w:lang w:eastAsia="zh-CN"/>
        </w:rPr>
      </w:pPr>
      <w:r>
        <w:rPr>
          <w:rFonts w:eastAsia="仿宋_GB2312"/>
          <w:sz w:val="32"/>
          <w:szCs w:val="32"/>
        </w:rPr>
        <w:t>二是</w:t>
      </w:r>
      <w:r>
        <w:rPr>
          <w:rFonts w:ascii="仿宋_GB2312" w:hAnsi="仿宋" w:eastAsia="仿宋_GB2312"/>
          <w:sz w:val="32"/>
          <w:szCs w:val="32"/>
        </w:rPr>
        <w:t>绩效管理</w:t>
      </w:r>
      <w:r>
        <w:rPr>
          <w:rFonts w:hint="eastAsia" w:ascii="仿宋_GB2312" w:hAnsi="仿宋" w:eastAsia="仿宋_GB2312"/>
          <w:sz w:val="32"/>
          <w:szCs w:val="32"/>
          <w:lang w:eastAsia="zh-CN"/>
        </w:rPr>
        <w:t>的成效不够明显</w:t>
      </w:r>
      <w:r>
        <w:rPr>
          <w:rFonts w:ascii="仿宋_GB2312" w:hAnsi="仿宋" w:eastAsia="仿宋_GB2312"/>
          <w:sz w:val="32"/>
          <w:szCs w:val="32"/>
        </w:rPr>
        <w:t>。</w:t>
      </w:r>
      <w:r>
        <w:rPr>
          <w:rFonts w:hint="eastAsia" w:ascii="仿宋_GB2312" w:hAnsi="仿宋" w:eastAsia="仿宋_GB2312"/>
          <w:sz w:val="32"/>
          <w:szCs w:val="32"/>
        </w:rPr>
        <w:t>部分项目</w:t>
      </w:r>
      <w:r>
        <w:rPr>
          <w:rFonts w:hint="eastAsia" w:ascii="仿宋_GB2312" w:hAnsi="仿宋" w:eastAsia="仿宋_GB2312"/>
          <w:sz w:val="32"/>
          <w:szCs w:val="32"/>
          <w:lang w:eastAsia="zh-CN"/>
        </w:rPr>
        <w:t>预算绩效目标编制质量不高，定性指标多、定量指标少，可衡量性不强，影响了绩效运行监控和自评工作质量。</w:t>
      </w:r>
    </w:p>
    <w:p w14:paraId="782698B4">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color w:val="000000"/>
          <w:kern w:val="0"/>
          <w:sz w:val="32"/>
          <w:szCs w:val="32"/>
        </w:rPr>
      </w:pPr>
      <w:r>
        <w:rPr>
          <w:rFonts w:eastAsia="黑体"/>
          <w:color w:val="000000"/>
          <w:kern w:val="0"/>
          <w:sz w:val="32"/>
          <w:szCs w:val="32"/>
        </w:rPr>
        <w:t>六、措施建议</w:t>
      </w:r>
    </w:p>
    <w:p w14:paraId="51BA114B">
      <w:pPr>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一是</w:t>
      </w:r>
      <w:r>
        <w:rPr>
          <w:rFonts w:hint="eastAsia" w:eastAsia="仿宋_GB2312"/>
          <w:color w:val="000000"/>
          <w:kern w:val="0"/>
          <w:sz w:val="32"/>
          <w:szCs w:val="32"/>
        </w:rPr>
        <w:t>加大绩效管理相关政策的宣传。开展政策培训和经验交流，加大实操指导力度。</w:t>
      </w:r>
      <w:r>
        <w:rPr>
          <w:rFonts w:hint="eastAsia" w:ascii="仿宋_GB2312" w:hAnsi="仿宋" w:eastAsia="仿宋_GB2312"/>
          <w:sz w:val="32"/>
          <w:szCs w:val="32"/>
          <w:lang w:eastAsia="zh-CN"/>
        </w:rPr>
        <w:t>落实绩效管理主体责任，完善本部门绩效管理长效机制，</w:t>
      </w:r>
      <w:r>
        <w:rPr>
          <w:rFonts w:hint="eastAsia" w:eastAsia="仿宋_GB2312"/>
          <w:color w:val="000000"/>
          <w:kern w:val="0"/>
          <w:sz w:val="32"/>
          <w:szCs w:val="32"/>
        </w:rPr>
        <w:t>督促各项目负责人树立绩效管理意识，营造人人参与绩效管理的良好氛围。</w:t>
      </w:r>
    </w:p>
    <w:p w14:paraId="74610C55">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楷体_GB2312" w:hAnsi="仿宋" w:eastAsia="楷体_GB2312"/>
          <w:b/>
          <w:sz w:val="32"/>
          <w:szCs w:val="32"/>
          <w:highlight w:val="none"/>
        </w:rPr>
      </w:pPr>
      <w:r>
        <w:rPr>
          <w:rFonts w:eastAsia="仿宋_GB2312"/>
          <w:color w:val="000000"/>
          <w:kern w:val="0"/>
          <w:sz w:val="32"/>
          <w:szCs w:val="32"/>
        </w:rPr>
        <w:t>二是</w:t>
      </w:r>
      <w:r>
        <w:rPr>
          <w:rFonts w:hint="eastAsia" w:eastAsia="仿宋_GB2312"/>
          <w:color w:val="000000"/>
          <w:kern w:val="0"/>
          <w:sz w:val="32"/>
          <w:szCs w:val="32"/>
          <w:lang w:eastAsia="zh-CN"/>
        </w:rPr>
        <w:t>进一步完善</w:t>
      </w:r>
      <w:r>
        <w:rPr>
          <w:rFonts w:hint="eastAsia" w:eastAsia="仿宋_GB2312"/>
          <w:color w:val="000000"/>
          <w:kern w:val="0"/>
          <w:sz w:val="32"/>
          <w:szCs w:val="32"/>
        </w:rPr>
        <w:t>绩效指标体系建设</w:t>
      </w:r>
      <w:r>
        <w:rPr>
          <w:rFonts w:hint="eastAsia" w:eastAsia="仿宋_GB2312"/>
          <w:color w:val="000000"/>
          <w:kern w:val="0"/>
          <w:sz w:val="32"/>
          <w:szCs w:val="32"/>
          <w:lang w:eastAsia="zh-CN"/>
        </w:rPr>
        <w:t>。</w:t>
      </w:r>
      <w:r>
        <w:rPr>
          <w:rFonts w:hint="eastAsia" w:ascii="仿宋_GB2312" w:hAnsi="仿宋" w:eastAsia="仿宋_GB2312"/>
          <w:sz w:val="32"/>
          <w:szCs w:val="32"/>
          <w:lang w:eastAsia="zh-CN"/>
        </w:rPr>
        <w:t>分类规范项目预算绩效目标和考核指标，探索实施全成本核算，科学测算、全面衡量项目投入成本和产出绩效，确保成本标准和支出标准相匹配，逐步完善本部门支出标准体系。</w:t>
      </w:r>
    </w:p>
    <w:p w14:paraId="67FAE228">
      <w:pPr>
        <w:pStyle w:val="3"/>
        <w:keepNext w:val="0"/>
        <w:keepLines w:val="0"/>
        <w:pageBreakBefore w:val="0"/>
        <w:widowControl w:val="0"/>
        <w:kinsoku/>
        <w:wordWrap/>
        <w:overflowPunct/>
        <w:topLinePunct w:val="0"/>
        <w:autoSpaceDN/>
        <w:bidi w:val="0"/>
        <w:adjustRightInd/>
        <w:spacing w:line="560" w:lineRule="exact"/>
        <w:textAlignment w:val="auto"/>
        <w:rPr>
          <w:rFonts w:ascii="Times New Roman" w:hAnsi="Times New Roman" w:cs="Times New Roman"/>
          <w:sz w:val="32"/>
          <w:szCs w:val="32"/>
        </w:rPr>
      </w:pPr>
      <w:bookmarkStart w:id="0" w:name="_Toc103006301"/>
      <w:r>
        <w:rPr>
          <w:rFonts w:ascii="Times New Roman" w:hAnsi="Times New Roman" w:cs="Times New Roman"/>
          <w:sz w:val="32"/>
          <w:szCs w:val="32"/>
        </w:rPr>
        <w:t>七、附件</w:t>
      </w:r>
      <w:bookmarkEnd w:id="0"/>
    </w:p>
    <w:p w14:paraId="698154D8">
      <w:pPr>
        <w:keepNext w:val="0"/>
        <w:keepLines w:val="0"/>
        <w:pageBreakBefore w:val="0"/>
        <w:widowControl w:val="0"/>
        <w:kinsoku/>
        <w:wordWrap/>
        <w:overflowPunct/>
        <w:topLinePunct w:val="0"/>
        <w:autoSpaceDN/>
        <w:bidi w:val="0"/>
        <w:adjustRightInd/>
        <w:spacing w:line="560" w:lineRule="exact"/>
        <w:ind w:firstLine="641"/>
        <w:textAlignment w:val="auto"/>
        <w:rPr>
          <w:rFonts w:eastAsia="仿宋_GB2312"/>
          <w:color w:val="000000"/>
          <w:kern w:val="0"/>
          <w:sz w:val="32"/>
          <w:szCs w:val="32"/>
        </w:rPr>
      </w:pPr>
      <w:r>
        <w:rPr>
          <w:rFonts w:eastAsia="仿宋_GB2312"/>
          <w:sz w:val="32"/>
          <w:szCs w:val="32"/>
        </w:rPr>
        <w:t>202</w:t>
      </w:r>
      <w:r>
        <w:rPr>
          <w:rFonts w:hint="eastAsia" w:eastAsia="仿宋_GB2312"/>
          <w:sz w:val="32"/>
          <w:szCs w:val="32"/>
          <w:lang w:val="en-US" w:eastAsia="zh-CN"/>
        </w:rPr>
        <w:t>3</w:t>
      </w:r>
      <w:r>
        <w:rPr>
          <w:rFonts w:eastAsia="仿宋_GB2312"/>
          <w:sz w:val="32"/>
          <w:szCs w:val="32"/>
        </w:rPr>
        <w:t>年部门整体绩效评价指标体系评分</w:t>
      </w:r>
    </w:p>
    <w:p w14:paraId="2E0905B7">
      <w:pPr>
        <w:sectPr>
          <w:footerReference r:id="rId3" w:type="default"/>
          <w:pgSz w:w="11906" w:h="16838"/>
          <w:pgMar w:top="1440" w:right="1800" w:bottom="1440" w:left="1800" w:header="851" w:footer="964" w:gutter="0"/>
          <w:pgNumType w:start="1"/>
          <w:cols w:space="425" w:num="1"/>
          <w:docGrid w:type="lines" w:linePitch="435" w:charSpace="0"/>
        </w:sectPr>
      </w:pPr>
    </w:p>
    <w:tbl>
      <w:tblPr>
        <w:tblStyle w:val="10"/>
        <w:tblW w:w="5000" w:type="pct"/>
        <w:tblInd w:w="0" w:type="dxa"/>
        <w:tblLayout w:type="fixed"/>
        <w:tblCellMar>
          <w:top w:w="0" w:type="dxa"/>
          <w:left w:w="108" w:type="dxa"/>
          <w:bottom w:w="0" w:type="dxa"/>
          <w:right w:w="108" w:type="dxa"/>
        </w:tblCellMar>
      </w:tblPr>
      <w:tblGrid>
        <w:gridCol w:w="1116"/>
        <w:gridCol w:w="1117"/>
        <w:gridCol w:w="1029"/>
        <w:gridCol w:w="1369"/>
        <w:gridCol w:w="862"/>
        <w:gridCol w:w="831"/>
        <w:gridCol w:w="865"/>
        <w:gridCol w:w="3518"/>
        <w:gridCol w:w="3467"/>
      </w:tblGrid>
      <w:tr w14:paraId="5372E988">
        <w:tblPrEx>
          <w:tblCellMar>
            <w:top w:w="0" w:type="dxa"/>
            <w:left w:w="108" w:type="dxa"/>
            <w:bottom w:w="0" w:type="dxa"/>
            <w:right w:w="108" w:type="dxa"/>
          </w:tblCellMar>
        </w:tblPrEx>
        <w:trPr>
          <w:cantSplit/>
          <w:trHeight w:val="90" w:hRule="atLeast"/>
        </w:trPr>
        <w:tc>
          <w:tcPr>
            <w:tcW w:w="5000" w:type="pct"/>
            <w:gridSpan w:val="9"/>
            <w:tcBorders>
              <w:top w:val="nil"/>
              <w:left w:val="nil"/>
              <w:bottom w:val="single" w:color="auto" w:sz="4" w:space="0"/>
              <w:right w:val="nil"/>
            </w:tcBorders>
            <w:noWrap/>
            <w:vAlign w:val="bottom"/>
          </w:tcPr>
          <w:p w14:paraId="1E811FD5">
            <w:pPr>
              <w:widowControl/>
              <w:jc w:val="center"/>
              <w:rPr>
                <w:rFonts w:ascii="方正小标宋简体" w:hAnsi="黑体" w:eastAsia="方正小标宋简体" w:cs="宋体"/>
                <w:color w:val="000000"/>
                <w:kern w:val="0"/>
                <w:sz w:val="44"/>
                <w:szCs w:val="44"/>
                <w:highlight w:val="yellow"/>
              </w:rPr>
            </w:pPr>
            <w:r>
              <w:rPr>
                <w:rFonts w:hint="eastAsia" w:ascii="方正小标宋简体" w:hAnsi="黑体" w:eastAsia="方正小标宋简体" w:cs="宋体"/>
                <w:color w:val="000000"/>
                <w:kern w:val="0"/>
                <w:sz w:val="44"/>
                <w:szCs w:val="44"/>
              </w:rPr>
              <w:t>202</w:t>
            </w:r>
            <w:r>
              <w:rPr>
                <w:rFonts w:hint="eastAsia" w:ascii="方正小标宋简体" w:hAnsi="黑体" w:eastAsia="方正小标宋简体" w:cs="宋体"/>
                <w:color w:val="000000"/>
                <w:kern w:val="0"/>
                <w:sz w:val="44"/>
                <w:szCs w:val="44"/>
                <w:lang w:val="en-US" w:eastAsia="zh-CN"/>
              </w:rPr>
              <w:t>3</w:t>
            </w:r>
            <w:r>
              <w:rPr>
                <w:rFonts w:hint="eastAsia" w:ascii="方正小标宋简体" w:hAnsi="黑体" w:eastAsia="方正小标宋简体" w:cs="宋体"/>
                <w:color w:val="000000"/>
                <w:kern w:val="0"/>
                <w:sz w:val="44"/>
                <w:szCs w:val="44"/>
              </w:rPr>
              <w:t>年部门整体绩效评价指标体系评分表</w:t>
            </w:r>
          </w:p>
        </w:tc>
      </w:tr>
      <w:tr w14:paraId="20AC375F">
        <w:tblPrEx>
          <w:tblCellMar>
            <w:top w:w="0" w:type="dxa"/>
            <w:left w:w="108" w:type="dxa"/>
            <w:bottom w:w="0" w:type="dxa"/>
            <w:right w:w="108" w:type="dxa"/>
          </w:tblCellMar>
        </w:tblPrEx>
        <w:trPr>
          <w:cantSplit/>
          <w:trHeight w:val="470" w:hRule="atLeast"/>
        </w:trPr>
        <w:tc>
          <w:tcPr>
            <w:tcW w:w="5000" w:type="pct"/>
            <w:gridSpan w:val="9"/>
            <w:tcBorders>
              <w:top w:val="single" w:color="auto" w:sz="4" w:space="0"/>
              <w:left w:val="single" w:color="auto" w:sz="4" w:space="0"/>
              <w:bottom w:val="single" w:color="000000" w:sz="4" w:space="0"/>
              <w:right w:val="single" w:color="auto" w:sz="4" w:space="0"/>
            </w:tcBorders>
            <w:vAlign w:val="center"/>
          </w:tcPr>
          <w:p w14:paraId="3761AF51">
            <w:pPr>
              <w:widowControl/>
              <w:jc w:val="left"/>
              <w:rPr>
                <w:rFonts w:ascii="宋体" w:hAnsi="宋体" w:cs="宋体"/>
                <w:color w:val="000000"/>
                <w:kern w:val="0"/>
                <w:sz w:val="18"/>
                <w:szCs w:val="18"/>
              </w:rPr>
            </w:pPr>
            <w:r>
              <w:rPr>
                <w:rFonts w:hint="eastAsia" w:ascii="宋体" w:hAnsi="宋体" w:cs="宋体"/>
                <w:color w:val="000000"/>
                <w:kern w:val="0"/>
                <w:sz w:val="18"/>
                <w:szCs w:val="18"/>
              </w:rPr>
              <w:t>一、</w:t>
            </w:r>
            <w:r>
              <w:rPr>
                <w:rFonts w:hint="eastAsia" w:ascii="宋体" w:hAnsi="宋体" w:cs="宋体"/>
                <w:color w:val="000000"/>
                <w:kern w:val="0"/>
                <w:sz w:val="20"/>
                <w:szCs w:val="20"/>
              </w:rPr>
              <w:t>当年预算执行情况（20分）</w:t>
            </w:r>
          </w:p>
        </w:tc>
      </w:tr>
      <w:tr w14:paraId="2F3C14FE">
        <w:tblPrEx>
          <w:tblCellMar>
            <w:top w:w="0" w:type="dxa"/>
            <w:left w:w="108" w:type="dxa"/>
            <w:bottom w:w="0" w:type="dxa"/>
            <w:right w:w="108" w:type="dxa"/>
          </w:tblCellMar>
        </w:tblPrEx>
        <w:trPr>
          <w:cantSplit/>
          <w:trHeight w:val="660" w:hRule="atLeast"/>
        </w:trPr>
        <w:tc>
          <w:tcPr>
            <w:tcW w:w="393" w:type="pct"/>
            <w:tcBorders>
              <w:top w:val="single" w:color="auto" w:sz="4" w:space="0"/>
              <w:left w:val="single" w:color="auto" w:sz="4" w:space="0"/>
              <w:bottom w:val="single" w:color="auto" w:sz="4" w:space="0"/>
              <w:right w:val="single" w:color="auto" w:sz="4" w:space="0"/>
            </w:tcBorders>
            <w:vAlign w:val="center"/>
          </w:tcPr>
          <w:p w14:paraId="648D4665">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94" w:type="pct"/>
            <w:tcBorders>
              <w:top w:val="single" w:color="auto" w:sz="4" w:space="0"/>
              <w:left w:val="single" w:color="auto" w:sz="4" w:space="0"/>
              <w:bottom w:val="single" w:color="auto" w:sz="4" w:space="0"/>
              <w:right w:val="single" w:color="auto" w:sz="4" w:space="0"/>
            </w:tcBorders>
            <w:vAlign w:val="center"/>
          </w:tcPr>
          <w:p w14:paraId="74BD6F3D">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62" w:type="pct"/>
            <w:tcBorders>
              <w:top w:val="single" w:color="auto" w:sz="4" w:space="0"/>
              <w:left w:val="single" w:color="auto" w:sz="4" w:space="0"/>
              <w:bottom w:val="single" w:color="auto" w:sz="4" w:space="0"/>
              <w:right w:val="single" w:color="auto" w:sz="4" w:space="0"/>
            </w:tcBorders>
            <w:vAlign w:val="center"/>
          </w:tcPr>
          <w:p w14:paraId="22AF47DA">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预算数（万元）</w:t>
            </w:r>
          </w:p>
        </w:tc>
        <w:tc>
          <w:tcPr>
            <w:tcW w:w="482" w:type="pct"/>
            <w:tcBorders>
              <w:top w:val="single" w:color="auto" w:sz="4" w:space="0"/>
              <w:left w:val="single" w:color="auto" w:sz="4" w:space="0"/>
              <w:bottom w:val="single" w:color="auto" w:sz="4" w:space="0"/>
              <w:right w:val="single" w:color="auto" w:sz="4" w:space="0"/>
            </w:tcBorders>
            <w:vAlign w:val="center"/>
          </w:tcPr>
          <w:p w14:paraId="1A32945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执行数</w:t>
            </w:r>
          </w:p>
          <w:p w14:paraId="2635333C">
            <w:pPr>
              <w:widowControl/>
              <w:jc w:val="center"/>
              <w:rPr>
                <w:rFonts w:ascii="宋体" w:hAnsi="宋体" w:cs="宋体"/>
                <w:color w:val="000000"/>
                <w:kern w:val="0"/>
                <w:sz w:val="20"/>
                <w:szCs w:val="20"/>
              </w:rPr>
            </w:pPr>
            <w:r>
              <w:rPr>
                <w:rFonts w:hint="eastAsia" w:ascii="宋体" w:hAnsi="宋体" w:cs="宋体"/>
                <w:color w:val="000000"/>
                <w:kern w:val="0"/>
                <w:sz w:val="20"/>
                <w:szCs w:val="20"/>
              </w:rPr>
              <w:t>（万元）</w:t>
            </w:r>
          </w:p>
        </w:tc>
        <w:tc>
          <w:tcPr>
            <w:tcW w:w="304" w:type="pct"/>
            <w:tcBorders>
              <w:top w:val="single" w:color="auto" w:sz="4" w:space="0"/>
              <w:left w:val="single" w:color="auto" w:sz="4" w:space="0"/>
              <w:bottom w:val="single" w:color="auto" w:sz="4" w:space="0"/>
              <w:right w:val="single" w:color="auto" w:sz="4" w:space="0"/>
            </w:tcBorders>
            <w:vAlign w:val="center"/>
          </w:tcPr>
          <w:p w14:paraId="6B380FC9">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293" w:type="pct"/>
            <w:tcBorders>
              <w:top w:val="single" w:color="auto" w:sz="4" w:space="0"/>
              <w:left w:val="single" w:color="auto" w:sz="4" w:space="0"/>
              <w:bottom w:val="single" w:color="auto" w:sz="4" w:space="0"/>
              <w:right w:val="single" w:color="auto" w:sz="4" w:space="0"/>
            </w:tcBorders>
            <w:vAlign w:val="center"/>
          </w:tcPr>
          <w:p w14:paraId="2612E8BA">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305" w:type="pct"/>
            <w:tcBorders>
              <w:top w:val="single" w:color="auto" w:sz="4" w:space="0"/>
              <w:left w:val="single" w:color="auto" w:sz="4" w:space="0"/>
              <w:bottom w:val="single" w:color="auto" w:sz="4" w:space="0"/>
              <w:right w:val="single" w:color="auto" w:sz="4" w:space="0"/>
            </w:tcBorders>
            <w:vAlign w:val="center"/>
          </w:tcPr>
          <w:p w14:paraId="6DF09F91">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41" w:type="pct"/>
            <w:tcBorders>
              <w:top w:val="single" w:color="auto" w:sz="4" w:space="0"/>
              <w:left w:val="single" w:color="auto" w:sz="4" w:space="0"/>
              <w:bottom w:val="single" w:color="auto" w:sz="4" w:space="0"/>
              <w:right w:val="single" w:color="auto" w:sz="4" w:space="0"/>
            </w:tcBorders>
            <w:vAlign w:val="center"/>
          </w:tcPr>
          <w:p w14:paraId="604446AC">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指标解释</w:t>
            </w:r>
          </w:p>
        </w:tc>
        <w:tc>
          <w:tcPr>
            <w:tcW w:w="1223" w:type="pct"/>
            <w:tcBorders>
              <w:top w:val="single" w:color="auto" w:sz="4" w:space="0"/>
              <w:left w:val="nil"/>
              <w:bottom w:val="single" w:color="auto" w:sz="4" w:space="0"/>
              <w:right w:val="single" w:color="auto" w:sz="4" w:space="0"/>
            </w:tcBorders>
            <w:vAlign w:val="center"/>
          </w:tcPr>
          <w:p w14:paraId="0A287831">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r>
      <w:tr w14:paraId="7ABBEA7A">
        <w:tblPrEx>
          <w:tblCellMar>
            <w:top w:w="0" w:type="dxa"/>
            <w:left w:w="108" w:type="dxa"/>
            <w:bottom w:w="0" w:type="dxa"/>
            <w:right w:w="108" w:type="dxa"/>
          </w:tblCellMar>
        </w:tblPrEx>
        <w:trPr>
          <w:cantSplit/>
          <w:trHeight w:val="630" w:hRule="atLeast"/>
        </w:trPr>
        <w:tc>
          <w:tcPr>
            <w:tcW w:w="393" w:type="pct"/>
            <w:vMerge w:val="restart"/>
            <w:tcBorders>
              <w:top w:val="nil"/>
              <w:left w:val="single" w:color="auto" w:sz="4" w:space="0"/>
              <w:bottom w:val="single" w:color="000000" w:sz="4" w:space="0"/>
              <w:right w:val="single" w:color="auto" w:sz="4" w:space="0"/>
            </w:tcBorders>
            <w:vAlign w:val="center"/>
          </w:tcPr>
          <w:p w14:paraId="6EEE73B3">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当年预算执行情况（20）</w:t>
            </w:r>
          </w:p>
        </w:tc>
        <w:tc>
          <w:tcPr>
            <w:tcW w:w="394" w:type="pct"/>
            <w:tcBorders>
              <w:top w:val="single" w:color="auto" w:sz="4" w:space="0"/>
              <w:left w:val="single" w:color="auto" w:sz="4" w:space="0"/>
              <w:bottom w:val="single" w:color="auto" w:sz="4" w:space="0"/>
              <w:right w:val="single" w:color="auto" w:sz="4" w:space="0"/>
            </w:tcBorders>
            <w:vAlign w:val="center"/>
          </w:tcPr>
          <w:p w14:paraId="032968D4">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资金总体</w:t>
            </w:r>
          </w:p>
        </w:tc>
        <w:tc>
          <w:tcPr>
            <w:tcW w:w="362" w:type="pct"/>
            <w:tcBorders>
              <w:top w:val="single" w:color="auto" w:sz="4" w:space="0"/>
              <w:left w:val="single" w:color="auto" w:sz="4" w:space="0"/>
              <w:bottom w:val="single" w:color="auto" w:sz="4" w:space="0"/>
              <w:right w:val="single" w:color="auto" w:sz="4" w:space="0"/>
            </w:tcBorders>
            <w:vAlign w:val="center"/>
          </w:tcPr>
          <w:p w14:paraId="41CEF13F">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lang w:val="en-US" w:eastAsia="zh-CN"/>
              </w:rPr>
              <w:t>29582.14</w:t>
            </w:r>
          </w:p>
        </w:tc>
        <w:tc>
          <w:tcPr>
            <w:tcW w:w="482" w:type="pct"/>
            <w:tcBorders>
              <w:top w:val="single" w:color="auto" w:sz="4" w:space="0"/>
              <w:left w:val="single" w:color="auto" w:sz="4" w:space="0"/>
              <w:bottom w:val="single" w:color="auto" w:sz="4" w:space="0"/>
              <w:right w:val="single" w:color="auto" w:sz="4" w:space="0"/>
            </w:tcBorders>
            <w:vAlign w:val="center"/>
          </w:tcPr>
          <w:p w14:paraId="5E4F8DD4">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27917.21</w:t>
            </w:r>
          </w:p>
        </w:tc>
        <w:tc>
          <w:tcPr>
            <w:tcW w:w="304" w:type="pct"/>
            <w:tcBorders>
              <w:top w:val="single" w:color="auto" w:sz="4" w:space="0"/>
              <w:left w:val="single" w:color="auto" w:sz="4" w:space="0"/>
              <w:bottom w:val="single" w:color="auto" w:sz="4" w:space="0"/>
              <w:right w:val="single" w:color="auto" w:sz="4" w:space="0"/>
            </w:tcBorders>
            <w:vAlign w:val="center"/>
          </w:tcPr>
          <w:p w14:paraId="0F567762">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4</w:t>
            </w:r>
            <w:r>
              <w:rPr>
                <w:rFonts w:hint="eastAsia" w:ascii="宋体" w:hAnsi="宋体" w:cs="宋体"/>
                <w:color w:val="000000"/>
                <w:kern w:val="0"/>
                <w:sz w:val="20"/>
                <w:szCs w:val="20"/>
                <w:lang w:val="en-US" w:eastAsia="zh-CN"/>
              </w:rPr>
              <w:t>.37</w:t>
            </w:r>
            <w:r>
              <w:rPr>
                <w:rFonts w:hint="eastAsia" w:ascii="宋体" w:hAnsi="宋体" w:cs="宋体"/>
                <w:color w:val="000000"/>
                <w:kern w:val="0"/>
                <w:sz w:val="20"/>
                <w:szCs w:val="20"/>
              </w:rPr>
              <w:t>%　</w:t>
            </w:r>
          </w:p>
        </w:tc>
        <w:tc>
          <w:tcPr>
            <w:tcW w:w="293" w:type="pct"/>
            <w:vMerge w:val="restart"/>
            <w:tcBorders>
              <w:top w:val="single" w:color="auto" w:sz="4" w:space="0"/>
              <w:left w:val="single" w:color="auto" w:sz="4" w:space="0"/>
              <w:bottom w:val="single" w:color="auto" w:sz="4" w:space="0"/>
              <w:right w:val="single" w:color="auto" w:sz="4" w:space="0"/>
            </w:tcBorders>
            <w:noWrap/>
            <w:vAlign w:val="center"/>
          </w:tcPr>
          <w:p w14:paraId="04CADD12">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305" w:type="pct"/>
            <w:vMerge w:val="restart"/>
            <w:tcBorders>
              <w:top w:val="single" w:color="auto" w:sz="4" w:space="0"/>
              <w:left w:val="single" w:color="auto" w:sz="4" w:space="0"/>
              <w:bottom w:val="single" w:color="auto" w:sz="4" w:space="0"/>
              <w:right w:val="single" w:color="auto" w:sz="4" w:space="0"/>
            </w:tcBorders>
            <w:noWrap/>
            <w:vAlign w:val="center"/>
          </w:tcPr>
          <w:p w14:paraId="4A2658C0">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1</w:t>
            </w:r>
            <w:r>
              <w:rPr>
                <w:rFonts w:ascii="宋体" w:hAnsi="宋体" w:cs="宋体"/>
                <w:color w:val="000000"/>
                <w:kern w:val="0"/>
                <w:sz w:val="20"/>
                <w:szCs w:val="20"/>
              </w:rPr>
              <w:t>8</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87</w:t>
            </w:r>
          </w:p>
        </w:tc>
        <w:tc>
          <w:tcPr>
            <w:tcW w:w="1241" w:type="pct"/>
            <w:vMerge w:val="restart"/>
            <w:tcBorders>
              <w:top w:val="single" w:color="auto" w:sz="4" w:space="0"/>
              <w:left w:val="single" w:color="auto" w:sz="4" w:space="0"/>
              <w:bottom w:val="single" w:color="auto" w:sz="4" w:space="0"/>
              <w:right w:val="single" w:color="auto" w:sz="4" w:space="0"/>
            </w:tcBorders>
            <w:vAlign w:val="center"/>
          </w:tcPr>
          <w:p w14:paraId="49E24235">
            <w:pPr>
              <w:widowControl/>
              <w:jc w:val="left"/>
              <w:rPr>
                <w:rFonts w:ascii="宋体" w:hAnsi="宋体" w:cs="宋体"/>
                <w:color w:val="000000"/>
                <w:kern w:val="0"/>
                <w:sz w:val="18"/>
                <w:szCs w:val="18"/>
              </w:rPr>
            </w:pPr>
            <w:r>
              <w:rPr>
                <w:rFonts w:hint="eastAsia" w:ascii="宋体" w:hAnsi="宋体" w:cs="宋体"/>
                <w:color w:val="000000"/>
                <w:kern w:val="0"/>
                <w:sz w:val="18"/>
                <w:szCs w:val="18"/>
              </w:rPr>
              <w:t>部门全年执行数与全年预算数的比率。资金总体=基本支出+项目支出+其他</w:t>
            </w:r>
          </w:p>
        </w:tc>
        <w:tc>
          <w:tcPr>
            <w:tcW w:w="1223" w:type="pct"/>
            <w:vMerge w:val="restart"/>
            <w:tcBorders>
              <w:top w:val="nil"/>
              <w:left w:val="single" w:color="auto" w:sz="4" w:space="0"/>
              <w:bottom w:val="single" w:color="auto" w:sz="4" w:space="0"/>
              <w:right w:val="single" w:color="auto" w:sz="4" w:space="0"/>
            </w:tcBorders>
            <w:vAlign w:val="center"/>
          </w:tcPr>
          <w:p w14:paraId="033A7A69">
            <w:pPr>
              <w:widowControl/>
              <w:jc w:val="left"/>
              <w:rPr>
                <w:rFonts w:ascii="宋体" w:hAnsi="宋体" w:cs="宋体"/>
                <w:color w:val="000000"/>
                <w:kern w:val="0"/>
                <w:sz w:val="18"/>
                <w:szCs w:val="18"/>
              </w:rPr>
            </w:pPr>
            <w:r>
              <w:rPr>
                <w:rFonts w:hint="eastAsia" w:ascii="宋体" w:hAnsi="宋体" w:cs="宋体"/>
                <w:color w:val="000000"/>
                <w:kern w:val="0"/>
                <w:sz w:val="18"/>
                <w:szCs w:val="18"/>
              </w:rPr>
              <w:t>①得分一档最高不能超过该指标分值上限（20分）。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14:paraId="5697A00F">
        <w:tblPrEx>
          <w:tblCellMar>
            <w:top w:w="0" w:type="dxa"/>
            <w:left w:w="108" w:type="dxa"/>
            <w:bottom w:w="0" w:type="dxa"/>
            <w:right w:w="108" w:type="dxa"/>
          </w:tblCellMar>
        </w:tblPrEx>
        <w:trPr>
          <w:cantSplit/>
          <w:trHeight w:val="600" w:hRule="atLeast"/>
        </w:trPr>
        <w:tc>
          <w:tcPr>
            <w:tcW w:w="393" w:type="pct"/>
            <w:vMerge w:val="continue"/>
            <w:tcBorders>
              <w:top w:val="nil"/>
              <w:left w:val="single" w:color="auto" w:sz="4" w:space="0"/>
              <w:bottom w:val="single" w:color="000000" w:sz="4" w:space="0"/>
              <w:right w:val="single" w:color="auto" w:sz="4" w:space="0"/>
            </w:tcBorders>
            <w:vAlign w:val="center"/>
          </w:tcPr>
          <w:p w14:paraId="3F61501B">
            <w:pPr>
              <w:widowControl/>
              <w:jc w:val="left"/>
              <w:rPr>
                <w:rFonts w:ascii="宋体" w:hAnsi="宋体" w:cs="宋体"/>
                <w:color w:val="000000"/>
                <w:kern w:val="0"/>
                <w:sz w:val="20"/>
                <w:szCs w:val="20"/>
              </w:rPr>
            </w:pPr>
          </w:p>
        </w:tc>
        <w:tc>
          <w:tcPr>
            <w:tcW w:w="394" w:type="pct"/>
            <w:tcBorders>
              <w:top w:val="single" w:color="auto" w:sz="4" w:space="0"/>
              <w:left w:val="single" w:color="auto" w:sz="4" w:space="0"/>
              <w:bottom w:val="single" w:color="auto" w:sz="4" w:space="0"/>
              <w:right w:val="nil"/>
            </w:tcBorders>
            <w:vAlign w:val="center"/>
          </w:tcPr>
          <w:p w14:paraId="05EF39C7">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362" w:type="pct"/>
            <w:tcBorders>
              <w:top w:val="single" w:color="auto" w:sz="4" w:space="0"/>
              <w:left w:val="single" w:color="auto" w:sz="4" w:space="0"/>
              <w:bottom w:val="single" w:color="auto" w:sz="4" w:space="0"/>
              <w:right w:val="single" w:color="auto" w:sz="4" w:space="0"/>
            </w:tcBorders>
            <w:vAlign w:val="center"/>
          </w:tcPr>
          <w:p w14:paraId="72453568">
            <w:pPr>
              <w:widowControl/>
              <w:jc w:val="center"/>
              <w:rPr>
                <w:rFonts w:ascii="宋体" w:hAnsi="宋体" w:cs="宋体"/>
                <w:color w:val="000000"/>
                <w:kern w:val="0"/>
                <w:sz w:val="20"/>
                <w:szCs w:val="20"/>
              </w:rPr>
            </w:pPr>
            <w:r>
              <w:rPr>
                <w:rFonts w:hint="eastAsia" w:ascii="宋体" w:hAnsi="宋体" w:cs="宋体"/>
                <w:color w:val="000000"/>
                <w:kern w:val="0"/>
                <w:sz w:val="20"/>
                <w:szCs w:val="20"/>
              </w:rPr>
              <w:t>5326.87</w:t>
            </w:r>
          </w:p>
        </w:tc>
        <w:tc>
          <w:tcPr>
            <w:tcW w:w="482" w:type="pct"/>
            <w:tcBorders>
              <w:top w:val="single" w:color="auto" w:sz="4" w:space="0"/>
              <w:left w:val="nil"/>
              <w:bottom w:val="single" w:color="auto" w:sz="4" w:space="0"/>
              <w:right w:val="single" w:color="auto" w:sz="4" w:space="0"/>
            </w:tcBorders>
            <w:vAlign w:val="center"/>
          </w:tcPr>
          <w:p w14:paraId="261ADD7A">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5226.41</w:t>
            </w:r>
          </w:p>
        </w:tc>
        <w:tc>
          <w:tcPr>
            <w:tcW w:w="304" w:type="pct"/>
            <w:vMerge w:val="restart"/>
            <w:tcBorders>
              <w:top w:val="single" w:color="auto" w:sz="4" w:space="0"/>
              <w:left w:val="single" w:color="auto" w:sz="4" w:space="0"/>
              <w:bottom w:val="single" w:color="auto" w:sz="4" w:space="0"/>
              <w:right w:val="single" w:color="auto" w:sz="4" w:space="0"/>
            </w:tcBorders>
            <w:vAlign w:val="center"/>
          </w:tcPr>
          <w:p w14:paraId="5F0BF3B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93" w:type="pct"/>
            <w:vMerge w:val="continue"/>
            <w:tcBorders>
              <w:top w:val="single" w:color="auto" w:sz="4" w:space="0"/>
              <w:left w:val="single" w:color="auto" w:sz="4" w:space="0"/>
              <w:bottom w:val="single" w:color="auto" w:sz="4" w:space="0"/>
              <w:right w:val="single" w:color="auto" w:sz="4" w:space="0"/>
            </w:tcBorders>
            <w:vAlign w:val="center"/>
          </w:tcPr>
          <w:p w14:paraId="4F6111AD">
            <w:pPr>
              <w:widowControl/>
              <w:jc w:val="left"/>
              <w:rPr>
                <w:rFonts w:ascii="宋体" w:hAnsi="宋体" w:cs="宋体"/>
                <w:color w:val="000000"/>
                <w:kern w:val="0"/>
                <w:sz w:val="20"/>
                <w:szCs w:val="20"/>
              </w:rPr>
            </w:pPr>
          </w:p>
        </w:tc>
        <w:tc>
          <w:tcPr>
            <w:tcW w:w="305" w:type="pct"/>
            <w:vMerge w:val="continue"/>
            <w:tcBorders>
              <w:top w:val="single" w:color="auto" w:sz="4" w:space="0"/>
              <w:left w:val="nil"/>
              <w:bottom w:val="single" w:color="auto" w:sz="4" w:space="0"/>
              <w:right w:val="nil"/>
            </w:tcBorders>
            <w:vAlign w:val="center"/>
          </w:tcPr>
          <w:p w14:paraId="419BC88F">
            <w:pPr>
              <w:widowControl/>
              <w:jc w:val="left"/>
              <w:rPr>
                <w:rFonts w:ascii="宋体" w:hAnsi="宋体" w:cs="宋体"/>
                <w:color w:val="000000"/>
                <w:kern w:val="0"/>
                <w:sz w:val="20"/>
                <w:szCs w:val="20"/>
              </w:rPr>
            </w:pPr>
          </w:p>
        </w:tc>
        <w:tc>
          <w:tcPr>
            <w:tcW w:w="1241" w:type="pct"/>
            <w:vMerge w:val="continue"/>
            <w:tcBorders>
              <w:top w:val="single" w:color="auto" w:sz="4" w:space="0"/>
              <w:left w:val="single" w:color="auto" w:sz="4" w:space="0"/>
              <w:bottom w:val="single" w:color="auto" w:sz="4" w:space="0"/>
              <w:right w:val="single" w:color="auto" w:sz="4" w:space="0"/>
            </w:tcBorders>
            <w:vAlign w:val="center"/>
          </w:tcPr>
          <w:p w14:paraId="12A1AFE9">
            <w:pPr>
              <w:widowControl/>
              <w:jc w:val="left"/>
              <w:rPr>
                <w:rFonts w:ascii="宋体" w:hAnsi="宋体" w:cs="宋体"/>
                <w:color w:val="000000"/>
                <w:kern w:val="0"/>
                <w:sz w:val="18"/>
                <w:szCs w:val="18"/>
              </w:rPr>
            </w:pPr>
          </w:p>
        </w:tc>
        <w:tc>
          <w:tcPr>
            <w:tcW w:w="1223" w:type="pct"/>
            <w:vMerge w:val="continue"/>
            <w:tcBorders>
              <w:top w:val="nil"/>
              <w:left w:val="single" w:color="auto" w:sz="4" w:space="0"/>
              <w:bottom w:val="single" w:color="auto" w:sz="4" w:space="0"/>
              <w:right w:val="single" w:color="auto" w:sz="4" w:space="0"/>
            </w:tcBorders>
            <w:vAlign w:val="center"/>
          </w:tcPr>
          <w:p w14:paraId="113031F3">
            <w:pPr>
              <w:widowControl/>
              <w:jc w:val="left"/>
              <w:rPr>
                <w:rFonts w:ascii="宋体" w:hAnsi="宋体" w:cs="宋体"/>
                <w:color w:val="000000"/>
                <w:kern w:val="0"/>
                <w:sz w:val="18"/>
                <w:szCs w:val="18"/>
              </w:rPr>
            </w:pPr>
          </w:p>
        </w:tc>
      </w:tr>
      <w:tr w14:paraId="79490E8E">
        <w:tblPrEx>
          <w:tblCellMar>
            <w:top w:w="0" w:type="dxa"/>
            <w:left w:w="108" w:type="dxa"/>
            <w:bottom w:w="0" w:type="dxa"/>
            <w:right w:w="108" w:type="dxa"/>
          </w:tblCellMar>
        </w:tblPrEx>
        <w:trPr>
          <w:cantSplit/>
          <w:trHeight w:val="615" w:hRule="atLeast"/>
        </w:trPr>
        <w:tc>
          <w:tcPr>
            <w:tcW w:w="393" w:type="pct"/>
            <w:vMerge w:val="continue"/>
            <w:tcBorders>
              <w:top w:val="nil"/>
              <w:left w:val="single" w:color="auto" w:sz="4" w:space="0"/>
              <w:bottom w:val="single" w:color="000000" w:sz="4" w:space="0"/>
              <w:right w:val="single" w:color="auto" w:sz="4" w:space="0"/>
            </w:tcBorders>
            <w:vAlign w:val="center"/>
          </w:tcPr>
          <w:p w14:paraId="25E1A3A4">
            <w:pPr>
              <w:widowControl/>
              <w:jc w:val="left"/>
              <w:rPr>
                <w:rFonts w:ascii="宋体" w:hAnsi="宋体" w:cs="宋体"/>
                <w:color w:val="000000"/>
                <w:kern w:val="0"/>
                <w:sz w:val="20"/>
                <w:szCs w:val="20"/>
              </w:rPr>
            </w:pPr>
          </w:p>
        </w:tc>
        <w:tc>
          <w:tcPr>
            <w:tcW w:w="394" w:type="pct"/>
            <w:tcBorders>
              <w:top w:val="single" w:color="auto" w:sz="4" w:space="0"/>
              <w:left w:val="single" w:color="auto" w:sz="4" w:space="0"/>
              <w:bottom w:val="single" w:color="auto" w:sz="4" w:space="0"/>
              <w:right w:val="nil"/>
            </w:tcBorders>
            <w:vAlign w:val="center"/>
          </w:tcPr>
          <w:p w14:paraId="1250CFFF">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c>
          <w:tcPr>
            <w:tcW w:w="362" w:type="pct"/>
            <w:tcBorders>
              <w:top w:val="single" w:color="auto" w:sz="4" w:space="0"/>
              <w:left w:val="single" w:color="auto" w:sz="4" w:space="0"/>
              <w:bottom w:val="single" w:color="auto" w:sz="4" w:space="0"/>
              <w:right w:val="single" w:color="auto" w:sz="4" w:space="0"/>
            </w:tcBorders>
            <w:vAlign w:val="center"/>
          </w:tcPr>
          <w:p w14:paraId="2D686722">
            <w:pPr>
              <w:widowControl/>
              <w:jc w:val="center"/>
              <w:rPr>
                <w:rFonts w:ascii="宋体" w:hAnsi="宋体" w:cs="宋体"/>
                <w:color w:val="000000"/>
                <w:kern w:val="0"/>
                <w:sz w:val="20"/>
                <w:szCs w:val="20"/>
              </w:rPr>
            </w:pPr>
            <w:r>
              <w:rPr>
                <w:rFonts w:hint="eastAsia" w:ascii="宋体" w:hAnsi="宋体" w:cs="宋体"/>
                <w:color w:val="000000"/>
                <w:kern w:val="0"/>
                <w:sz w:val="20"/>
                <w:szCs w:val="20"/>
              </w:rPr>
              <w:t>24255.27</w:t>
            </w:r>
          </w:p>
        </w:tc>
        <w:tc>
          <w:tcPr>
            <w:tcW w:w="482" w:type="pct"/>
            <w:tcBorders>
              <w:top w:val="single" w:color="auto" w:sz="4" w:space="0"/>
              <w:left w:val="nil"/>
              <w:bottom w:val="single" w:color="auto" w:sz="4" w:space="0"/>
              <w:right w:val="single" w:color="auto" w:sz="4" w:space="0"/>
            </w:tcBorders>
            <w:vAlign w:val="center"/>
          </w:tcPr>
          <w:p w14:paraId="5491F6FC">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22690.80</w:t>
            </w:r>
          </w:p>
        </w:tc>
        <w:tc>
          <w:tcPr>
            <w:tcW w:w="304" w:type="pct"/>
            <w:vMerge w:val="continue"/>
            <w:tcBorders>
              <w:top w:val="single" w:color="auto" w:sz="4" w:space="0"/>
              <w:left w:val="single" w:color="auto" w:sz="4" w:space="0"/>
              <w:bottom w:val="single" w:color="auto" w:sz="4" w:space="0"/>
              <w:right w:val="single" w:color="auto" w:sz="4" w:space="0"/>
            </w:tcBorders>
            <w:vAlign w:val="center"/>
          </w:tcPr>
          <w:p w14:paraId="344D2E79">
            <w:pPr>
              <w:widowControl/>
              <w:jc w:val="left"/>
              <w:rPr>
                <w:rFonts w:ascii="宋体" w:hAnsi="宋体" w:cs="宋体"/>
                <w:color w:val="000000"/>
                <w:kern w:val="0"/>
                <w:sz w:val="20"/>
                <w:szCs w:val="20"/>
              </w:rPr>
            </w:pPr>
          </w:p>
        </w:tc>
        <w:tc>
          <w:tcPr>
            <w:tcW w:w="293" w:type="pct"/>
            <w:vMerge w:val="continue"/>
            <w:tcBorders>
              <w:top w:val="single" w:color="auto" w:sz="4" w:space="0"/>
              <w:left w:val="single" w:color="auto" w:sz="4" w:space="0"/>
              <w:bottom w:val="single" w:color="auto" w:sz="4" w:space="0"/>
              <w:right w:val="single" w:color="auto" w:sz="4" w:space="0"/>
            </w:tcBorders>
            <w:vAlign w:val="center"/>
          </w:tcPr>
          <w:p w14:paraId="121E275B">
            <w:pPr>
              <w:widowControl/>
              <w:jc w:val="left"/>
              <w:rPr>
                <w:rFonts w:ascii="宋体" w:hAnsi="宋体" w:cs="宋体"/>
                <w:color w:val="000000"/>
                <w:kern w:val="0"/>
                <w:sz w:val="20"/>
                <w:szCs w:val="20"/>
              </w:rPr>
            </w:pPr>
          </w:p>
        </w:tc>
        <w:tc>
          <w:tcPr>
            <w:tcW w:w="305" w:type="pct"/>
            <w:vMerge w:val="continue"/>
            <w:tcBorders>
              <w:top w:val="single" w:color="auto" w:sz="4" w:space="0"/>
              <w:left w:val="nil"/>
              <w:bottom w:val="single" w:color="auto" w:sz="4" w:space="0"/>
              <w:right w:val="nil"/>
            </w:tcBorders>
            <w:vAlign w:val="center"/>
          </w:tcPr>
          <w:p w14:paraId="38501475">
            <w:pPr>
              <w:widowControl/>
              <w:jc w:val="left"/>
              <w:rPr>
                <w:rFonts w:ascii="宋体" w:hAnsi="宋体" w:cs="宋体"/>
                <w:color w:val="000000"/>
                <w:kern w:val="0"/>
                <w:sz w:val="20"/>
                <w:szCs w:val="20"/>
              </w:rPr>
            </w:pPr>
          </w:p>
        </w:tc>
        <w:tc>
          <w:tcPr>
            <w:tcW w:w="1241" w:type="pct"/>
            <w:vMerge w:val="continue"/>
            <w:tcBorders>
              <w:top w:val="single" w:color="auto" w:sz="4" w:space="0"/>
              <w:left w:val="single" w:color="auto" w:sz="4" w:space="0"/>
              <w:bottom w:val="single" w:color="auto" w:sz="4" w:space="0"/>
              <w:right w:val="single" w:color="auto" w:sz="4" w:space="0"/>
            </w:tcBorders>
            <w:vAlign w:val="center"/>
          </w:tcPr>
          <w:p w14:paraId="6938D515">
            <w:pPr>
              <w:widowControl/>
              <w:jc w:val="left"/>
              <w:rPr>
                <w:rFonts w:ascii="宋体" w:hAnsi="宋体" w:cs="宋体"/>
                <w:color w:val="000000"/>
                <w:kern w:val="0"/>
                <w:sz w:val="18"/>
                <w:szCs w:val="18"/>
              </w:rPr>
            </w:pPr>
          </w:p>
        </w:tc>
        <w:tc>
          <w:tcPr>
            <w:tcW w:w="1223" w:type="pct"/>
            <w:vMerge w:val="continue"/>
            <w:tcBorders>
              <w:top w:val="nil"/>
              <w:left w:val="single" w:color="auto" w:sz="4" w:space="0"/>
              <w:bottom w:val="single" w:color="auto" w:sz="4" w:space="0"/>
              <w:right w:val="single" w:color="auto" w:sz="4" w:space="0"/>
            </w:tcBorders>
            <w:vAlign w:val="center"/>
          </w:tcPr>
          <w:p w14:paraId="379C9D61">
            <w:pPr>
              <w:widowControl/>
              <w:jc w:val="left"/>
              <w:rPr>
                <w:rFonts w:ascii="宋体" w:hAnsi="宋体" w:cs="宋体"/>
                <w:color w:val="000000"/>
                <w:kern w:val="0"/>
                <w:sz w:val="18"/>
                <w:szCs w:val="18"/>
              </w:rPr>
            </w:pPr>
          </w:p>
        </w:tc>
      </w:tr>
      <w:tr w14:paraId="41A90C29">
        <w:tblPrEx>
          <w:tblCellMar>
            <w:top w:w="0" w:type="dxa"/>
            <w:left w:w="108" w:type="dxa"/>
            <w:bottom w:w="0" w:type="dxa"/>
            <w:right w:w="108" w:type="dxa"/>
          </w:tblCellMar>
        </w:tblPrEx>
        <w:trPr>
          <w:cantSplit/>
          <w:trHeight w:val="3167" w:hRule="atLeast"/>
        </w:trPr>
        <w:tc>
          <w:tcPr>
            <w:tcW w:w="393" w:type="pct"/>
            <w:vMerge w:val="continue"/>
            <w:tcBorders>
              <w:top w:val="nil"/>
              <w:left w:val="single" w:color="auto" w:sz="4" w:space="0"/>
              <w:bottom w:val="single" w:color="000000" w:sz="4" w:space="0"/>
              <w:right w:val="single" w:color="auto" w:sz="4" w:space="0"/>
            </w:tcBorders>
            <w:vAlign w:val="center"/>
          </w:tcPr>
          <w:p w14:paraId="74EE19F7">
            <w:pPr>
              <w:widowControl/>
              <w:jc w:val="left"/>
              <w:rPr>
                <w:rFonts w:ascii="宋体" w:hAnsi="宋体" w:cs="宋体"/>
                <w:color w:val="000000"/>
                <w:kern w:val="0"/>
                <w:sz w:val="20"/>
                <w:szCs w:val="20"/>
              </w:rPr>
            </w:pPr>
          </w:p>
        </w:tc>
        <w:tc>
          <w:tcPr>
            <w:tcW w:w="394" w:type="pct"/>
            <w:tcBorders>
              <w:top w:val="single" w:color="auto" w:sz="4" w:space="0"/>
              <w:left w:val="single" w:color="auto" w:sz="4" w:space="0"/>
              <w:bottom w:val="single" w:color="auto" w:sz="4" w:space="0"/>
              <w:right w:val="single" w:color="auto" w:sz="4" w:space="0"/>
            </w:tcBorders>
            <w:vAlign w:val="center"/>
          </w:tcPr>
          <w:p w14:paraId="577C9F67">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362" w:type="pct"/>
            <w:tcBorders>
              <w:top w:val="single" w:color="auto" w:sz="4" w:space="0"/>
              <w:left w:val="nil"/>
              <w:bottom w:val="single" w:color="auto" w:sz="4" w:space="0"/>
              <w:right w:val="single" w:color="auto" w:sz="4" w:space="0"/>
            </w:tcBorders>
            <w:vAlign w:val="center"/>
          </w:tcPr>
          <w:p w14:paraId="04221D79">
            <w:pPr>
              <w:widowControl/>
              <w:jc w:val="center"/>
              <w:rPr>
                <w:rFonts w:ascii="宋体" w:hAnsi="宋体" w:cs="宋体"/>
                <w:color w:val="000000"/>
                <w:kern w:val="0"/>
                <w:sz w:val="20"/>
                <w:szCs w:val="20"/>
              </w:rPr>
            </w:pPr>
            <w:r>
              <w:rPr>
                <w:rFonts w:hint="eastAsia" w:ascii="宋体" w:hAnsi="宋体" w:cs="宋体"/>
                <w:color w:val="000000"/>
                <w:kern w:val="0"/>
                <w:sz w:val="20"/>
                <w:szCs w:val="20"/>
              </w:rPr>
              <w:t>0　</w:t>
            </w:r>
          </w:p>
        </w:tc>
        <w:tc>
          <w:tcPr>
            <w:tcW w:w="482" w:type="pct"/>
            <w:tcBorders>
              <w:top w:val="single" w:color="auto" w:sz="4" w:space="0"/>
              <w:left w:val="nil"/>
              <w:bottom w:val="single" w:color="auto" w:sz="4" w:space="0"/>
              <w:right w:val="single" w:color="auto" w:sz="4" w:space="0"/>
            </w:tcBorders>
            <w:vAlign w:val="center"/>
          </w:tcPr>
          <w:p w14:paraId="1B19E239">
            <w:pPr>
              <w:widowControl/>
              <w:jc w:val="center"/>
              <w:rPr>
                <w:rFonts w:ascii="宋体" w:hAnsi="宋体" w:cs="宋体"/>
                <w:color w:val="000000"/>
                <w:kern w:val="0"/>
                <w:sz w:val="20"/>
                <w:szCs w:val="20"/>
              </w:rPr>
            </w:pPr>
            <w:r>
              <w:rPr>
                <w:rFonts w:hint="eastAsia" w:ascii="宋体" w:hAnsi="宋体" w:cs="宋体"/>
                <w:color w:val="000000"/>
                <w:kern w:val="0"/>
                <w:sz w:val="20"/>
                <w:szCs w:val="20"/>
              </w:rPr>
              <w:t>　0</w:t>
            </w:r>
          </w:p>
        </w:tc>
        <w:tc>
          <w:tcPr>
            <w:tcW w:w="304" w:type="pct"/>
            <w:vMerge w:val="continue"/>
            <w:tcBorders>
              <w:top w:val="single" w:color="auto" w:sz="4" w:space="0"/>
              <w:left w:val="single" w:color="auto" w:sz="4" w:space="0"/>
              <w:bottom w:val="single" w:color="auto" w:sz="4" w:space="0"/>
              <w:right w:val="single" w:color="auto" w:sz="4" w:space="0"/>
            </w:tcBorders>
            <w:vAlign w:val="center"/>
          </w:tcPr>
          <w:p w14:paraId="2D816409">
            <w:pPr>
              <w:widowControl/>
              <w:jc w:val="left"/>
              <w:rPr>
                <w:rFonts w:ascii="宋体" w:hAnsi="宋体" w:cs="宋体"/>
                <w:color w:val="000000"/>
                <w:kern w:val="0"/>
                <w:sz w:val="20"/>
                <w:szCs w:val="20"/>
              </w:rPr>
            </w:pPr>
          </w:p>
        </w:tc>
        <w:tc>
          <w:tcPr>
            <w:tcW w:w="293" w:type="pct"/>
            <w:vMerge w:val="continue"/>
            <w:tcBorders>
              <w:top w:val="single" w:color="auto" w:sz="4" w:space="0"/>
              <w:left w:val="single" w:color="auto" w:sz="4" w:space="0"/>
              <w:bottom w:val="single" w:color="auto" w:sz="4" w:space="0"/>
              <w:right w:val="single" w:color="auto" w:sz="4" w:space="0"/>
            </w:tcBorders>
            <w:vAlign w:val="center"/>
          </w:tcPr>
          <w:p w14:paraId="2059C545">
            <w:pPr>
              <w:widowControl/>
              <w:jc w:val="left"/>
              <w:rPr>
                <w:rFonts w:ascii="宋体" w:hAnsi="宋体" w:cs="宋体"/>
                <w:color w:val="000000"/>
                <w:kern w:val="0"/>
                <w:sz w:val="20"/>
                <w:szCs w:val="20"/>
              </w:rPr>
            </w:pPr>
          </w:p>
        </w:tc>
        <w:tc>
          <w:tcPr>
            <w:tcW w:w="305" w:type="pct"/>
            <w:vMerge w:val="continue"/>
            <w:tcBorders>
              <w:top w:val="single" w:color="auto" w:sz="4" w:space="0"/>
              <w:left w:val="nil"/>
              <w:bottom w:val="single" w:color="auto" w:sz="4" w:space="0"/>
              <w:right w:val="nil"/>
            </w:tcBorders>
            <w:vAlign w:val="center"/>
          </w:tcPr>
          <w:p w14:paraId="24FB7BD1">
            <w:pPr>
              <w:widowControl/>
              <w:jc w:val="left"/>
              <w:rPr>
                <w:rFonts w:ascii="宋体" w:hAnsi="宋体" w:cs="宋体"/>
                <w:color w:val="000000"/>
                <w:kern w:val="0"/>
                <w:sz w:val="20"/>
                <w:szCs w:val="20"/>
              </w:rPr>
            </w:pPr>
          </w:p>
        </w:tc>
        <w:tc>
          <w:tcPr>
            <w:tcW w:w="1241" w:type="pct"/>
            <w:vMerge w:val="continue"/>
            <w:tcBorders>
              <w:top w:val="single" w:color="auto" w:sz="4" w:space="0"/>
              <w:left w:val="single" w:color="auto" w:sz="4" w:space="0"/>
              <w:bottom w:val="single" w:color="auto" w:sz="4" w:space="0"/>
              <w:right w:val="single" w:color="auto" w:sz="4" w:space="0"/>
            </w:tcBorders>
            <w:vAlign w:val="center"/>
          </w:tcPr>
          <w:p w14:paraId="5175BD56">
            <w:pPr>
              <w:widowControl/>
              <w:jc w:val="left"/>
              <w:rPr>
                <w:rFonts w:ascii="宋体" w:hAnsi="宋体" w:cs="宋体"/>
                <w:color w:val="000000"/>
                <w:kern w:val="0"/>
                <w:sz w:val="18"/>
                <w:szCs w:val="18"/>
              </w:rPr>
            </w:pPr>
          </w:p>
        </w:tc>
        <w:tc>
          <w:tcPr>
            <w:tcW w:w="1223" w:type="pct"/>
            <w:vMerge w:val="continue"/>
            <w:tcBorders>
              <w:top w:val="nil"/>
              <w:left w:val="single" w:color="auto" w:sz="4" w:space="0"/>
              <w:bottom w:val="single" w:color="auto" w:sz="4" w:space="0"/>
              <w:right w:val="single" w:color="auto" w:sz="4" w:space="0"/>
            </w:tcBorders>
            <w:vAlign w:val="center"/>
          </w:tcPr>
          <w:p w14:paraId="7EF95F00">
            <w:pPr>
              <w:widowControl/>
              <w:jc w:val="left"/>
              <w:rPr>
                <w:rFonts w:ascii="宋体" w:hAnsi="宋体" w:cs="宋体"/>
                <w:color w:val="000000"/>
                <w:kern w:val="0"/>
                <w:sz w:val="18"/>
                <w:szCs w:val="18"/>
              </w:rPr>
            </w:pPr>
          </w:p>
        </w:tc>
      </w:tr>
      <w:tr w14:paraId="0FE69863">
        <w:tblPrEx>
          <w:tblCellMar>
            <w:top w:w="0" w:type="dxa"/>
            <w:left w:w="108" w:type="dxa"/>
            <w:bottom w:w="0" w:type="dxa"/>
            <w:right w:w="108" w:type="dxa"/>
          </w:tblCellMar>
        </w:tblPrEx>
        <w:trPr>
          <w:cantSplit/>
          <w:trHeight w:val="479" w:hRule="atLeast"/>
        </w:trPr>
        <w:tc>
          <w:tcPr>
            <w:tcW w:w="5000" w:type="pct"/>
            <w:gridSpan w:val="9"/>
            <w:tcBorders>
              <w:top w:val="nil"/>
              <w:left w:val="single" w:color="auto" w:sz="4" w:space="0"/>
              <w:bottom w:val="single" w:color="auto" w:sz="4" w:space="0"/>
              <w:right w:val="single" w:color="auto" w:sz="4" w:space="0"/>
            </w:tcBorders>
            <w:vAlign w:val="center"/>
          </w:tcPr>
          <w:p w14:paraId="22DE91AD">
            <w:pPr>
              <w:widowControl/>
              <w:jc w:val="left"/>
              <w:rPr>
                <w:rFonts w:ascii="宋体" w:hAnsi="宋体" w:cs="宋体"/>
                <w:color w:val="000000"/>
                <w:kern w:val="0"/>
                <w:sz w:val="18"/>
                <w:szCs w:val="18"/>
              </w:rPr>
            </w:pPr>
            <w:r>
              <w:rPr>
                <w:rFonts w:hint="eastAsia" w:ascii="宋体" w:hAnsi="宋体" w:cs="宋体"/>
                <w:color w:val="000000"/>
                <w:kern w:val="0"/>
                <w:sz w:val="18"/>
                <w:szCs w:val="18"/>
              </w:rPr>
              <w:t>二</w:t>
            </w:r>
            <w:r>
              <w:rPr>
                <w:rFonts w:ascii="宋体" w:hAnsi="宋体" w:cs="宋体"/>
                <w:color w:val="000000"/>
                <w:kern w:val="0"/>
                <w:sz w:val="18"/>
                <w:szCs w:val="18"/>
              </w:rPr>
              <w:t>、</w:t>
            </w:r>
            <w:r>
              <w:rPr>
                <w:rFonts w:hint="eastAsia" w:ascii="宋体" w:hAnsi="宋体" w:cs="宋体"/>
                <w:color w:val="000000"/>
                <w:kern w:val="0"/>
                <w:sz w:val="20"/>
                <w:szCs w:val="20"/>
              </w:rPr>
              <w:t>整体绩效目标实现情况（60分）</w:t>
            </w:r>
          </w:p>
        </w:tc>
      </w:tr>
      <w:tr w14:paraId="3B84F9C1">
        <w:tblPrEx>
          <w:tblCellMar>
            <w:top w:w="0" w:type="dxa"/>
            <w:left w:w="108" w:type="dxa"/>
            <w:bottom w:w="0" w:type="dxa"/>
            <w:right w:w="108" w:type="dxa"/>
          </w:tblCellMar>
        </w:tblPrEx>
        <w:trPr>
          <w:cantSplit/>
          <w:trHeight w:val="499" w:hRule="atLeast"/>
        </w:trPr>
        <w:tc>
          <w:tcPr>
            <w:tcW w:w="393" w:type="pct"/>
            <w:tcBorders>
              <w:top w:val="single" w:color="auto" w:sz="4" w:space="0"/>
              <w:left w:val="single" w:color="auto" w:sz="4" w:space="0"/>
              <w:bottom w:val="single" w:color="auto" w:sz="4" w:space="0"/>
              <w:right w:val="single" w:color="auto" w:sz="4" w:space="0"/>
            </w:tcBorders>
            <w:vAlign w:val="center"/>
          </w:tcPr>
          <w:p w14:paraId="078EEBF8">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394" w:type="pct"/>
            <w:tcBorders>
              <w:top w:val="single" w:color="auto" w:sz="4" w:space="0"/>
              <w:left w:val="nil"/>
              <w:bottom w:val="single" w:color="auto" w:sz="4" w:space="0"/>
              <w:right w:val="single" w:color="auto" w:sz="4" w:space="0"/>
            </w:tcBorders>
            <w:vAlign w:val="center"/>
          </w:tcPr>
          <w:p w14:paraId="3562A6AF">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62" w:type="pct"/>
            <w:tcBorders>
              <w:top w:val="single" w:color="auto" w:sz="4" w:space="0"/>
              <w:left w:val="nil"/>
              <w:bottom w:val="single" w:color="auto" w:sz="4" w:space="0"/>
              <w:right w:val="single" w:color="auto" w:sz="4" w:space="0"/>
            </w:tcBorders>
            <w:vAlign w:val="center"/>
          </w:tcPr>
          <w:p w14:paraId="469C8397">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482" w:type="pct"/>
            <w:tcBorders>
              <w:top w:val="single" w:color="auto" w:sz="4" w:space="0"/>
              <w:left w:val="nil"/>
              <w:bottom w:val="single" w:color="auto" w:sz="4" w:space="0"/>
              <w:right w:val="single" w:color="auto" w:sz="4" w:space="0"/>
            </w:tcBorders>
            <w:vAlign w:val="center"/>
          </w:tcPr>
          <w:p w14:paraId="66657787">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304" w:type="pct"/>
            <w:tcBorders>
              <w:top w:val="single" w:color="auto" w:sz="4" w:space="0"/>
              <w:left w:val="nil"/>
              <w:bottom w:val="single" w:color="auto" w:sz="4" w:space="0"/>
              <w:right w:val="single" w:color="auto" w:sz="4" w:space="0"/>
            </w:tcBorders>
            <w:vAlign w:val="center"/>
          </w:tcPr>
          <w:p w14:paraId="14B5AB17">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293" w:type="pct"/>
            <w:tcBorders>
              <w:top w:val="single" w:color="auto" w:sz="4" w:space="0"/>
              <w:left w:val="nil"/>
              <w:bottom w:val="single" w:color="auto" w:sz="4" w:space="0"/>
              <w:right w:val="single" w:color="auto" w:sz="4" w:space="0"/>
            </w:tcBorders>
            <w:vAlign w:val="center"/>
          </w:tcPr>
          <w:p w14:paraId="35231920">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305" w:type="pct"/>
            <w:tcBorders>
              <w:top w:val="single" w:color="auto" w:sz="4" w:space="0"/>
              <w:left w:val="nil"/>
              <w:bottom w:val="single" w:color="auto" w:sz="4" w:space="0"/>
              <w:right w:val="nil"/>
            </w:tcBorders>
            <w:vAlign w:val="center"/>
          </w:tcPr>
          <w:p w14:paraId="02F97766">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41" w:type="pct"/>
            <w:tcBorders>
              <w:top w:val="single" w:color="auto" w:sz="4" w:space="0"/>
              <w:left w:val="single" w:color="auto" w:sz="4" w:space="0"/>
              <w:bottom w:val="single" w:color="auto" w:sz="4" w:space="0"/>
              <w:right w:val="single" w:color="auto" w:sz="4" w:space="0"/>
            </w:tcBorders>
            <w:vAlign w:val="center"/>
          </w:tcPr>
          <w:p w14:paraId="05D7C199">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23" w:type="pct"/>
            <w:tcBorders>
              <w:top w:val="single" w:color="auto" w:sz="4" w:space="0"/>
              <w:left w:val="single" w:color="auto" w:sz="4" w:space="0"/>
              <w:bottom w:val="single" w:color="auto" w:sz="4" w:space="0"/>
              <w:right w:val="single" w:color="auto" w:sz="4" w:space="0"/>
            </w:tcBorders>
            <w:vAlign w:val="center"/>
          </w:tcPr>
          <w:p w14:paraId="0C3D81EF">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14:paraId="65E85759">
        <w:tblPrEx>
          <w:tblCellMar>
            <w:top w:w="0" w:type="dxa"/>
            <w:left w:w="108" w:type="dxa"/>
            <w:bottom w:w="0" w:type="dxa"/>
            <w:right w:w="108" w:type="dxa"/>
          </w:tblCellMar>
        </w:tblPrEx>
        <w:trPr>
          <w:cantSplit/>
          <w:trHeight w:val="2422" w:hRule="atLeast"/>
        </w:trPr>
        <w:tc>
          <w:tcPr>
            <w:tcW w:w="393" w:type="pct"/>
            <w:vMerge w:val="restart"/>
            <w:tcBorders>
              <w:top w:val="single" w:color="auto" w:sz="4" w:space="0"/>
              <w:left w:val="single" w:color="auto" w:sz="4" w:space="0"/>
              <w:right w:val="single" w:color="auto" w:sz="4" w:space="0"/>
            </w:tcBorders>
            <w:vAlign w:val="center"/>
          </w:tcPr>
          <w:p w14:paraId="3C6D0B16">
            <w:pPr>
              <w:widowControl/>
              <w:jc w:val="center"/>
              <w:rPr>
                <w:rFonts w:ascii="宋体" w:hAnsi="宋体" w:cs="宋体"/>
                <w:color w:val="000000"/>
                <w:kern w:val="0"/>
                <w:sz w:val="20"/>
                <w:szCs w:val="20"/>
              </w:rPr>
            </w:pPr>
            <w:r>
              <w:rPr>
                <w:rFonts w:hint="eastAsia" w:ascii="宋体" w:hAnsi="宋体" w:cs="宋体"/>
                <w:color w:val="000000"/>
                <w:kern w:val="0"/>
                <w:sz w:val="20"/>
                <w:szCs w:val="20"/>
              </w:rPr>
              <w:t>整体绩效目标实现情况（60）</w:t>
            </w:r>
          </w:p>
        </w:tc>
        <w:tc>
          <w:tcPr>
            <w:tcW w:w="394" w:type="pct"/>
            <w:vMerge w:val="restart"/>
            <w:tcBorders>
              <w:top w:val="single" w:color="auto" w:sz="4" w:space="0"/>
              <w:left w:val="nil"/>
              <w:right w:val="single" w:color="auto" w:sz="4" w:space="0"/>
            </w:tcBorders>
            <w:vAlign w:val="center"/>
          </w:tcPr>
          <w:p w14:paraId="66D46BC0">
            <w:pPr>
              <w:widowControl/>
              <w:jc w:val="center"/>
              <w:rPr>
                <w:rFonts w:ascii="宋体" w:hAnsi="宋体" w:cs="宋体"/>
                <w:color w:val="000000"/>
                <w:kern w:val="0"/>
                <w:sz w:val="20"/>
                <w:szCs w:val="20"/>
              </w:rPr>
            </w:pPr>
          </w:p>
          <w:p w14:paraId="6F13F100">
            <w:pPr>
              <w:jc w:val="center"/>
              <w:rPr>
                <w:rFonts w:ascii="宋体" w:hAnsi="宋体" w:cs="宋体"/>
                <w:color w:val="000000"/>
                <w:kern w:val="0"/>
                <w:sz w:val="20"/>
                <w:szCs w:val="20"/>
              </w:rPr>
            </w:pPr>
            <w:r>
              <w:rPr>
                <w:rFonts w:hint="eastAsia" w:ascii="宋体" w:hAnsi="宋体" w:cs="宋体"/>
                <w:color w:val="000000"/>
                <w:kern w:val="0"/>
                <w:sz w:val="20"/>
                <w:szCs w:val="20"/>
              </w:rPr>
              <w:t>产出（30）</w:t>
            </w:r>
          </w:p>
        </w:tc>
        <w:tc>
          <w:tcPr>
            <w:tcW w:w="362" w:type="pct"/>
            <w:tcBorders>
              <w:top w:val="single" w:color="auto" w:sz="4" w:space="0"/>
              <w:left w:val="nil"/>
              <w:bottom w:val="single" w:color="auto" w:sz="4" w:space="0"/>
              <w:right w:val="single" w:color="auto" w:sz="4" w:space="0"/>
            </w:tcBorders>
            <w:vAlign w:val="center"/>
          </w:tcPr>
          <w:p w14:paraId="7AAF53BC">
            <w:pPr>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产出数量</w:t>
            </w:r>
          </w:p>
        </w:tc>
        <w:tc>
          <w:tcPr>
            <w:tcW w:w="482" w:type="pct"/>
            <w:tcBorders>
              <w:top w:val="single" w:color="auto" w:sz="4" w:space="0"/>
              <w:left w:val="nil"/>
              <w:bottom w:val="single" w:color="auto" w:sz="4" w:space="0"/>
              <w:right w:val="single" w:color="auto" w:sz="4" w:space="0"/>
            </w:tcBorders>
            <w:vAlign w:val="center"/>
          </w:tcPr>
          <w:p w14:paraId="04ED5692">
            <w:pPr>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完成重大任务</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落实立德树人</w:t>
            </w:r>
            <w:r>
              <w:rPr>
                <w:rFonts w:hint="eastAsia" w:ascii="宋体" w:hAnsi="宋体" w:eastAsia="宋体" w:cs="宋体"/>
                <w:color w:val="000000"/>
                <w:kern w:val="0"/>
                <w:sz w:val="18"/>
                <w:szCs w:val="18"/>
                <w:lang w:eastAsia="zh-CN"/>
              </w:rPr>
              <w:t>、加强党的建设、维护校园安稳、加强干部人才队伍建设等</w:t>
            </w:r>
          </w:p>
        </w:tc>
        <w:tc>
          <w:tcPr>
            <w:tcW w:w="304" w:type="pct"/>
            <w:tcBorders>
              <w:top w:val="single" w:color="auto" w:sz="4" w:space="0"/>
              <w:left w:val="nil"/>
              <w:bottom w:val="single" w:color="auto" w:sz="4" w:space="0"/>
              <w:right w:val="single" w:color="auto" w:sz="4" w:space="0"/>
            </w:tcBorders>
            <w:vAlign w:val="center"/>
          </w:tcPr>
          <w:p w14:paraId="75DC6A23">
            <w:pPr>
              <w:jc w:val="center"/>
              <w:rPr>
                <w:rFonts w:ascii="宋体" w:hAnsi="宋体" w:cs="宋体"/>
                <w:color w:val="000000"/>
                <w:kern w:val="0"/>
                <w:sz w:val="20"/>
                <w:szCs w:val="20"/>
              </w:rPr>
            </w:pPr>
            <w:r>
              <w:rPr>
                <w:rFonts w:hint="eastAsia" w:ascii="宋体" w:hAnsi="宋体" w:cs="宋体"/>
                <w:color w:val="000000"/>
                <w:kern w:val="0"/>
                <w:sz w:val="20"/>
                <w:szCs w:val="20"/>
                <w:lang w:eastAsia="zh-CN"/>
              </w:rPr>
              <w:t>优</w:t>
            </w:r>
          </w:p>
        </w:tc>
        <w:tc>
          <w:tcPr>
            <w:tcW w:w="293" w:type="pct"/>
            <w:vMerge w:val="restart"/>
            <w:tcBorders>
              <w:top w:val="single" w:color="auto" w:sz="4" w:space="0"/>
              <w:left w:val="nil"/>
              <w:bottom w:val="single" w:color="auto" w:sz="4" w:space="0"/>
              <w:right w:val="single" w:color="auto" w:sz="4" w:space="0"/>
            </w:tcBorders>
            <w:vAlign w:val="center"/>
          </w:tcPr>
          <w:p w14:paraId="31C36608">
            <w:pPr>
              <w:widowControl/>
              <w:jc w:val="center"/>
              <w:rPr>
                <w:rFonts w:ascii="宋体" w:hAnsi="宋体" w:cs="宋体"/>
                <w:color w:val="000000"/>
                <w:kern w:val="0"/>
                <w:sz w:val="20"/>
                <w:szCs w:val="20"/>
              </w:rPr>
            </w:pPr>
          </w:p>
          <w:p w14:paraId="1B03C28F">
            <w:pPr>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305" w:type="pct"/>
            <w:tcBorders>
              <w:top w:val="single" w:color="auto" w:sz="4" w:space="0"/>
              <w:left w:val="nil"/>
              <w:bottom w:val="single" w:color="auto" w:sz="4" w:space="0"/>
              <w:right w:val="nil"/>
            </w:tcBorders>
            <w:vAlign w:val="center"/>
          </w:tcPr>
          <w:p w14:paraId="685DE704">
            <w:pPr>
              <w:widowControl/>
              <w:jc w:val="center"/>
              <w:rPr>
                <w:rFonts w:ascii="宋体" w:hAnsi="宋体" w:cs="宋体"/>
                <w:color w:val="000000"/>
                <w:kern w:val="0"/>
                <w:sz w:val="20"/>
                <w:szCs w:val="20"/>
              </w:rPr>
            </w:pPr>
          </w:p>
          <w:p w14:paraId="71D91D44">
            <w:pPr>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8</w:t>
            </w:r>
          </w:p>
        </w:tc>
        <w:tc>
          <w:tcPr>
            <w:tcW w:w="1241" w:type="pct"/>
            <w:vMerge w:val="restart"/>
            <w:tcBorders>
              <w:top w:val="single" w:color="auto" w:sz="4" w:space="0"/>
              <w:left w:val="single" w:color="auto" w:sz="4" w:space="0"/>
              <w:bottom w:val="single" w:color="auto" w:sz="4" w:space="0"/>
              <w:right w:val="single" w:color="auto" w:sz="4" w:space="0"/>
            </w:tcBorders>
            <w:vAlign w:val="center"/>
          </w:tcPr>
          <w:p w14:paraId="40D4E1DE">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产出数量</w:t>
            </w:r>
            <w:r>
              <w:rPr>
                <w:rFonts w:hint="eastAsia" w:ascii="宋体" w:hAnsi="宋体" w:cs="宋体"/>
                <w:color w:val="000000"/>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hint="eastAsia" w:ascii="宋体" w:hAnsi="宋体" w:cs="宋体"/>
                <w:b/>
                <w:bCs/>
                <w:color w:val="000000"/>
                <w:kern w:val="0"/>
                <w:sz w:val="18"/>
                <w:szCs w:val="18"/>
              </w:rPr>
              <w:t>产出质量</w:t>
            </w:r>
            <w:r>
              <w:rPr>
                <w:rFonts w:hint="eastAsia" w:ascii="宋体" w:hAnsi="宋体" w:cs="宋体"/>
                <w:color w:val="000000"/>
                <w:kern w:val="0"/>
                <w:sz w:val="18"/>
                <w:szCs w:val="18"/>
              </w:rPr>
              <w:t>：质量达标率=质量达标工作数/实际完成工作数×100%。质量达标工作数：一定时期（年度或规划期）内部门（单位）实际完成工作数中达到部门绩效目标要求（绩效标准值）的工作任务数量。</w:t>
            </w:r>
            <w:r>
              <w:rPr>
                <w:rFonts w:hint="eastAsia" w:ascii="宋体" w:hAnsi="宋体" w:cs="宋体"/>
                <w:b/>
                <w:bCs/>
                <w:color w:val="000000"/>
                <w:kern w:val="0"/>
                <w:sz w:val="18"/>
                <w:szCs w:val="18"/>
              </w:rPr>
              <w:t>产出进度：</w:t>
            </w:r>
            <w:r>
              <w:rPr>
                <w:rFonts w:hint="eastAsia" w:ascii="宋体" w:hAnsi="宋体" w:cs="宋体"/>
                <w:color w:val="000000"/>
                <w:kern w:val="0"/>
                <w:sz w:val="18"/>
                <w:szCs w:val="18"/>
              </w:rPr>
              <w:t>按时完成率=（按时完成工作数/实际完成工作数）×100%。按时完成工作数：部门（单位）按照整体绩效目标确定的时限实际完成的工作任务数量。</w:t>
            </w:r>
            <w:r>
              <w:rPr>
                <w:rFonts w:hint="eastAsia" w:ascii="宋体" w:hAnsi="宋体" w:cs="宋体"/>
                <w:b/>
                <w:bCs/>
                <w:color w:val="000000"/>
                <w:kern w:val="0"/>
                <w:sz w:val="18"/>
                <w:szCs w:val="18"/>
              </w:rPr>
              <w:t>产出成本</w:t>
            </w:r>
            <w:r>
              <w:rPr>
                <w:rFonts w:hint="eastAsia" w:ascii="宋体" w:hAnsi="宋体" w:cs="宋体"/>
                <w:color w:val="000000"/>
                <w:kern w:val="0"/>
                <w:sz w:val="18"/>
                <w:szCs w:val="18"/>
              </w:rPr>
              <w:t>：单位产出相对于上一年度的节约额；②单位产出相对于市场同类产出的节约额；③部门公用经费的控制情况。</w:t>
            </w:r>
          </w:p>
        </w:tc>
        <w:tc>
          <w:tcPr>
            <w:tcW w:w="1223" w:type="pct"/>
            <w:vMerge w:val="restart"/>
            <w:tcBorders>
              <w:top w:val="single" w:color="auto" w:sz="4" w:space="0"/>
              <w:left w:val="single" w:color="auto" w:sz="4" w:space="0"/>
              <w:bottom w:val="single" w:color="auto" w:sz="4" w:space="0"/>
              <w:right w:val="single" w:color="auto" w:sz="4" w:space="0"/>
            </w:tcBorders>
            <w:vAlign w:val="center"/>
          </w:tcPr>
          <w:p w14:paraId="101DA10B">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14:paraId="0D0E5EF2">
        <w:tblPrEx>
          <w:tblCellMar>
            <w:top w:w="0" w:type="dxa"/>
            <w:left w:w="108" w:type="dxa"/>
            <w:bottom w:w="0" w:type="dxa"/>
            <w:right w:w="108" w:type="dxa"/>
          </w:tblCellMar>
        </w:tblPrEx>
        <w:trPr>
          <w:cantSplit/>
          <w:trHeight w:val="1180" w:hRule="atLeast"/>
        </w:trPr>
        <w:tc>
          <w:tcPr>
            <w:tcW w:w="393" w:type="pct"/>
            <w:vMerge w:val="continue"/>
            <w:tcBorders>
              <w:left w:val="single" w:color="auto" w:sz="4" w:space="0"/>
              <w:right w:val="single" w:color="auto" w:sz="4" w:space="0"/>
            </w:tcBorders>
            <w:vAlign w:val="center"/>
          </w:tcPr>
          <w:p w14:paraId="65A45E36">
            <w:pPr>
              <w:widowControl/>
              <w:jc w:val="left"/>
              <w:rPr>
                <w:rFonts w:ascii="宋体" w:hAnsi="宋体" w:cs="宋体"/>
                <w:color w:val="000000"/>
                <w:kern w:val="0"/>
                <w:sz w:val="20"/>
                <w:szCs w:val="20"/>
              </w:rPr>
            </w:pPr>
          </w:p>
        </w:tc>
        <w:tc>
          <w:tcPr>
            <w:tcW w:w="394" w:type="pct"/>
            <w:vMerge w:val="continue"/>
            <w:tcBorders>
              <w:left w:val="single" w:color="auto" w:sz="4" w:space="0"/>
              <w:right w:val="single" w:color="auto" w:sz="4" w:space="0"/>
            </w:tcBorders>
            <w:vAlign w:val="center"/>
          </w:tcPr>
          <w:p w14:paraId="787E290A">
            <w:pPr>
              <w:widowControl/>
              <w:jc w:val="left"/>
              <w:rPr>
                <w:rFonts w:ascii="宋体" w:hAnsi="宋体" w:cs="宋体"/>
                <w:color w:val="000000"/>
                <w:kern w:val="0"/>
                <w:sz w:val="20"/>
                <w:szCs w:val="20"/>
              </w:rPr>
            </w:pPr>
          </w:p>
        </w:tc>
        <w:tc>
          <w:tcPr>
            <w:tcW w:w="362" w:type="pct"/>
            <w:tcBorders>
              <w:top w:val="single" w:color="auto" w:sz="4" w:space="0"/>
              <w:left w:val="nil"/>
              <w:bottom w:val="single" w:color="auto" w:sz="4" w:space="0"/>
              <w:right w:val="single" w:color="auto" w:sz="4" w:space="0"/>
            </w:tcBorders>
            <w:vAlign w:val="center"/>
          </w:tcPr>
          <w:p w14:paraId="30F99AC7">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产出质量</w:t>
            </w:r>
          </w:p>
        </w:tc>
        <w:tc>
          <w:tcPr>
            <w:tcW w:w="482" w:type="pct"/>
            <w:tcBorders>
              <w:top w:val="single" w:color="auto" w:sz="4" w:space="0"/>
              <w:left w:val="nil"/>
              <w:bottom w:val="single" w:color="auto" w:sz="4" w:space="0"/>
              <w:right w:val="single" w:color="auto" w:sz="4" w:space="0"/>
            </w:tcBorders>
            <w:vAlign w:val="center"/>
          </w:tcPr>
          <w:p w14:paraId="2EB67190">
            <w:pPr>
              <w:widowControl/>
              <w:jc w:val="center"/>
              <w:rPr>
                <w:rFonts w:ascii="宋体" w:hAnsi="宋体" w:cs="宋体"/>
                <w:color w:val="000000"/>
                <w:kern w:val="0"/>
                <w:sz w:val="18"/>
                <w:szCs w:val="18"/>
              </w:rPr>
            </w:pPr>
            <w:r>
              <w:rPr>
                <w:rFonts w:hint="eastAsia" w:ascii="宋体" w:hAnsi="宋体" w:cs="宋体"/>
                <w:color w:val="000000"/>
                <w:kern w:val="0"/>
                <w:sz w:val="18"/>
                <w:szCs w:val="18"/>
                <w:lang w:eastAsia="zh-CN"/>
              </w:rPr>
              <w:t>推动</w:t>
            </w:r>
            <w:r>
              <w:rPr>
                <w:rFonts w:hint="eastAsia" w:ascii="宋体" w:hAnsi="宋体" w:cs="宋体"/>
                <w:color w:val="000000"/>
                <w:kern w:val="0"/>
                <w:sz w:val="18"/>
                <w:szCs w:val="18"/>
              </w:rPr>
              <w:t>首都教育高质量发展</w:t>
            </w:r>
          </w:p>
        </w:tc>
        <w:tc>
          <w:tcPr>
            <w:tcW w:w="304" w:type="pct"/>
            <w:tcBorders>
              <w:top w:val="single" w:color="auto" w:sz="4" w:space="0"/>
              <w:left w:val="nil"/>
              <w:bottom w:val="single" w:color="auto" w:sz="4" w:space="0"/>
              <w:right w:val="single" w:color="auto" w:sz="4" w:space="0"/>
            </w:tcBorders>
            <w:vAlign w:val="center"/>
          </w:tcPr>
          <w:p w14:paraId="44AA4BCF">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优</w:t>
            </w:r>
          </w:p>
        </w:tc>
        <w:tc>
          <w:tcPr>
            <w:tcW w:w="293" w:type="pct"/>
            <w:vMerge w:val="continue"/>
            <w:tcBorders>
              <w:top w:val="single" w:color="auto" w:sz="4" w:space="0"/>
              <w:left w:val="single" w:color="auto" w:sz="4" w:space="0"/>
              <w:right w:val="single" w:color="auto" w:sz="4" w:space="0"/>
            </w:tcBorders>
            <w:vAlign w:val="center"/>
          </w:tcPr>
          <w:p w14:paraId="04F0E08D">
            <w:pPr>
              <w:widowControl/>
              <w:jc w:val="left"/>
              <w:rPr>
                <w:rFonts w:ascii="宋体" w:hAnsi="宋体" w:cs="宋体"/>
                <w:color w:val="000000"/>
                <w:kern w:val="0"/>
                <w:sz w:val="20"/>
                <w:szCs w:val="20"/>
              </w:rPr>
            </w:pPr>
          </w:p>
        </w:tc>
        <w:tc>
          <w:tcPr>
            <w:tcW w:w="305" w:type="pct"/>
            <w:tcBorders>
              <w:top w:val="single" w:color="auto" w:sz="4" w:space="0"/>
              <w:left w:val="nil"/>
              <w:bottom w:val="single" w:color="auto" w:sz="4" w:space="0"/>
              <w:right w:val="nil"/>
            </w:tcBorders>
            <w:noWrap/>
            <w:vAlign w:val="center"/>
          </w:tcPr>
          <w:p w14:paraId="664F5C20">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241" w:type="pct"/>
            <w:vMerge w:val="continue"/>
            <w:tcBorders>
              <w:top w:val="nil"/>
              <w:left w:val="single" w:color="auto" w:sz="4" w:space="0"/>
              <w:bottom w:val="single" w:color="auto" w:sz="4" w:space="0"/>
              <w:right w:val="single" w:color="auto" w:sz="4" w:space="0"/>
            </w:tcBorders>
            <w:vAlign w:val="center"/>
          </w:tcPr>
          <w:p w14:paraId="3105F3C0">
            <w:pPr>
              <w:widowControl/>
              <w:jc w:val="left"/>
              <w:rPr>
                <w:rFonts w:ascii="宋体" w:hAnsi="宋体" w:cs="宋体"/>
                <w:color w:val="000000"/>
                <w:kern w:val="0"/>
                <w:sz w:val="18"/>
                <w:szCs w:val="18"/>
              </w:rPr>
            </w:pPr>
          </w:p>
        </w:tc>
        <w:tc>
          <w:tcPr>
            <w:tcW w:w="1223" w:type="pct"/>
            <w:vMerge w:val="continue"/>
            <w:tcBorders>
              <w:top w:val="nil"/>
              <w:left w:val="single" w:color="auto" w:sz="4" w:space="0"/>
              <w:bottom w:val="single" w:color="auto" w:sz="4" w:space="0"/>
              <w:right w:val="single" w:color="auto" w:sz="4" w:space="0"/>
            </w:tcBorders>
            <w:vAlign w:val="center"/>
          </w:tcPr>
          <w:p w14:paraId="1E9477F2">
            <w:pPr>
              <w:widowControl/>
              <w:jc w:val="left"/>
              <w:rPr>
                <w:rFonts w:ascii="宋体" w:hAnsi="宋体" w:cs="宋体"/>
                <w:color w:val="000000"/>
                <w:kern w:val="0"/>
                <w:sz w:val="18"/>
                <w:szCs w:val="18"/>
              </w:rPr>
            </w:pPr>
          </w:p>
        </w:tc>
      </w:tr>
      <w:tr w14:paraId="56054250">
        <w:tblPrEx>
          <w:tblCellMar>
            <w:top w:w="0" w:type="dxa"/>
            <w:left w:w="108" w:type="dxa"/>
            <w:bottom w:w="0" w:type="dxa"/>
            <w:right w:w="108" w:type="dxa"/>
          </w:tblCellMar>
        </w:tblPrEx>
        <w:trPr>
          <w:cantSplit/>
          <w:trHeight w:val="1223" w:hRule="atLeast"/>
        </w:trPr>
        <w:tc>
          <w:tcPr>
            <w:tcW w:w="393" w:type="pct"/>
            <w:vMerge w:val="continue"/>
            <w:tcBorders>
              <w:left w:val="single" w:color="auto" w:sz="4" w:space="0"/>
              <w:right w:val="single" w:color="auto" w:sz="4" w:space="0"/>
            </w:tcBorders>
            <w:vAlign w:val="center"/>
          </w:tcPr>
          <w:p w14:paraId="2623708F">
            <w:pPr>
              <w:widowControl/>
              <w:jc w:val="left"/>
              <w:rPr>
                <w:rFonts w:ascii="宋体" w:hAnsi="宋体" w:cs="宋体"/>
                <w:color w:val="000000"/>
                <w:kern w:val="0"/>
                <w:sz w:val="20"/>
                <w:szCs w:val="20"/>
              </w:rPr>
            </w:pPr>
          </w:p>
        </w:tc>
        <w:tc>
          <w:tcPr>
            <w:tcW w:w="394" w:type="pct"/>
            <w:vMerge w:val="continue"/>
            <w:tcBorders>
              <w:left w:val="single" w:color="auto" w:sz="4" w:space="0"/>
              <w:right w:val="single" w:color="auto" w:sz="4" w:space="0"/>
            </w:tcBorders>
            <w:vAlign w:val="center"/>
          </w:tcPr>
          <w:p w14:paraId="559938DC">
            <w:pPr>
              <w:widowControl/>
              <w:jc w:val="left"/>
              <w:rPr>
                <w:rFonts w:ascii="宋体" w:hAnsi="宋体" w:cs="宋体"/>
                <w:color w:val="000000"/>
                <w:kern w:val="0"/>
                <w:sz w:val="20"/>
                <w:szCs w:val="20"/>
              </w:rPr>
            </w:pPr>
          </w:p>
        </w:tc>
        <w:tc>
          <w:tcPr>
            <w:tcW w:w="362" w:type="pct"/>
            <w:tcBorders>
              <w:top w:val="nil"/>
              <w:left w:val="nil"/>
              <w:bottom w:val="single" w:color="auto" w:sz="4" w:space="0"/>
              <w:right w:val="single" w:color="auto" w:sz="4" w:space="0"/>
            </w:tcBorders>
            <w:vAlign w:val="center"/>
          </w:tcPr>
          <w:p w14:paraId="49024008">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产出进度</w:t>
            </w:r>
          </w:p>
        </w:tc>
        <w:tc>
          <w:tcPr>
            <w:tcW w:w="482" w:type="pct"/>
            <w:tcBorders>
              <w:top w:val="nil"/>
              <w:left w:val="nil"/>
              <w:bottom w:val="single" w:color="auto" w:sz="4" w:space="0"/>
              <w:right w:val="single" w:color="auto" w:sz="4" w:space="0"/>
            </w:tcBorders>
            <w:vAlign w:val="center"/>
          </w:tcPr>
          <w:p w14:paraId="102FBC47">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持续提升首都教育治理能力</w:t>
            </w:r>
          </w:p>
        </w:tc>
        <w:tc>
          <w:tcPr>
            <w:tcW w:w="304" w:type="pct"/>
            <w:tcBorders>
              <w:top w:val="nil"/>
              <w:left w:val="nil"/>
              <w:bottom w:val="single" w:color="auto" w:sz="4" w:space="0"/>
              <w:right w:val="single" w:color="auto" w:sz="4" w:space="0"/>
            </w:tcBorders>
            <w:vAlign w:val="center"/>
          </w:tcPr>
          <w:p w14:paraId="34375A96">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优</w:t>
            </w:r>
          </w:p>
        </w:tc>
        <w:tc>
          <w:tcPr>
            <w:tcW w:w="293" w:type="pct"/>
            <w:vMerge w:val="continue"/>
            <w:tcBorders>
              <w:left w:val="single" w:color="auto" w:sz="4" w:space="0"/>
              <w:right w:val="single" w:color="auto" w:sz="4" w:space="0"/>
            </w:tcBorders>
            <w:vAlign w:val="center"/>
          </w:tcPr>
          <w:p w14:paraId="01377F74">
            <w:pPr>
              <w:widowControl/>
              <w:jc w:val="left"/>
              <w:rPr>
                <w:rFonts w:ascii="宋体" w:hAnsi="宋体" w:cs="宋体"/>
                <w:color w:val="000000"/>
                <w:kern w:val="0"/>
                <w:sz w:val="20"/>
                <w:szCs w:val="20"/>
              </w:rPr>
            </w:pPr>
          </w:p>
        </w:tc>
        <w:tc>
          <w:tcPr>
            <w:tcW w:w="305" w:type="pct"/>
            <w:tcBorders>
              <w:top w:val="nil"/>
              <w:left w:val="nil"/>
              <w:bottom w:val="single" w:color="auto" w:sz="4" w:space="0"/>
              <w:right w:val="nil"/>
            </w:tcBorders>
            <w:noWrap/>
            <w:vAlign w:val="center"/>
          </w:tcPr>
          <w:p w14:paraId="69D205A8">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241" w:type="pct"/>
            <w:vMerge w:val="continue"/>
            <w:tcBorders>
              <w:top w:val="nil"/>
              <w:left w:val="single" w:color="auto" w:sz="4" w:space="0"/>
              <w:bottom w:val="single" w:color="auto" w:sz="4" w:space="0"/>
              <w:right w:val="single" w:color="auto" w:sz="4" w:space="0"/>
            </w:tcBorders>
            <w:vAlign w:val="center"/>
          </w:tcPr>
          <w:p w14:paraId="2F22B422">
            <w:pPr>
              <w:widowControl/>
              <w:jc w:val="left"/>
              <w:rPr>
                <w:rFonts w:ascii="宋体" w:hAnsi="宋体" w:cs="宋体"/>
                <w:color w:val="000000"/>
                <w:kern w:val="0"/>
                <w:sz w:val="18"/>
                <w:szCs w:val="18"/>
              </w:rPr>
            </w:pPr>
          </w:p>
        </w:tc>
        <w:tc>
          <w:tcPr>
            <w:tcW w:w="1223" w:type="pct"/>
            <w:vMerge w:val="continue"/>
            <w:tcBorders>
              <w:top w:val="nil"/>
              <w:left w:val="single" w:color="auto" w:sz="4" w:space="0"/>
              <w:bottom w:val="single" w:color="auto" w:sz="4" w:space="0"/>
              <w:right w:val="single" w:color="auto" w:sz="4" w:space="0"/>
            </w:tcBorders>
            <w:vAlign w:val="center"/>
          </w:tcPr>
          <w:p w14:paraId="36B52608">
            <w:pPr>
              <w:widowControl/>
              <w:jc w:val="left"/>
              <w:rPr>
                <w:rFonts w:ascii="宋体" w:hAnsi="宋体" w:cs="宋体"/>
                <w:color w:val="000000"/>
                <w:kern w:val="0"/>
                <w:sz w:val="18"/>
                <w:szCs w:val="18"/>
              </w:rPr>
            </w:pPr>
          </w:p>
        </w:tc>
      </w:tr>
      <w:tr w14:paraId="255839E7">
        <w:tblPrEx>
          <w:tblCellMar>
            <w:top w:w="0" w:type="dxa"/>
            <w:left w:w="108" w:type="dxa"/>
            <w:bottom w:w="0" w:type="dxa"/>
            <w:right w:w="108" w:type="dxa"/>
          </w:tblCellMar>
        </w:tblPrEx>
        <w:trPr>
          <w:cantSplit/>
          <w:trHeight w:val="741" w:hRule="atLeast"/>
        </w:trPr>
        <w:tc>
          <w:tcPr>
            <w:tcW w:w="393" w:type="pct"/>
            <w:vMerge w:val="continue"/>
            <w:tcBorders>
              <w:left w:val="single" w:color="auto" w:sz="4" w:space="0"/>
              <w:right w:val="single" w:color="auto" w:sz="4" w:space="0"/>
            </w:tcBorders>
            <w:vAlign w:val="center"/>
          </w:tcPr>
          <w:p w14:paraId="00646E57">
            <w:pPr>
              <w:widowControl/>
              <w:jc w:val="left"/>
              <w:rPr>
                <w:rFonts w:ascii="宋体" w:hAnsi="宋体" w:cs="宋体"/>
                <w:color w:val="000000"/>
                <w:kern w:val="0"/>
                <w:sz w:val="20"/>
                <w:szCs w:val="20"/>
              </w:rPr>
            </w:pPr>
          </w:p>
        </w:tc>
        <w:tc>
          <w:tcPr>
            <w:tcW w:w="394" w:type="pct"/>
            <w:vMerge w:val="continue"/>
            <w:tcBorders>
              <w:left w:val="single" w:color="auto" w:sz="4" w:space="0"/>
              <w:bottom w:val="single" w:color="auto" w:sz="4" w:space="0"/>
              <w:right w:val="single" w:color="auto" w:sz="4" w:space="0"/>
            </w:tcBorders>
            <w:vAlign w:val="center"/>
          </w:tcPr>
          <w:p w14:paraId="6EBE656D">
            <w:pPr>
              <w:widowControl/>
              <w:jc w:val="left"/>
              <w:rPr>
                <w:rFonts w:ascii="宋体" w:hAnsi="宋体" w:cs="宋体"/>
                <w:color w:val="000000"/>
                <w:kern w:val="0"/>
                <w:sz w:val="20"/>
                <w:szCs w:val="20"/>
              </w:rPr>
            </w:pPr>
          </w:p>
        </w:tc>
        <w:tc>
          <w:tcPr>
            <w:tcW w:w="362" w:type="pct"/>
            <w:tcBorders>
              <w:top w:val="nil"/>
              <w:left w:val="nil"/>
              <w:bottom w:val="single" w:color="auto" w:sz="4" w:space="0"/>
              <w:right w:val="single" w:color="auto" w:sz="4" w:space="0"/>
            </w:tcBorders>
            <w:vAlign w:val="center"/>
          </w:tcPr>
          <w:p w14:paraId="44EA141A">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产出成本</w:t>
            </w:r>
          </w:p>
        </w:tc>
        <w:tc>
          <w:tcPr>
            <w:tcW w:w="482" w:type="pct"/>
            <w:tcBorders>
              <w:top w:val="nil"/>
              <w:left w:val="nil"/>
              <w:bottom w:val="single" w:color="auto" w:sz="4" w:space="0"/>
              <w:right w:val="single" w:color="auto" w:sz="4" w:space="0"/>
            </w:tcBorders>
            <w:vAlign w:val="center"/>
          </w:tcPr>
          <w:p w14:paraId="202970C2">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预算执行符合要求</w:t>
            </w:r>
          </w:p>
        </w:tc>
        <w:tc>
          <w:tcPr>
            <w:tcW w:w="304" w:type="pct"/>
            <w:tcBorders>
              <w:top w:val="nil"/>
              <w:left w:val="nil"/>
              <w:bottom w:val="single" w:color="auto" w:sz="4" w:space="0"/>
              <w:right w:val="single" w:color="auto" w:sz="4" w:space="0"/>
            </w:tcBorders>
            <w:vAlign w:val="center"/>
          </w:tcPr>
          <w:p w14:paraId="145A6A50">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优</w:t>
            </w:r>
          </w:p>
        </w:tc>
        <w:tc>
          <w:tcPr>
            <w:tcW w:w="293" w:type="pct"/>
            <w:vMerge w:val="continue"/>
            <w:tcBorders>
              <w:left w:val="single" w:color="auto" w:sz="4" w:space="0"/>
              <w:bottom w:val="single" w:color="auto" w:sz="4" w:space="0"/>
              <w:right w:val="single" w:color="auto" w:sz="4" w:space="0"/>
            </w:tcBorders>
            <w:vAlign w:val="center"/>
          </w:tcPr>
          <w:p w14:paraId="60616F0F">
            <w:pPr>
              <w:widowControl/>
              <w:jc w:val="left"/>
              <w:rPr>
                <w:rFonts w:ascii="宋体" w:hAnsi="宋体" w:cs="宋体"/>
                <w:color w:val="000000"/>
                <w:kern w:val="0"/>
                <w:sz w:val="20"/>
                <w:szCs w:val="20"/>
              </w:rPr>
            </w:pPr>
          </w:p>
        </w:tc>
        <w:tc>
          <w:tcPr>
            <w:tcW w:w="305" w:type="pct"/>
            <w:tcBorders>
              <w:top w:val="nil"/>
              <w:left w:val="nil"/>
              <w:bottom w:val="single" w:color="auto" w:sz="4" w:space="0"/>
              <w:right w:val="nil"/>
            </w:tcBorders>
            <w:noWrap/>
            <w:vAlign w:val="center"/>
          </w:tcPr>
          <w:p w14:paraId="5D59E9C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241" w:type="pct"/>
            <w:vMerge w:val="continue"/>
            <w:tcBorders>
              <w:top w:val="nil"/>
              <w:left w:val="single" w:color="auto" w:sz="4" w:space="0"/>
              <w:bottom w:val="single" w:color="auto" w:sz="4" w:space="0"/>
              <w:right w:val="single" w:color="auto" w:sz="4" w:space="0"/>
            </w:tcBorders>
            <w:vAlign w:val="center"/>
          </w:tcPr>
          <w:p w14:paraId="5D1ADED5">
            <w:pPr>
              <w:widowControl/>
              <w:jc w:val="left"/>
              <w:rPr>
                <w:rFonts w:ascii="宋体" w:hAnsi="宋体" w:cs="宋体"/>
                <w:color w:val="000000"/>
                <w:kern w:val="0"/>
                <w:sz w:val="18"/>
                <w:szCs w:val="18"/>
              </w:rPr>
            </w:pPr>
          </w:p>
        </w:tc>
        <w:tc>
          <w:tcPr>
            <w:tcW w:w="1223" w:type="pct"/>
            <w:vMerge w:val="continue"/>
            <w:tcBorders>
              <w:top w:val="nil"/>
              <w:left w:val="single" w:color="auto" w:sz="4" w:space="0"/>
              <w:bottom w:val="single" w:color="auto" w:sz="4" w:space="0"/>
              <w:right w:val="single" w:color="auto" w:sz="4" w:space="0"/>
            </w:tcBorders>
            <w:vAlign w:val="center"/>
          </w:tcPr>
          <w:p w14:paraId="0E16480A">
            <w:pPr>
              <w:widowControl/>
              <w:jc w:val="left"/>
              <w:rPr>
                <w:rFonts w:ascii="宋体" w:hAnsi="宋体" w:cs="宋体"/>
                <w:color w:val="000000"/>
                <w:kern w:val="0"/>
                <w:sz w:val="18"/>
                <w:szCs w:val="18"/>
              </w:rPr>
            </w:pPr>
          </w:p>
        </w:tc>
      </w:tr>
      <w:tr w14:paraId="6888EED0">
        <w:tblPrEx>
          <w:tblCellMar>
            <w:top w:w="0" w:type="dxa"/>
            <w:left w:w="108" w:type="dxa"/>
            <w:bottom w:w="0" w:type="dxa"/>
            <w:right w:w="108" w:type="dxa"/>
          </w:tblCellMar>
        </w:tblPrEx>
        <w:trPr>
          <w:cantSplit/>
          <w:trHeight w:val="675" w:hRule="atLeast"/>
        </w:trPr>
        <w:tc>
          <w:tcPr>
            <w:tcW w:w="393" w:type="pct"/>
            <w:vMerge w:val="continue"/>
            <w:tcBorders>
              <w:left w:val="single" w:color="auto" w:sz="4" w:space="0"/>
              <w:right w:val="single" w:color="auto" w:sz="4" w:space="0"/>
            </w:tcBorders>
            <w:vAlign w:val="center"/>
          </w:tcPr>
          <w:p w14:paraId="110931A2">
            <w:pPr>
              <w:widowControl/>
              <w:jc w:val="left"/>
              <w:rPr>
                <w:rFonts w:ascii="宋体" w:hAnsi="宋体" w:cs="宋体"/>
                <w:color w:val="000000"/>
                <w:kern w:val="0"/>
                <w:sz w:val="20"/>
                <w:szCs w:val="20"/>
              </w:rPr>
            </w:pPr>
          </w:p>
        </w:tc>
        <w:tc>
          <w:tcPr>
            <w:tcW w:w="394" w:type="pct"/>
            <w:vMerge w:val="restart"/>
            <w:tcBorders>
              <w:top w:val="nil"/>
              <w:left w:val="single" w:color="auto" w:sz="4" w:space="0"/>
              <w:right w:val="single" w:color="auto" w:sz="4" w:space="0"/>
            </w:tcBorders>
            <w:vAlign w:val="center"/>
          </w:tcPr>
          <w:p w14:paraId="79D63143">
            <w:pPr>
              <w:widowControl/>
              <w:jc w:val="center"/>
              <w:rPr>
                <w:rFonts w:ascii="宋体" w:hAnsi="宋体" w:cs="宋体"/>
                <w:color w:val="000000"/>
                <w:kern w:val="0"/>
                <w:sz w:val="20"/>
                <w:szCs w:val="20"/>
              </w:rPr>
            </w:pPr>
            <w:r>
              <w:rPr>
                <w:rFonts w:hint="eastAsia" w:ascii="宋体" w:hAnsi="宋体" w:cs="宋体"/>
                <w:color w:val="000000"/>
                <w:kern w:val="0"/>
                <w:sz w:val="20"/>
                <w:szCs w:val="20"/>
              </w:rPr>
              <w:t>效果（30）</w:t>
            </w:r>
          </w:p>
        </w:tc>
        <w:tc>
          <w:tcPr>
            <w:tcW w:w="362" w:type="pct"/>
            <w:tcBorders>
              <w:top w:val="nil"/>
              <w:left w:val="nil"/>
              <w:bottom w:val="single" w:color="auto" w:sz="4" w:space="0"/>
              <w:right w:val="single" w:color="auto" w:sz="4" w:space="0"/>
            </w:tcBorders>
            <w:vAlign w:val="center"/>
          </w:tcPr>
          <w:p w14:paraId="38EC81F0">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社会效益</w:t>
            </w:r>
          </w:p>
        </w:tc>
        <w:tc>
          <w:tcPr>
            <w:tcW w:w="482" w:type="pct"/>
            <w:tcBorders>
              <w:top w:val="nil"/>
              <w:left w:val="nil"/>
              <w:bottom w:val="single" w:color="auto" w:sz="4" w:space="0"/>
              <w:right w:val="single" w:color="auto" w:sz="4" w:space="0"/>
            </w:tcBorders>
            <w:vAlign w:val="center"/>
          </w:tcPr>
          <w:p w14:paraId="5AB03708">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全力服务支撑新时代首都发展</w:t>
            </w:r>
          </w:p>
        </w:tc>
        <w:tc>
          <w:tcPr>
            <w:tcW w:w="304" w:type="pct"/>
            <w:tcBorders>
              <w:top w:val="nil"/>
              <w:left w:val="nil"/>
              <w:bottom w:val="single" w:color="auto" w:sz="4" w:space="0"/>
              <w:right w:val="single" w:color="auto" w:sz="4" w:space="0"/>
            </w:tcBorders>
            <w:vAlign w:val="center"/>
          </w:tcPr>
          <w:p w14:paraId="144068CF">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优</w:t>
            </w:r>
            <w:r>
              <w:rPr>
                <w:rFonts w:hint="eastAsia" w:ascii="宋体" w:hAnsi="宋体" w:cs="宋体"/>
                <w:color w:val="000000"/>
                <w:kern w:val="0"/>
                <w:sz w:val="20"/>
                <w:szCs w:val="20"/>
              </w:rPr>
              <w:t>　</w:t>
            </w:r>
          </w:p>
        </w:tc>
        <w:tc>
          <w:tcPr>
            <w:tcW w:w="293" w:type="pct"/>
            <w:vMerge w:val="restart"/>
            <w:tcBorders>
              <w:top w:val="nil"/>
              <w:left w:val="single" w:color="auto" w:sz="4" w:space="0"/>
              <w:right w:val="single" w:color="auto" w:sz="4" w:space="0"/>
            </w:tcBorders>
            <w:noWrap/>
            <w:vAlign w:val="center"/>
          </w:tcPr>
          <w:p w14:paraId="5B2B67F3">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305" w:type="pct"/>
            <w:tcBorders>
              <w:top w:val="nil"/>
              <w:left w:val="nil"/>
              <w:bottom w:val="single" w:color="auto" w:sz="4" w:space="0"/>
              <w:right w:val="nil"/>
            </w:tcBorders>
            <w:noWrap/>
            <w:vAlign w:val="center"/>
          </w:tcPr>
          <w:p w14:paraId="28541BD5">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8</w:t>
            </w:r>
          </w:p>
        </w:tc>
        <w:tc>
          <w:tcPr>
            <w:tcW w:w="1241" w:type="pct"/>
            <w:vMerge w:val="restart"/>
            <w:tcBorders>
              <w:top w:val="nil"/>
              <w:left w:val="single" w:color="auto" w:sz="4" w:space="0"/>
              <w:right w:val="single" w:color="auto" w:sz="4" w:space="0"/>
            </w:tcBorders>
            <w:vAlign w:val="center"/>
          </w:tcPr>
          <w:p w14:paraId="7CE77203">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经济效益</w:t>
            </w:r>
            <w:r>
              <w:rPr>
                <w:rFonts w:hint="eastAsia" w:ascii="宋体" w:hAnsi="宋体" w:cs="宋体"/>
                <w:color w:val="000000"/>
                <w:kern w:val="0"/>
                <w:sz w:val="18"/>
                <w:szCs w:val="18"/>
              </w:rPr>
              <w:t>：部门（单位）履行职责对经济发展所带来的直接或间接影响。</w:t>
            </w:r>
            <w:r>
              <w:rPr>
                <w:rFonts w:hint="eastAsia" w:ascii="宋体" w:hAnsi="宋体" w:cs="宋体"/>
                <w:b/>
                <w:bCs/>
                <w:color w:val="000000"/>
                <w:kern w:val="0"/>
                <w:sz w:val="18"/>
                <w:szCs w:val="18"/>
              </w:rPr>
              <w:t>社会效益</w:t>
            </w:r>
            <w:r>
              <w:rPr>
                <w:rFonts w:hint="eastAsia" w:ascii="宋体" w:hAnsi="宋体" w:cs="宋体"/>
                <w:color w:val="000000"/>
                <w:kern w:val="0"/>
                <w:sz w:val="18"/>
                <w:szCs w:val="18"/>
              </w:rPr>
              <w:t>：部门（单位）履行职责对社会发展所带来的直接或间接影响。</w:t>
            </w:r>
            <w:r>
              <w:rPr>
                <w:rFonts w:hint="eastAsia" w:ascii="宋体" w:hAnsi="宋体" w:cs="宋体"/>
                <w:b/>
                <w:bCs/>
                <w:color w:val="000000"/>
                <w:kern w:val="0"/>
                <w:sz w:val="18"/>
                <w:szCs w:val="18"/>
              </w:rPr>
              <w:t>环境效益</w:t>
            </w:r>
            <w:r>
              <w:rPr>
                <w:rFonts w:hint="eastAsia" w:ascii="宋体" w:hAnsi="宋体" w:cs="宋体"/>
                <w:color w:val="000000"/>
                <w:kern w:val="0"/>
                <w:sz w:val="18"/>
                <w:szCs w:val="18"/>
              </w:rPr>
              <w:t>：部门（单位）履行职责对环境所带来的直接或间接影响。</w:t>
            </w:r>
            <w:r>
              <w:rPr>
                <w:rFonts w:hint="eastAsia" w:ascii="宋体" w:hAnsi="宋体" w:cs="宋体"/>
                <w:b/>
                <w:bCs/>
                <w:color w:val="000000"/>
                <w:kern w:val="0"/>
                <w:sz w:val="18"/>
                <w:szCs w:val="18"/>
              </w:rPr>
              <w:t>可持续性影响：</w:t>
            </w:r>
            <w:r>
              <w:rPr>
                <w:rFonts w:hint="eastAsia" w:ascii="宋体" w:hAnsi="宋体" w:cs="宋体"/>
                <w:color w:val="000000"/>
                <w:kern w:val="0"/>
                <w:sz w:val="18"/>
                <w:szCs w:val="18"/>
              </w:rPr>
              <w:t>部门绩效目标实现的长效机制建设情况，部门工作效率提升措施的创新。</w:t>
            </w:r>
            <w:r>
              <w:rPr>
                <w:rFonts w:hint="eastAsia" w:ascii="宋体" w:hAnsi="宋体" w:cs="宋体"/>
                <w:b/>
                <w:bCs/>
                <w:color w:val="000000"/>
                <w:kern w:val="0"/>
                <w:sz w:val="18"/>
                <w:szCs w:val="18"/>
              </w:rPr>
              <w:t>服务对象满意度</w:t>
            </w:r>
            <w:r>
              <w:rPr>
                <w:rFonts w:hint="eastAsia" w:ascii="宋体" w:hAnsi="宋体" w:cs="宋体"/>
                <w:color w:val="000000"/>
                <w:kern w:val="0"/>
                <w:sz w:val="18"/>
                <w:szCs w:val="18"/>
              </w:rPr>
              <w:t>：部门（单位）的服务对象对部门履职效果的满意程度。</w:t>
            </w:r>
          </w:p>
        </w:tc>
        <w:tc>
          <w:tcPr>
            <w:tcW w:w="1223" w:type="pct"/>
            <w:vMerge w:val="restart"/>
            <w:tcBorders>
              <w:top w:val="nil"/>
              <w:left w:val="single" w:color="auto" w:sz="4" w:space="0"/>
              <w:right w:val="single" w:color="auto" w:sz="4" w:space="0"/>
            </w:tcBorders>
            <w:vAlign w:val="center"/>
          </w:tcPr>
          <w:p w14:paraId="1DA4D208">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部门根据实际情况选择指标进行填写，并将其细化为相应的个性化指标。对于效益类指标可从受益对象瞄准度、受益广度和受益深度上进行设计分析。</w:t>
            </w:r>
          </w:p>
        </w:tc>
      </w:tr>
      <w:tr w14:paraId="05C9EE73">
        <w:tblPrEx>
          <w:tblCellMar>
            <w:top w:w="0" w:type="dxa"/>
            <w:left w:w="108" w:type="dxa"/>
            <w:bottom w:w="0" w:type="dxa"/>
            <w:right w:w="108" w:type="dxa"/>
          </w:tblCellMar>
        </w:tblPrEx>
        <w:trPr>
          <w:cantSplit/>
          <w:trHeight w:val="630" w:hRule="atLeast"/>
        </w:trPr>
        <w:tc>
          <w:tcPr>
            <w:tcW w:w="393" w:type="pct"/>
            <w:vMerge w:val="continue"/>
            <w:tcBorders>
              <w:left w:val="single" w:color="auto" w:sz="4" w:space="0"/>
              <w:right w:val="single" w:color="auto" w:sz="4" w:space="0"/>
            </w:tcBorders>
            <w:vAlign w:val="center"/>
          </w:tcPr>
          <w:p w14:paraId="0A23DC55">
            <w:pPr>
              <w:widowControl/>
              <w:jc w:val="left"/>
              <w:rPr>
                <w:rFonts w:ascii="宋体" w:hAnsi="宋体" w:cs="宋体"/>
                <w:color w:val="000000"/>
                <w:kern w:val="0"/>
                <w:sz w:val="20"/>
                <w:szCs w:val="20"/>
              </w:rPr>
            </w:pPr>
          </w:p>
        </w:tc>
        <w:tc>
          <w:tcPr>
            <w:tcW w:w="394" w:type="pct"/>
            <w:vMerge w:val="continue"/>
            <w:tcBorders>
              <w:left w:val="single" w:color="auto" w:sz="4" w:space="0"/>
              <w:right w:val="single" w:color="auto" w:sz="4" w:space="0"/>
            </w:tcBorders>
            <w:vAlign w:val="center"/>
          </w:tcPr>
          <w:p w14:paraId="6F15762E">
            <w:pPr>
              <w:widowControl/>
              <w:jc w:val="left"/>
              <w:rPr>
                <w:rFonts w:ascii="宋体" w:hAnsi="宋体" w:cs="宋体"/>
                <w:color w:val="000000"/>
                <w:kern w:val="0"/>
                <w:sz w:val="20"/>
                <w:szCs w:val="20"/>
              </w:rPr>
            </w:pPr>
          </w:p>
        </w:tc>
        <w:tc>
          <w:tcPr>
            <w:tcW w:w="362" w:type="pct"/>
            <w:tcBorders>
              <w:top w:val="nil"/>
              <w:left w:val="nil"/>
              <w:bottom w:val="single" w:color="auto" w:sz="4" w:space="0"/>
              <w:right w:val="single" w:color="auto" w:sz="4" w:space="0"/>
            </w:tcBorders>
            <w:vAlign w:val="center"/>
          </w:tcPr>
          <w:p w14:paraId="48085405">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环境效益</w:t>
            </w:r>
          </w:p>
        </w:tc>
        <w:tc>
          <w:tcPr>
            <w:tcW w:w="482" w:type="pct"/>
            <w:tcBorders>
              <w:top w:val="nil"/>
              <w:left w:val="nil"/>
              <w:bottom w:val="single" w:color="auto" w:sz="4" w:space="0"/>
              <w:right w:val="single" w:color="auto" w:sz="4" w:space="0"/>
            </w:tcBorders>
            <w:vAlign w:val="center"/>
          </w:tcPr>
          <w:p w14:paraId="2D632D2A">
            <w:pPr>
              <w:widowControl/>
              <w:jc w:val="center"/>
              <w:rPr>
                <w:rFonts w:ascii="宋体" w:hAnsi="宋体" w:cs="宋体"/>
                <w:color w:val="000000"/>
                <w:kern w:val="0"/>
                <w:sz w:val="18"/>
                <w:szCs w:val="18"/>
              </w:rPr>
            </w:pPr>
            <w:r>
              <w:rPr>
                <w:rFonts w:hint="eastAsia" w:ascii="宋体" w:hAnsi="宋体" w:cs="宋体"/>
                <w:color w:val="000000"/>
                <w:kern w:val="0"/>
                <w:sz w:val="18"/>
                <w:szCs w:val="18"/>
              </w:rPr>
              <w:t>纵深推进全面从严治党</w:t>
            </w:r>
          </w:p>
        </w:tc>
        <w:tc>
          <w:tcPr>
            <w:tcW w:w="304" w:type="pct"/>
            <w:tcBorders>
              <w:top w:val="nil"/>
              <w:left w:val="nil"/>
              <w:bottom w:val="single" w:color="auto" w:sz="4" w:space="0"/>
              <w:right w:val="single" w:color="auto" w:sz="4" w:space="0"/>
            </w:tcBorders>
            <w:vAlign w:val="center"/>
          </w:tcPr>
          <w:p w14:paraId="0C6C9B33">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优</w:t>
            </w:r>
          </w:p>
        </w:tc>
        <w:tc>
          <w:tcPr>
            <w:tcW w:w="293" w:type="pct"/>
            <w:vMerge w:val="continue"/>
            <w:tcBorders>
              <w:left w:val="single" w:color="auto" w:sz="4" w:space="0"/>
              <w:right w:val="single" w:color="auto" w:sz="4" w:space="0"/>
            </w:tcBorders>
            <w:vAlign w:val="center"/>
          </w:tcPr>
          <w:p w14:paraId="6D241895">
            <w:pPr>
              <w:widowControl/>
              <w:jc w:val="left"/>
              <w:rPr>
                <w:rFonts w:ascii="宋体" w:hAnsi="宋体" w:cs="宋体"/>
                <w:color w:val="000000"/>
                <w:kern w:val="0"/>
                <w:sz w:val="20"/>
                <w:szCs w:val="20"/>
              </w:rPr>
            </w:pPr>
          </w:p>
        </w:tc>
        <w:tc>
          <w:tcPr>
            <w:tcW w:w="305" w:type="pct"/>
            <w:tcBorders>
              <w:top w:val="nil"/>
              <w:left w:val="nil"/>
              <w:bottom w:val="single" w:color="auto" w:sz="4" w:space="0"/>
              <w:right w:val="nil"/>
            </w:tcBorders>
            <w:noWrap/>
            <w:vAlign w:val="center"/>
          </w:tcPr>
          <w:p w14:paraId="19265FEC">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7</w:t>
            </w:r>
          </w:p>
        </w:tc>
        <w:tc>
          <w:tcPr>
            <w:tcW w:w="1241" w:type="pct"/>
            <w:vMerge w:val="continue"/>
            <w:tcBorders>
              <w:left w:val="single" w:color="auto" w:sz="4" w:space="0"/>
              <w:right w:val="single" w:color="auto" w:sz="4" w:space="0"/>
            </w:tcBorders>
            <w:vAlign w:val="center"/>
          </w:tcPr>
          <w:p w14:paraId="25E2B7C7">
            <w:pPr>
              <w:widowControl/>
              <w:jc w:val="left"/>
              <w:rPr>
                <w:rFonts w:ascii="宋体" w:hAnsi="宋体" w:cs="宋体"/>
                <w:color w:val="000000"/>
                <w:kern w:val="0"/>
                <w:sz w:val="18"/>
                <w:szCs w:val="18"/>
              </w:rPr>
            </w:pPr>
          </w:p>
        </w:tc>
        <w:tc>
          <w:tcPr>
            <w:tcW w:w="1223" w:type="pct"/>
            <w:vMerge w:val="continue"/>
            <w:tcBorders>
              <w:left w:val="single" w:color="auto" w:sz="4" w:space="0"/>
              <w:right w:val="single" w:color="auto" w:sz="4" w:space="0"/>
            </w:tcBorders>
            <w:vAlign w:val="center"/>
          </w:tcPr>
          <w:p w14:paraId="27879FFB">
            <w:pPr>
              <w:widowControl/>
              <w:jc w:val="left"/>
              <w:rPr>
                <w:rFonts w:ascii="宋体" w:hAnsi="宋体" w:cs="宋体"/>
                <w:color w:val="000000"/>
                <w:kern w:val="0"/>
                <w:sz w:val="18"/>
                <w:szCs w:val="18"/>
              </w:rPr>
            </w:pPr>
          </w:p>
        </w:tc>
      </w:tr>
      <w:tr w14:paraId="7A399BB1">
        <w:tblPrEx>
          <w:tblCellMar>
            <w:top w:w="0" w:type="dxa"/>
            <w:left w:w="108" w:type="dxa"/>
            <w:bottom w:w="0" w:type="dxa"/>
            <w:right w:w="108" w:type="dxa"/>
          </w:tblCellMar>
        </w:tblPrEx>
        <w:trPr>
          <w:cantSplit/>
          <w:trHeight w:val="690" w:hRule="atLeast"/>
        </w:trPr>
        <w:tc>
          <w:tcPr>
            <w:tcW w:w="393" w:type="pct"/>
            <w:vMerge w:val="continue"/>
            <w:tcBorders>
              <w:left w:val="single" w:color="auto" w:sz="4" w:space="0"/>
              <w:right w:val="single" w:color="auto" w:sz="4" w:space="0"/>
            </w:tcBorders>
            <w:vAlign w:val="center"/>
          </w:tcPr>
          <w:p w14:paraId="525E97D8">
            <w:pPr>
              <w:widowControl/>
              <w:jc w:val="left"/>
              <w:rPr>
                <w:rFonts w:ascii="宋体" w:hAnsi="宋体" w:cs="宋体"/>
                <w:color w:val="000000"/>
                <w:kern w:val="0"/>
                <w:sz w:val="20"/>
                <w:szCs w:val="20"/>
              </w:rPr>
            </w:pPr>
          </w:p>
        </w:tc>
        <w:tc>
          <w:tcPr>
            <w:tcW w:w="394" w:type="pct"/>
            <w:vMerge w:val="continue"/>
            <w:tcBorders>
              <w:left w:val="single" w:color="auto" w:sz="4" w:space="0"/>
              <w:right w:val="single" w:color="auto" w:sz="4" w:space="0"/>
            </w:tcBorders>
            <w:vAlign w:val="center"/>
          </w:tcPr>
          <w:p w14:paraId="33CCA331">
            <w:pPr>
              <w:widowControl/>
              <w:jc w:val="left"/>
              <w:rPr>
                <w:rFonts w:ascii="宋体" w:hAnsi="宋体" w:cs="宋体"/>
                <w:color w:val="000000"/>
                <w:kern w:val="0"/>
                <w:sz w:val="20"/>
                <w:szCs w:val="20"/>
              </w:rPr>
            </w:pPr>
          </w:p>
        </w:tc>
        <w:tc>
          <w:tcPr>
            <w:tcW w:w="362" w:type="pct"/>
            <w:tcBorders>
              <w:top w:val="nil"/>
              <w:left w:val="nil"/>
              <w:bottom w:val="single" w:color="auto" w:sz="4" w:space="0"/>
              <w:right w:val="single" w:color="auto" w:sz="4" w:space="0"/>
            </w:tcBorders>
            <w:vAlign w:val="center"/>
          </w:tcPr>
          <w:p w14:paraId="7DCFD5DA">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可持续性影响</w:t>
            </w:r>
          </w:p>
        </w:tc>
        <w:tc>
          <w:tcPr>
            <w:tcW w:w="482" w:type="pct"/>
            <w:tcBorders>
              <w:top w:val="nil"/>
              <w:left w:val="nil"/>
              <w:bottom w:val="single" w:color="auto" w:sz="4" w:space="0"/>
              <w:right w:val="single" w:color="auto" w:sz="4" w:space="0"/>
            </w:tcBorders>
            <w:vAlign w:val="center"/>
          </w:tcPr>
          <w:p w14:paraId="383A931E">
            <w:pPr>
              <w:widowControl/>
              <w:jc w:val="center"/>
              <w:rPr>
                <w:rFonts w:ascii="宋体" w:hAnsi="宋体" w:cs="宋体"/>
                <w:color w:val="000000"/>
                <w:kern w:val="0"/>
                <w:sz w:val="18"/>
                <w:szCs w:val="18"/>
              </w:rPr>
            </w:pPr>
            <w:r>
              <w:rPr>
                <w:rFonts w:hint="eastAsia" w:ascii="宋体" w:hAnsi="宋体" w:cs="宋体"/>
                <w:color w:val="000000"/>
                <w:kern w:val="0"/>
                <w:sz w:val="18"/>
                <w:szCs w:val="18"/>
              </w:rPr>
              <w:t>深化教育领域综合改革</w:t>
            </w:r>
          </w:p>
        </w:tc>
        <w:tc>
          <w:tcPr>
            <w:tcW w:w="304" w:type="pct"/>
            <w:tcBorders>
              <w:top w:val="nil"/>
              <w:left w:val="nil"/>
              <w:bottom w:val="single" w:color="auto" w:sz="4" w:space="0"/>
              <w:right w:val="single" w:color="auto" w:sz="4" w:space="0"/>
            </w:tcBorders>
            <w:vAlign w:val="center"/>
          </w:tcPr>
          <w:p w14:paraId="0AD42BB1">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优</w:t>
            </w:r>
          </w:p>
        </w:tc>
        <w:tc>
          <w:tcPr>
            <w:tcW w:w="293" w:type="pct"/>
            <w:vMerge w:val="continue"/>
            <w:tcBorders>
              <w:left w:val="single" w:color="auto" w:sz="4" w:space="0"/>
              <w:right w:val="single" w:color="auto" w:sz="4" w:space="0"/>
            </w:tcBorders>
            <w:vAlign w:val="center"/>
          </w:tcPr>
          <w:p w14:paraId="71B78910">
            <w:pPr>
              <w:widowControl/>
              <w:jc w:val="left"/>
              <w:rPr>
                <w:rFonts w:ascii="宋体" w:hAnsi="宋体" w:cs="宋体"/>
                <w:color w:val="000000"/>
                <w:kern w:val="0"/>
                <w:sz w:val="20"/>
                <w:szCs w:val="20"/>
              </w:rPr>
            </w:pPr>
          </w:p>
        </w:tc>
        <w:tc>
          <w:tcPr>
            <w:tcW w:w="305" w:type="pct"/>
            <w:tcBorders>
              <w:top w:val="nil"/>
              <w:left w:val="nil"/>
              <w:bottom w:val="single" w:color="auto" w:sz="4" w:space="0"/>
              <w:right w:val="nil"/>
            </w:tcBorders>
            <w:noWrap/>
            <w:vAlign w:val="center"/>
          </w:tcPr>
          <w:p w14:paraId="774B15B5">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7</w:t>
            </w:r>
          </w:p>
        </w:tc>
        <w:tc>
          <w:tcPr>
            <w:tcW w:w="1241" w:type="pct"/>
            <w:vMerge w:val="continue"/>
            <w:tcBorders>
              <w:left w:val="single" w:color="auto" w:sz="4" w:space="0"/>
              <w:right w:val="single" w:color="auto" w:sz="4" w:space="0"/>
            </w:tcBorders>
            <w:vAlign w:val="center"/>
          </w:tcPr>
          <w:p w14:paraId="72517FE6">
            <w:pPr>
              <w:widowControl/>
              <w:jc w:val="left"/>
              <w:rPr>
                <w:rFonts w:ascii="宋体" w:hAnsi="宋体" w:cs="宋体"/>
                <w:color w:val="000000"/>
                <w:kern w:val="0"/>
                <w:sz w:val="18"/>
                <w:szCs w:val="18"/>
              </w:rPr>
            </w:pPr>
          </w:p>
        </w:tc>
        <w:tc>
          <w:tcPr>
            <w:tcW w:w="1223" w:type="pct"/>
            <w:vMerge w:val="continue"/>
            <w:tcBorders>
              <w:left w:val="single" w:color="auto" w:sz="4" w:space="0"/>
              <w:right w:val="single" w:color="auto" w:sz="4" w:space="0"/>
            </w:tcBorders>
            <w:vAlign w:val="center"/>
          </w:tcPr>
          <w:p w14:paraId="73ABDFC1">
            <w:pPr>
              <w:widowControl/>
              <w:jc w:val="left"/>
              <w:rPr>
                <w:rFonts w:ascii="宋体" w:hAnsi="宋体" w:cs="宋体"/>
                <w:color w:val="000000"/>
                <w:kern w:val="0"/>
                <w:sz w:val="18"/>
                <w:szCs w:val="18"/>
              </w:rPr>
            </w:pPr>
          </w:p>
        </w:tc>
      </w:tr>
      <w:tr w14:paraId="411D3EF8">
        <w:tblPrEx>
          <w:tblCellMar>
            <w:top w:w="0" w:type="dxa"/>
            <w:left w:w="108" w:type="dxa"/>
            <w:bottom w:w="0" w:type="dxa"/>
            <w:right w:w="108" w:type="dxa"/>
          </w:tblCellMar>
        </w:tblPrEx>
        <w:trPr>
          <w:cantSplit/>
          <w:trHeight w:val="675" w:hRule="atLeast"/>
        </w:trPr>
        <w:tc>
          <w:tcPr>
            <w:tcW w:w="393" w:type="pct"/>
            <w:vMerge w:val="continue"/>
            <w:tcBorders>
              <w:left w:val="single" w:color="auto" w:sz="4" w:space="0"/>
              <w:bottom w:val="single" w:color="auto" w:sz="4" w:space="0"/>
              <w:right w:val="single" w:color="auto" w:sz="4" w:space="0"/>
            </w:tcBorders>
            <w:vAlign w:val="center"/>
          </w:tcPr>
          <w:p w14:paraId="35632B34">
            <w:pPr>
              <w:widowControl/>
              <w:jc w:val="left"/>
              <w:rPr>
                <w:rFonts w:ascii="宋体" w:hAnsi="宋体" w:cs="宋体"/>
                <w:color w:val="000000"/>
                <w:kern w:val="0"/>
                <w:sz w:val="20"/>
                <w:szCs w:val="20"/>
              </w:rPr>
            </w:pPr>
          </w:p>
        </w:tc>
        <w:tc>
          <w:tcPr>
            <w:tcW w:w="394" w:type="pct"/>
            <w:vMerge w:val="continue"/>
            <w:tcBorders>
              <w:left w:val="single" w:color="auto" w:sz="4" w:space="0"/>
              <w:bottom w:val="single" w:color="auto" w:sz="4" w:space="0"/>
              <w:right w:val="single" w:color="auto" w:sz="4" w:space="0"/>
            </w:tcBorders>
            <w:vAlign w:val="center"/>
          </w:tcPr>
          <w:p w14:paraId="7E3C7A91">
            <w:pPr>
              <w:widowControl/>
              <w:jc w:val="left"/>
              <w:rPr>
                <w:rFonts w:ascii="宋体" w:hAnsi="宋体" w:cs="宋体"/>
                <w:color w:val="000000"/>
                <w:kern w:val="0"/>
                <w:sz w:val="20"/>
                <w:szCs w:val="20"/>
              </w:rPr>
            </w:pPr>
          </w:p>
        </w:tc>
        <w:tc>
          <w:tcPr>
            <w:tcW w:w="362" w:type="pct"/>
            <w:tcBorders>
              <w:top w:val="nil"/>
              <w:left w:val="nil"/>
              <w:bottom w:val="single" w:color="auto" w:sz="4" w:space="0"/>
              <w:right w:val="single" w:color="auto" w:sz="4" w:space="0"/>
            </w:tcBorders>
            <w:vAlign w:val="center"/>
          </w:tcPr>
          <w:p w14:paraId="789EC987">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服务对象满意度</w:t>
            </w:r>
          </w:p>
        </w:tc>
        <w:tc>
          <w:tcPr>
            <w:tcW w:w="482" w:type="pct"/>
            <w:tcBorders>
              <w:top w:val="nil"/>
              <w:left w:val="nil"/>
              <w:bottom w:val="single" w:color="auto" w:sz="4" w:space="0"/>
              <w:right w:val="single" w:color="auto" w:sz="4" w:space="0"/>
            </w:tcBorders>
            <w:vAlign w:val="center"/>
          </w:tcPr>
          <w:p w14:paraId="204D966F">
            <w:pPr>
              <w:widowControl/>
              <w:jc w:val="center"/>
              <w:rPr>
                <w:rFonts w:ascii="宋体" w:hAnsi="宋体" w:cs="宋体"/>
                <w:color w:val="000000"/>
                <w:kern w:val="0"/>
                <w:sz w:val="20"/>
                <w:szCs w:val="20"/>
              </w:rPr>
            </w:pPr>
            <w:r>
              <w:rPr>
                <w:rFonts w:hint="eastAsia" w:ascii="宋体" w:hAnsi="宋体" w:eastAsia="宋体" w:cs="宋体"/>
                <w:color w:val="000000"/>
                <w:kern w:val="0"/>
                <w:sz w:val="18"/>
                <w:szCs w:val="18"/>
              </w:rPr>
              <w:t>人民群众满意度</w:t>
            </w:r>
          </w:p>
        </w:tc>
        <w:tc>
          <w:tcPr>
            <w:tcW w:w="304" w:type="pct"/>
            <w:tcBorders>
              <w:top w:val="nil"/>
              <w:left w:val="nil"/>
              <w:bottom w:val="single" w:color="auto" w:sz="4" w:space="0"/>
              <w:right w:val="single" w:color="auto" w:sz="4" w:space="0"/>
            </w:tcBorders>
            <w:vAlign w:val="center"/>
          </w:tcPr>
          <w:p w14:paraId="2B28D525">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优</w:t>
            </w:r>
          </w:p>
        </w:tc>
        <w:tc>
          <w:tcPr>
            <w:tcW w:w="293" w:type="pct"/>
            <w:vMerge w:val="continue"/>
            <w:tcBorders>
              <w:left w:val="single" w:color="auto" w:sz="4" w:space="0"/>
              <w:bottom w:val="single" w:color="auto" w:sz="4" w:space="0"/>
              <w:right w:val="single" w:color="auto" w:sz="4" w:space="0"/>
            </w:tcBorders>
            <w:vAlign w:val="center"/>
          </w:tcPr>
          <w:p w14:paraId="491560B3">
            <w:pPr>
              <w:widowControl/>
              <w:jc w:val="left"/>
              <w:rPr>
                <w:rFonts w:ascii="宋体" w:hAnsi="宋体" w:cs="宋体"/>
                <w:color w:val="000000"/>
                <w:kern w:val="0"/>
                <w:sz w:val="20"/>
                <w:szCs w:val="20"/>
              </w:rPr>
            </w:pPr>
          </w:p>
        </w:tc>
        <w:tc>
          <w:tcPr>
            <w:tcW w:w="305" w:type="pct"/>
            <w:tcBorders>
              <w:top w:val="nil"/>
              <w:left w:val="nil"/>
              <w:bottom w:val="single" w:color="auto" w:sz="4" w:space="0"/>
              <w:right w:val="nil"/>
            </w:tcBorders>
            <w:noWrap/>
            <w:vAlign w:val="center"/>
          </w:tcPr>
          <w:p w14:paraId="424502F6">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8</w:t>
            </w:r>
          </w:p>
        </w:tc>
        <w:tc>
          <w:tcPr>
            <w:tcW w:w="1241" w:type="pct"/>
            <w:vMerge w:val="continue"/>
            <w:tcBorders>
              <w:left w:val="single" w:color="auto" w:sz="4" w:space="0"/>
              <w:bottom w:val="single" w:color="auto" w:sz="4" w:space="0"/>
              <w:right w:val="single" w:color="auto" w:sz="4" w:space="0"/>
            </w:tcBorders>
            <w:vAlign w:val="center"/>
          </w:tcPr>
          <w:p w14:paraId="40EB6CE0">
            <w:pPr>
              <w:widowControl/>
              <w:jc w:val="left"/>
              <w:rPr>
                <w:rFonts w:ascii="宋体" w:hAnsi="宋体" w:cs="宋体"/>
                <w:color w:val="000000"/>
                <w:kern w:val="0"/>
                <w:sz w:val="18"/>
                <w:szCs w:val="18"/>
              </w:rPr>
            </w:pPr>
          </w:p>
        </w:tc>
        <w:tc>
          <w:tcPr>
            <w:tcW w:w="1223" w:type="pct"/>
            <w:vMerge w:val="continue"/>
            <w:tcBorders>
              <w:left w:val="single" w:color="auto" w:sz="4" w:space="0"/>
              <w:bottom w:val="single" w:color="auto" w:sz="4" w:space="0"/>
              <w:right w:val="single" w:color="auto" w:sz="4" w:space="0"/>
            </w:tcBorders>
            <w:vAlign w:val="center"/>
          </w:tcPr>
          <w:p w14:paraId="077CD3B0">
            <w:pPr>
              <w:widowControl/>
              <w:jc w:val="left"/>
              <w:rPr>
                <w:rFonts w:ascii="宋体" w:hAnsi="宋体" w:cs="宋体"/>
                <w:color w:val="000000"/>
                <w:kern w:val="0"/>
                <w:sz w:val="18"/>
                <w:szCs w:val="18"/>
              </w:rPr>
            </w:pPr>
          </w:p>
        </w:tc>
      </w:tr>
      <w:tr w14:paraId="54957ABA">
        <w:tblPrEx>
          <w:tblCellMar>
            <w:top w:w="0" w:type="dxa"/>
            <w:left w:w="108" w:type="dxa"/>
            <w:bottom w:w="0" w:type="dxa"/>
            <w:right w:w="108" w:type="dxa"/>
          </w:tblCellMar>
        </w:tblPrEx>
        <w:trPr>
          <w:cantSplit/>
          <w:trHeight w:val="487"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5CBCC56">
            <w:pPr>
              <w:widowControl/>
              <w:jc w:val="left"/>
              <w:rPr>
                <w:rFonts w:ascii="宋体" w:hAnsi="宋体" w:cs="宋体"/>
                <w:color w:val="000000"/>
                <w:kern w:val="0"/>
                <w:sz w:val="18"/>
                <w:szCs w:val="18"/>
              </w:rPr>
            </w:pPr>
            <w:r>
              <w:rPr>
                <w:rFonts w:hint="eastAsia" w:ascii="宋体" w:hAnsi="宋体" w:cs="宋体"/>
                <w:color w:val="000000"/>
                <w:kern w:val="0"/>
                <w:sz w:val="18"/>
                <w:szCs w:val="18"/>
              </w:rPr>
              <w:t>三</w:t>
            </w:r>
            <w:r>
              <w:rPr>
                <w:rFonts w:ascii="宋体" w:hAnsi="宋体" w:cs="宋体"/>
                <w:color w:val="000000"/>
                <w:kern w:val="0"/>
                <w:sz w:val="18"/>
                <w:szCs w:val="18"/>
              </w:rPr>
              <w:t>、</w:t>
            </w:r>
            <w:r>
              <w:rPr>
                <w:rFonts w:hint="eastAsia" w:ascii="宋体" w:hAnsi="宋体" w:cs="宋体"/>
                <w:color w:val="000000"/>
                <w:kern w:val="0"/>
                <w:sz w:val="20"/>
                <w:szCs w:val="20"/>
              </w:rPr>
              <w:t>预算管理情况（20分）</w:t>
            </w:r>
          </w:p>
        </w:tc>
      </w:tr>
      <w:tr w14:paraId="686B51BD">
        <w:tblPrEx>
          <w:tblCellMar>
            <w:top w:w="0" w:type="dxa"/>
            <w:left w:w="108" w:type="dxa"/>
            <w:bottom w:w="0" w:type="dxa"/>
            <w:right w:w="108" w:type="dxa"/>
          </w:tblCellMar>
        </w:tblPrEx>
        <w:trPr>
          <w:cantSplit/>
          <w:trHeight w:val="454" w:hRule="atLeast"/>
        </w:trPr>
        <w:tc>
          <w:tcPr>
            <w:tcW w:w="393" w:type="pct"/>
            <w:tcBorders>
              <w:top w:val="single" w:color="auto" w:sz="4" w:space="0"/>
              <w:left w:val="single" w:color="auto" w:sz="4" w:space="0"/>
              <w:bottom w:val="single" w:color="auto" w:sz="4" w:space="0"/>
              <w:right w:val="single" w:color="auto" w:sz="4" w:space="0"/>
            </w:tcBorders>
            <w:vAlign w:val="center"/>
          </w:tcPr>
          <w:p w14:paraId="177383D9">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394" w:type="pct"/>
            <w:tcBorders>
              <w:top w:val="single" w:color="auto" w:sz="4" w:space="0"/>
              <w:left w:val="single" w:color="auto" w:sz="4" w:space="0"/>
              <w:bottom w:val="single" w:color="auto" w:sz="4" w:space="0"/>
              <w:right w:val="single" w:color="auto" w:sz="4" w:space="0"/>
            </w:tcBorders>
            <w:vAlign w:val="center"/>
          </w:tcPr>
          <w:p w14:paraId="1F92BE79">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p>
        </w:tc>
        <w:tc>
          <w:tcPr>
            <w:tcW w:w="362" w:type="pct"/>
            <w:tcBorders>
              <w:top w:val="single" w:color="auto" w:sz="4" w:space="0"/>
              <w:left w:val="nil"/>
              <w:bottom w:val="single" w:color="auto" w:sz="4" w:space="0"/>
              <w:right w:val="single" w:color="auto" w:sz="4" w:space="0"/>
            </w:tcBorders>
            <w:vAlign w:val="center"/>
          </w:tcPr>
          <w:p w14:paraId="457744E2">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p>
        </w:tc>
        <w:tc>
          <w:tcPr>
            <w:tcW w:w="482" w:type="pct"/>
            <w:tcBorders>
              <w:top w:val="single" w:color="auto" w:sz="4" w:space="0"/>
              <w:left w:val="nil"/>
              <w:bottom w:val="single" w:color="auto" w:sz="4" w:space="0"/>
              <w:right w:val="single" w:color="auto" w:sz="4" w:space="0"/>
            </w:tcBorders>
            <w:vAlign w:val="center"/>
          </w:tcPr>
          <w:p w14:paraId="3E2D967C">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w:t>
            </w:r>
            <w:r>
              <w:rPr>
                <w:rFonts w:ascii="宋体" w:hAnsi="宋体" w:cs="宋体"/>
                <w:color w:val="000000"/>
                <w:kern w:val="0"/>
                <w:sz w:val="20"/>
                <w:szCs w:val="20"/>
              </w:rPr>
              <w:t>值</w:t>
            </w:r>
          </w:p>
        </w:tc>
        <w:tc>
          <w:tcPr>
            <w:tcW w:w="304" w:type="pct"/>
            <w:tcBorders>
              <w:top w:val="single" w:color="auto" w:sz="4" w:space="0"/>
              <w:left w:val="nil"/>
              <w:bottom w:val="single" w:color="auto" w:sz="4" w:space="0"/>
              <w:right w:val="single" w:color="auto" w:sz="4" w:space="0"/>
            </w:tcBorders>
            <w:vAlign w:val="center"/>
          </w:tcPr>
          <w:p w14:paraId="15AFB211">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值</w:t>
            </w:r>
          </w:p>
        </w:tc>
        <w:tc>
          <w:tcPr>
            <w:tcW w:w="293" w:type="pct"/>
            <w:tcBorders>
              <w:top w:val="single" w:color="auto" w:sz="4" w:space="0"/>
              <w:left w:val="nil"/>
              <w:bottom w:val="single" w:color="auto" w:sz="4" w:space="0"/>
              <w:right w:val="single" w:color="auto" w:sz="4" w:space="0"/>
            </w:tcBorders>
            <w:noWrap/>
            <w:vAlign w:val="center"/>
          </w:tcPr>
          <w:p w14:paraId="6376F621">
            <w:pPr>
              <w:widowControl/>
              <w:jc w:val="center"/>
              <w:rPr>
                <w:rFonts w:ascii="宋体" w:hAnsi="宋体" w:cs="宋体"/>
                <w:color w:val="000000"/>
                <w:kern w:val="0"/>
                <w:sz w:val="20"/>
                <w:szCs w:val="20"/>
              </w:rPr>
            </w:pPr>
            <w:r>
              <w:rPr>
                <w:rFonts w:hint="eastAsia" w:ascii="宋体" w:hAnsi="宋体" w:cs="宋体"/>
                <w:color w:val="000000"/>
                <w:kern w:val="0"/>
                <w:sz w:val="20"/>
                <w:szCs w:val="20"/>
              </w:rPr>
              <w:t>分</w:t>
            </w:r>
            <w:r>
              <w:rPr>
                <w:rFonts w:ascii="宋体" w:hAnsi="宋体" w:cs="宋体"/>
                <w:color w:val="000000"/>
                <w:kern w:val="0"/>
                <w:sz w:val="20"/>
                <w:szCs w:val="20"/>
              </w:rPr>
              <w:t>值</w:t>
            </w:r>
          </w:p>
        </w:tc>
        <w:tc>
          <w:tcPr>
            <w:tcW w:w="305" w:type="pct"/>
            <w:tcBorders>
              <w:top w:val="single" w:color="auto" w:sz="4" w:space="0"/>
              <w:left w:val="nil"/>
              <w:bottom w:val="single" w:color="auto" w:sz="4" w:space="0"/>
              <w:right w:val="nil"/>
            </w:tcBorders>
            <w:noWrap/>
            <w:vAlign w:val="center"/>
          </w:tcPr>
          <w:p w14:paraId="10490232">
            <w:pPr>
              <w:widowControl/>
              <w:jc w:val="center"/>
              <w:rPr>
                <w:rFonts w:ascii="宋体" w:hAnsi="宋体" w:cs="宋体"/>
                <w:color w:val="000000"/>
                <w:kern w:val="0"/>
                <w:sz w:val="20"/>
                <w:szCs w:val="20"/>
              </w:rPr>
            </w:pPr>
            <w:r>
              <w:rPr>
                <w:rFonts w:hint="eastAsia" w:ascii="宋体" w:hAnsi="宋体" w:cs="宋体"/>
                <w:color w:val="000000"/>
                <w:kern w:val="0"/>
                <w:sz w:val="20"/>
                <w:szCs w:val="20"/>
              </w:rPr>
              <w:t>得</w:t>
            </w:r>
            <w:r>
              <w:rPr>
                <w:rFonts w:ascii="宋体" w:hAnsi="宋体" w:cs="宋体"/>
                <w:color w:val="000000"/>
                <w:kern w:val="0"/>
                <w:sz w:val="20"/>
                <w:szCs w:val="20"/>
              </w:rPr>
              <w:t>分</w:t>
            </w:r>
          </w:p>
        </w:tc>
        <w:tc>
          <w:tcPr>
            <w:tcW w:w="1241" w:type="pct"/>
            <w:tcBorders>
              <w:top w:val="single" w:color="auto" w:sz="4" w:space="0"/>
              <w:left w:val="single" w:color="auto" w:sz="4" w:space="0"/>
              <w:bottom w:val="single" w:color="auto" w:sz="4" w:space="0"/>
              <w:right w:val="single" w:color="auto" w:sz="4" w:space="0"/>
            </w:tcBorders>
            <w:vAlign w:val="center"/>
          </w:tcPr>
          <w:p w14:paraId="73FCB580">
            <w:pPr>
              <w:widowControl/>
              <w:jc w:val="center"/>
              <w:rPr>
                <w:rFonts w:ascii="宋体" w:hAnsi="宋体" w:cs="宋体"/>
                <w:b/>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23" w:type="pct"/>
            <w:tcBorders>
              <w:top w:val="single" w:color="auto" w:sz="4" w:space="0"/>
              <w:left w:val="nil"/>
              <w:bottom w:val="single" w:color="auto" w:sz="4" w:space="0"/>
              <w:right w:val="single" w:color="auto" w:sz="4" w:space="0"/>
            </w:tcBorders>
            <w:vAlign w:val="center"/>
          </w:tcPr>
          <w:p w14:paraId="7AFE48CD">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14:paraId="3C8004D9">
        <w:tblPrEx>
          <w:tblCellMar>
            <w:top w:w="0" w:type="dxa"/>
            <w:left w:w="108" w:type="dxa"/>
            <w:bottom w:w="0" w:type="dxa"/>
            <w:right w:w="108" w:type="dxa"/>
          </w:tblCellMar>
        </w:tblPrEx>
        <w:trPr>
          <w:cantSplit/>
          <w:trHeight w:val="1650" w:hRule="atLeast"/>
        </w:trPr>
        <w:tc>
          <w:tcPr>
            <w:tcW w:w="393" w:type="pct"/>
            <w:vMerge w:val="restart"/>
            <w:tcBorders>
              <w:top w:val="single" w:color="auto" w:sz="4" w:space="0"/>
              <w:left w:val="single" w:color="auto" w:sz="4" w:space="0"/>
              <w:bottom w:val="single" w:color="auto" w:sz="4" w:space="0"/>
              <w:right w:val="single" w:color="auto" w:sz="4" w:space="0"/>
            </w:tcBorders>
            <w:vAlign w:val="center"/>
          </w:tcPr>
          <w:p w14:paraId="0BEACD56">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预算管理情况（20）</w:t>
            </w:r>
          </w:p>
        </w:tc>
        <w:tc>
          <w:tcPr>
            <w:tcW w:w="394" w:type="pct"/>
            <w:vMerge w:val="restart"/>
            <w:tcBorders>
              <w:top w:val="single" w:color="auto" w:sz="4" w:space="0"/>
              <w:left w:val="single" w:color="auto" w:sz="4" w:space="0"/>
              <w:bottom w:val="single" w:color="auto" w:sz="4" w:space="0"/>
              <w:right w:val="single" w:color="auto" w:sz="4" w:space="0"/>
            </w:tcBorders>
            <w:vAlign w:val="center"/>
          </w:tcPr>
          <w:p w14:paraId="2B049D7C">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财务管理（4）</w:t>
            </w:r>
          </w:p>
        </w:tc>
        <w:tc>
          <w:tcPr>
            <w:tcW w:w="362" w:type="pct"/>
            <w:tcBorders>
              <w:top w:val="single" w:color="auto" w:sz="4" w:space="0"/>
              <w:left w:val="nil"/>
              <w:bottom w:val="single" w:color="auto" w:sz="4" w:space="0"/>
              <w:right w:val="single" w:color="auto" w:sz="4" w:space="0"/>
            </w:tcBorders>
            <w:vAlign w:val="center"/>
          </w:tcPr>
          <w:p w14:paraId="19A13DD1">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财务管理制度健全性</w:t>
            </w:r>
          </w:p>
        </w:tc>
        <w:tc>
          <w:tcPr>
            <w:tcW w:w="482" w:type="pct"/>
            <w:tcBorders>
              <w:top w:val="single" w:color="auto" w:sz="4" w:space="0"/>
              <w:left w:val="nil"/>
              <w:bottom w:val="single" w:color="auto" w:sz="4" w:space="0"/>
              <w:right w:val="single" w:color="auto" w:sz="4" w:space="0"/>
            </w:tcBorders>
            <w:vAlign w:val="center"/>
          </w:tcPr>
          <w:p w14:paraId="3A31DD24">
            <w:pPr>
              <w:widowControl/>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完善财务制度，推进财务规范化执行</w:t>
            </w:r>
          </w:p>
        </w:tc>
        <w:tc>
          <w:tcPr>
            <w:tcW w:w="304" w:type="pct"/>
            <w:tcBorders>
              <w:top w:val="single" w:color="auto" w:sz="4" w:space="0"/>
              <w:left w:val="nil"/>
              <w:bottom w:val="single" w:color="auto" w:sz="4" w:space="0"/>
              <w:right w:val="single" w:color="auto" w:sz="4" w:space="0"/>
            </w:tcBorders>
            <w:vAlign w:val="center"/>
          </w:tcPr>
          <w:p w14:paraId="744797B7">
            <w:pPr>
              <w:widowControl/>
              <w:jc w:val="center"/>
              <w:rPr>
                <w:rFonts w:ascii="宋体" w:hAnsi="宋体" w:cs="宋体"/>
                <w:color w:val="000000"/>
                <w:kern w:val="0"/>
                <w:sz w:val="20"/>
                <w:szCs w:val="20"/>
              </w:rPr>
            </w:pPr>
            <w:r>
              <w:rPr>
                <w:rFonts w:hint="eastAsia" w:ascii="宋体" w:hAnsi="宋体" w:cs="宋体"/>
                <w:color w:val="000000"/>
                <w:kern w:val="0"/>
                <w:sz w:val="20"/>
                <w:szCs w:val="20"/>
              </w:rPr>
              <w:t>　较好</w:t>
            </w:r>
          </w:p>
        </w:tc>
        <w:tc>
          <w:tcPr>
            <w:tcW w:w="293" w:type="pct"/>
            <w:tcBorders>
              <w:top w:val="single" w:color="auto" w:sz="4" w:space="0"/>
              <w:left w:val="nil"/>
              <w:bottom w:val="single" w:color="auto" w:sz="4" w:space="0"/>
              <w:right w:val="single" w:color="auto" w:sz="4" w:space="0"/>
            </w:tcBorders>
            <w:noWrap/>
            <w:vAlign w:val="center"/>
          </w:tcPr>
          <w:p w14:paraId="03165D2A">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05" w:type="pct"/>
            <w:tcBorders>
              <w:top w:val="single" w:color="auto" w:sz="4" w:space="0"/>
              <w:left w:val="nil"/>
              <w:bottom w:val="single" w:color="auto" w:sz="4" w:space="0"/>
              <w:right w:val="nil"/>
            </w:tcBorders>
            <w:noWrap/>
            <w:vAlign w:val="center"/>
          </w:tcPr>
          <w:p w14:paraId="69D9D690">
            <w:pPr>
              <w:widowControl/>
              <w:jc w:val="center"/>
              <w:rPr>
                <w:rFonts w:ascii="宋体" w:hAnsi="宋体" w:cs="宋体"/>
                <w:color w:val="000000"/>
                <w:kern w:val="0"/>
                <w:sz w:val="20"/>
                <w:szCs w:val="20"/>
              </w:rPr>
            </w:pPr>
            <w:r>
              <w:rPr>
                <w:rFonts w:hint="eastAsia" w:ascii="宋体" w:hAnsi="宋体" w:cs="宋体"/>
                <w:color w:val="000000"/>
                <w:kern w:val="0"/>
                <w:sz w:val="20"/>
                <w:szCs w:val="20"/>
              </w:rPr>
              <w:t>　1</w:t>
            </w:r>
          </w:p>
        </w:tc>
        <w:tc>
          <w:tcPr>
            <w:tcW w:w="1241" w:type="pct"/>
            <w:tcBorders>
              <w:top w:val="single" w:color="auto" w:sz="4" w:space="0"/>
              <w:left w:val="single" w:color="auto" w:sz="4" w:space="0"/>
              <w:bottom w:val="single" w:color="auto" w:sz="4" w:space="0"/>
              <w:right w:val="single" w:color="auto" w:sz="4" w:space="0"/>
            </w:tcBorders>
            <w:vAlign w:val="center"/>
          </w:tcPr>
          <w:p w14:paraId="4F36F0AF">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财务管理制度健全性:</w:t>
            </w:r>
            <w:r>
              <w:rPr>
                <w:rFonts w:hint="eastAsia" w:ascii="宋体" w:hAnsi="宋体" w:cs="宋体"/>
                <w:color w:val="000000"/>
                <w:kern w:val="0"/>
                <w:sz w:val="18"/>
                <w:szCs w:val="18"/>
              </w:rPr>
              <w:t>部门（单位）为加强财务管理、规范财务行为而制定的管理制度。</w:t>
            </w:r>
          </w:p>
        </w:tc>
        <w:tc>
          <w:tcPr>
            <w:tcW w:w="1223" w:type="pct"/>
            <w:tcBorders>
              <w:top w:val="single" w:color="auto" w:sz="4" w:space="0"/>
              <w:left w:val="nil"/>
              <w:bottom w:val="single" w:color="auto" w:sz="4" w:space="0"/>
              <w:right w:val="single" w:color="auto" w:sz="4" w:space="0"/>
            </w:tcBorders>
            <w:vAlign w:val="center"/>
          </w:tcPr>
          <w:p w14:paraId="4571EE45">
            <w:pPr>
              <w:widowControl/>
              <w:jc w:val="left"/>
              <w:rPr>
                <w:rFonts w:ascii="宋体" w:hAnsi="宋体" w:cs="宋体"/>
                <w:color w:val="000000"/>
                <w:kern w:val="0"/>
                <w:sz w:val="18"/>
                <w:szCs w:val="18"/>
              </w:rPr>
            </w:pPr>
            <w:r>
              <w:rPr>
                <w:rFonts w:hint="eastAsia" w:ascii="宋体" w:hAnsi="宋体" w:cs="宋体"/>
                <w:color w:val="000000"/>
                <w:kern w:val="0"/>
                <w:sz w:val="18"/>
                <w:szCs w:val="18"/>
              </w:rPr>
              <w:t>①预算资金管理办法、绩效跟踪管理办法、资产管理办法等各项制度是否健全；②部门内部财务管理制度是否完整、合规；③会计核算制度是否完整、合规。每有一项不合格扣0.5分，扣完为止。</w:t>
            </w:r>
          </w:p>
        </w:tc>
      </w:tr>
      <w:tr w14:paraId="139FA747">
        <w:tblPrEx>
          <w:tblCellMar>
            <w:top w:w="0" w:type="dxa"/>
            <w:left w:w="108" w:type="dxa"/>
            <w:bottom w:w="0" w:type="dxa"/>
            <w:right w:w="108" w:type="dxa"/>
          </w:tblCellMar>
        </w:tblPrEx>
        <w:trPr>
          <w:cantSplit/>
          <w:trHeight w:val="3048" w:hRule="atLeast"/>
        </w:trPr>
        <w:tc>
          <w:tcPr>
            <w:tcW w:w="393" w:type="pct"/>
            <w:vMerge w:val="continue"/>
            <w:tcBorders>
              <w:top w:val="single" w:color="auto" w:sz="4" w:space="0"/>
              <w:left w:val="single" w:color="auto" w:sz="4" w:space="0"/>
              <w:bottom w:val="single" w:color="000000" w:sz="4" w:space="0"/>
              <w:right w:val="single" w:color="auto" w:sz="4" w:space="0"/>
            </w:tcBorders>
            <w:vAlign w:val="center"/>
          </w:tcPr>
          <w:p w14:paraId="09F2CA98">
            <w:pPr>
              <w:widowControl/>
              <w:jc w:val="left"/>
              <w:rPr>
                <w:rFonts w:ascii="宋体" w:hAnsi="宋体" w:cs="宋体"/>
                <w:color w:val="000000"/>
                <w:kern w:val="0"/>
                <w:sz w:val="20"/>
                <w:szCs w:val="20"/>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14B7A2FA">
            <w:pPr>
              <w:widowControl/>
              <w:jc w:val="left"/>
              <w:rPr>
                <w:rFonts w:ascii="宋体" w:hAnsi="宋体" w:cs="宋体"/>
                <w:color w:val="000000"/>
                <w:kern w:val="0"/>
                <w:sz w:val="20"/>
                <w:szCs w:val="20"/>
              </w:rPr>
            </w:pPr>
          </w:p>
        </w:tc>
        <w:tc>
          <w:tcPr>
            <w:tcW w:w="362" w:type="pct"/>
            <w:tcBorders>
              <w:top w:val="single" w:color="auto" w:sz="4" w:space="0"/>
              <w:left w:val="nil"/>
              <w:bottom w:val="single" w:color="auto" w:sz="4" w:space="0"/>
              <w:right w:val="single" w:color="auto" w:sz="4" w:space="0"/>
            </w:tcBorders>
            <w:vAlign w:val="center"/>
          </w:tcPr>
          <w:p w14:paraId="1790C7BA">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资金使用合规性和安全性</w:t>
            </w:r>
          </w:p>
        </w:tc>
        <w:tc>
          <w:tcPr>
            <w:tcW w:w="482" w:type="pct"/>
            <w:tcBorders>
              <w:top w:val="single" w:color="auto" w:sz="4" w:space="0"/>
              <w:left w:val="nil"/>
              <w:bottom w:val="single" w:color="auto" w:sz="4" w:space="0"/>
              <w:right w:val="single" w:color="auto" w:sz="4" w:space="0"/>
            </w:tcBorders>
            <w:vAlign w:val="center"/>
          </w:tcPr>
          <w:p w14:paraId="4EF9AC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确保各项资金安全规范有效使用</w:t>
            </w:r>
          </w:p>
        </w:tc>
        <w:tc>
          <w:tcPr>
            <w:tcW w:w="304" w:type="pct"/>
            <w:tcBorders>
              <w:top w:val="single" w:color="auto" w:sz="4" w:space="0"/>
              <w:left w:val="nil"/>
              <w:bottom w:val="single" w:color="auto" w:sz="4" w:space="0"/>
              <w:right w:val="single" w:color="auto" w:sz="4" w:space="0"/>
            </w:tcBorders>
            <w:vAlign w:val="center"/>
          </w:tcPr>
          <w:p w14:paraId="6004CAF0">
            <w:pPr>
              <w:widowControl/>
              <w:jc w:val="center"/>
              <w:rPr>
                <w:rFonts w:ascii="宋体" w:hAnsi="宋体" w:cs="宋体"/>
                <w:color w:val="000000"/>
                <w:kern w:val="0"/>
                <w:sz w:val="20"/>
                <w:szCs w:val="20"/>
              </w:rPr>
            </w:pPr>
            <w:r>
              <w:rPr>
                <w:rFonts w:hint="eastAsia" w:ascii="宋体" w:hAnsi="宋体" w:cs="宋体"/>
                <w:color w:val="000000"/>
                <w:kern w:val="0"/>
                <w:sz w:val="20"/>
                <w:szCs w:val="20"/>
              </w:rPr>
              <w:t>　较好</w:t>
            </w:r>
          </w:p>
        </w:tc>
        <w:tc>
          <w:tcPr>
            <w:tcW w:w="293" w:type="pct"/>
            <w:tcBorders>
              <w:top w:val="single" w:color="auto" w:sz="4" w:space="0"/>
              <w:left w:val="nil"/>
              <w:bottom w:val="single" w:color="auto" w:sz="4" w:space="0"/>
              <w:right w:val="single" w:color="auto" w:sz="4" w:space="0"/>
            </w:tcBorders>
            <w:noWrap/>
            <w:vAlign w:val="center"/>
          </w:tcPr>
          <w:p w14:paraId="69F428CF">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05" w:type="pct"/>
            <w:tcBorders>
              <w:top w:val="single" w:color="auto" w:sz="4" w:space="0"/>
              <w:left w:val="nil"/>
              <w:bottom w:val="single" w:color="auto" w:sz="4" w:space="0"/>
              <w:right w:val="nil"/>
            </w:tcBorders>
            <w:noWrap/>
            <w:vAlign w:val="center"/>
          </w:tcPr>
          <w:p w14:paraId="2529F280">
            <w:pPr>
              <w:widowControl/>
              <w:jc w:val="center"/>
              <w:rPr>
                <w:rFonts w:ascii="宋体" w:hAnsi="宋体" w:cs="宋体"/>
                <w:color w:val="000000"/>
                <w:kern w:val="0"/>
                <w:sz w:val="20"/>
                <w:szCs w:val="20"/>
              </w:rPr>
            </w:pPr>
            <w:r>
              <w:rPr>
                <w:rFonts w:hint="eastAsia" w:ascii="宋体" w:hAnsi="宋体" w:cs="宋体"/>
                <w:color w:val="000000"/>
                <w:kern w:val="0"/>
                <w:sz w:val="20"/>
                <w:szCs w:val="20"/>
              </w:rPr>
              <w:t>　2</w:t>
            </w:r>
          </w:p>
        </w:tc>
        <w:tc>
          <w:tcPr>
            <w:tcW w:w="1241" w:type="pct"/>
            <w:tcBorders>
              <w:top w:val="single" w:color="auto" w:sz="4" w:space="0"/>
              <w:left w:val="single" w:color="auto" w:sz="4" w:space="0"/>
              <w:bottom w:val="single" w:color="auto" w:sz="4" w:space="0"/>
              <w:right w:val="single" w:color="auto" w:sz="4" w:space="0"/>
            </w:tcBorders>
            <w:vAlign w:val="center"/>
          </w:tcPr>
          <w:p w14:paraId="76AF741C">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资金使用合规性和安全性:</w:t>
            </w:r>
            <w:r>
              <w:rPr>
                <w:rFonts w:hint="eastAsia" w:ascii="宋体" w:hAnsi="宋体" w:cs="宋体"/>
                <w:color w:val="000000"/>
                <w:kern w:val="0"/>
                <w:sz w:val="18"/>
                <w:szCs w:val="18"/>
              </w:rPr>
              <w:t>部门（单位）使用预算资金是否符合相关的预算财务管理制度的规定，是否符合相关规定的开支范围，用以反映考核部门（单位）预算资金的规范运行和安全运行情况。</w:t>
            </w:r>
          </w:p>
        </w:tc>
        <w:tc>
          <w:tcPr>
            <w:tcW w:w="1223" w:type="pct"/>
            <w:tcBorders>
              <w:top w:val="single" w:color="auto" w:sz="4" w:space="0"/>
              <w:left w:val="nil"/>
              <w:bottom w:val="single" w:color="auto" w:sz="4" w:space="0"/>
              <w:right w:val="single" w:color="auto" w:sz="4" w:space="0"/>
            </w:tcBorders>
            <w:vAlign w:val="center"/>
          </w:tcPr>
          <w:p w14:paraId="44F49285">
            <w:pPr>
              <w:widowControl/>
              <w:jc w:val="left"/>
              <w:rPr>
                <w:rFonts w:ascii="宋体" w:hAnsi="宋体" w:cs="宋体"/>
                <w:color w:val="000000"/>
                <w:kern w:val="0"/>
                <w:sz w:val="18"/>
                <w:szCs w:val="18"/>
              </w:rPr>
            </w:pPr>
            <w:r>
              <w:rPr>
                <w:rFonts w:hint="eastAsia" w:ascii="宋体" w:hAnsi="宋体" w:cs="宋体"/>
                <w:color w:val="000000"/>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14:paraId="220FDDD8">
        <w:tblPrEx>
          <w:tblCellMar>
            <w:top w:w="0" w:type="dxa"/>
            <w:left w:w="108" w:type="dxa"/>
            <w:bottom w:w="0" w:type="dxa"/>
            <w:right w:w="108" w:type="dxa"/>
          </w:tblCellMar>
        </w:tblPrEx>
        <w:trPr>
          <w:cantSplit/>
          <w:trHeight w:val="1610" w:hRule="atLeast"/>
        </w:trPr>
        <w:tc>
          <w:tcPr>
            <w:tcW w:w="393" w:type="pct"/>
            <w:vMerge w:val="continue"/>
            <w:tcBorders>
              <w:top w:val="nil"/>
              <w:left w:val="single" w:color="auto" w:sz="4" w:space="0"/>
              <w:bottom w:val="single" w:color="000000" w:sz="4" w:space="0"/>
              <w:right w:val="single" w:color="auto" w:sz="4" w:space="0"/>
            </w:tcBorders>
            <w:vAlign w:val="center"/>
          </w:tcPr>
          <w:p w14:paraId="4412941B">
            <w:pPr>
              <w:widowControl/>
              <w:jc w:val="left"/>
              <w:rPr>
                <w:rFonts w:ascii="宋体" w:hAnsi="宋体" w:cs="宋体"/>
                <w:color w:val="000000"/>
                <w:kern w:val="0"/>
                <w:sz w:val="20"/>
                <w:szCs w:val="20"/>
              </w:rPr>
            </w:pPr>
          </w:p>
        </w:tc>
        <w:tc>
          <w:tcPr>
            <w:tcW w:w="394" w:type="pct"/>
            <w:vMerge w:val="continue"/>
            <w:tcBorders>
              <w:top w:val="nil"/>
              <w:left w:val="single" w:color="auto" w:sz="4" w:space="0"/>
              <w:bottom w:val="single" w:color="auto" w:sz="4" w:space="0"/>
              <w:right w:val="single" w:color="auto" w:sz="4" w:space="0"/>
            </w:tcBorders>
            <w:vAlign w:val="center"/>
          </w:tcPr>
          <w:p w14:paraId="7FEF6872">
            <w:pPr>
              <w:widowControl/>
              <w:jc w:val="left"/>
              <w:rPr>
                <w:rFonts w:ascii="宋体" w:hAnsi="宋体" w:cs="宋体"/>
                <w:color w:val="000000"/>
                <w:kern w:val="0"/>
                <w:sz w:val="20"/>
                <w:szCs w:val="20"/>
              </w:rPr>
            </w:pPr>
          </w:p>
        </w:tc>
        <w:tc>
          <w:tcPr>
            <w:tcW w:w="362" w:type="pct"/>
            <w:tcBorders>
              <w:top w:val="nil"/>
              <w:left w:val="nil"/>
              <w:bottom w:val="single" w:color="auto" w:sz="4" w:space="0"/>
              <w:right w:val="single" w:color="auto" w:sz="4" w:space="0"/>
            </w:tcBorders>
            <w:vAlign w:val="center"/>
          </w:tcPr>
          <w:p w14:paraId="4F6CB059">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会计基础信息完善性</w:t>
            </w:r>
          </w:p>
        </w:tc>
        <w:tc>
          <w:tcPr>
            <w:tcW w:w="482" w:type="pct"/>
            <w:tcBorders>
              <w:top w:val="nil"/>
              <w:left w:val="nil"/>
              <w:bottom w:val="single" w:color="auto" w:sz="4" w:space="0"/>
              <w:right w:val="single" w:color="auto" w:sz="4" w:space="0"/>
            </w:tcBorders>
            <w:vAlign w:val="center"/>
          </w:tcPr>
          <w:p w14:paraId="6E095B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不断提高会计基础信息管理水平</w:t>
            </w:r>
          </w:p>
        </w:tc>
        <w:tc>
          <w:tcPr>
            <w:tcW w:w="304" w:type="pct"/>
            <w:tcBorders>
              <w:top w:val="nil"/>
              <w:left w:val="nil"/>
              <w:bottom w:val="single" w:color="auto" w:sz="4" w:space="0"/>
              <w:right w:val="single" w:color="auto" w:sz="4" w:space="0"/>
            </w:tcBorders>
            <w:vAlign w:val="center"/>
          </w:tcPr>
          <w:p w14:paraId="4D72FDD7">
            <w:pPr>
              <w:widowControl/>
              <w:jc w:val="center"/>
              <w:rPr>
                <w:rFonts w:ascii="宋体" w:hAnsi="宋体" w:cs="宋体"/>
                <w:color w:val="000000"/>
                <w:kern w:val="0"/>
                <w:sz w:val="20"/>
                <w:szCs w:val="20"/>
              </w:rPr>
            </w:pPr>
            <w:r>
              <w:rPr>
                <w:rFonts w:hint="eastAsia" w:ascii="宋体" w:hAnsi="宋体" w:cs="宋体"/>
                <w:color w:val="000000"/>
                <w:kern w:val="0"/>
                <w:sz w:val="20"/>
                <w:szCs w:val="20"/>
              </w:rPr>
              <w:t>　较好</w:t>
            </w:r>
          </w:p>
        </w:tc>
        <w:tc>
          <w:tcPr>
            <w:tcW w:w="293" w:type="pct"/>
            <w:tcBorders>
              <w:top w:val="nil"/>
              <w:left w:val="nil"/>
              <w:bottom w:val="single" w:color="auto" w:sz="4" w:space="0"/>
              <w:right w:val="single" w:color="auto" w:sz="4" w:space="0"/>
            </w:tcBorders>
            <w:noWrap/>
            <w:vAlign w:val="center"/>
          </w:tcPr>
          <w:p w14:paraId="7058DB68">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05" w:type="pct"/>
            <w:tcBorders>
              <w:top w:val="nil"/>
              <w:left w:val="nil"/>
              <w:bottom w:val="single" w:color="auto" w:sz="4" w:space="0"/>
              <w:right w:val="nil"/>
            </w:tcBorders>
            <w:noWrap/>
            <w:vAlign w:val="center"/>
          </w:tcPr>
          <w:p w14:paraId="7C932A98">
            <w:pPr>
              <w:widowControl/>
              <w:jc w:val="center"/>
              <w:rPr>
                <w:rFonts w:ascii="宋体" w:hAnsi="宋体" w:cs="宋体"/>
                <w:color w:val="000000"/>
                <w:kern w:val="0"/>
                <w:sz w:val="20"/>
                <w:szCs w:val="20"/>
              </w:rPr>
            </w:pPr>
            <w:r>
              <w:rPr>
                <w:rFonts w:hint="eastAsia" w:ascii="宋体" w:hAnsi="宋体" w:cs="宋体"/>
                <w:color w:val="000000"/>
                <w:kern w:val="0"/>
                <w:sz w:val="20"/>
                <w:szCs w:val="20"/>
              </w:rPr>
              <w:t>　1</w:t>
            </w:r>
          </w:p>
        </w:tc>
        <w:tc>
          <w:tcPr>
            <w:tcW w:w="1241" w:type="pct"/>
            <w:tcBorders>
              <w:top w:val="nil"/>
              <w:left w:val="single" w:color="auto" w:sz="4" w:space="0"/>
              <w:bottom w:val="single" w:color="auto" w:sz="4" w:space="0"/>
              <w:right w:val="single" w:color="auto" w:sz="4" w:space="0"/>
            </w:tcBorders>
            <w:vAlign w:val="center"/>
          </w:tcPr>
          <w:p w14:paraId="3936D6DC">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会计基础信息完善性:</w:t>
            </w:r>
            <w:r>
              <w:rPr>
                <w:rFonts w:hint="eastAsia" w:ascii="宋体" w:hAnsi="宋体" w:cs="宋体"/>
                <w:color w:val="000000"/>
                <w:kern w:val="0"/>
                <w:sz w:val="18"/>
                <w:szCs w:val="18"/>
              </w:rPr>
              <w:t>部门（单位）会计基础信息情况。</w:t>
            </w:r>
          </w:p>
        </w:tc>
        <w:tc>
          <w:tcPr>
            <w:tcW w:w="1223" w:type="pct"/>
            <w:tcBorders>
              <w:top w:val="nil"/>
              <w:left w:val="nil"/>
              <w:bottom w:val="single" w:color="auto" w:sz="4" w:space="0"/>
              <w:right w:val="single" w:color="auto" w:sz="4" w:space="0"/>
            </w:tcBorders>
            <w:vAlign w:val="center"/>
          </w:tcPr>
          <w:p w14:paraId="1D7E6023">
            <w:pPr>
              <w:widowControl/>
              <w:jc w:val="left"/>
              <w:rPr>
                <w:rFonts w:ascii="宋体" w:hAnsi="宋体" w:cs="宋体"/>
                <w:color w:val="000000"/>
                <w:kern w:val="0"/>
                <w:sz w:val="18"/>
                <w:szCs w:val="18"/>
              </w:rPr>
            </w:pPr>
            <w:r>
              <w:rPr>
                <w:rFonts w:hint="eastAsia" w:ascii="宋体" w:hAnsi="宋体" w:cs="宋体"/>
                <w:color w:val="000000"/>
                <w:kern w:val="0"/>
                <w:sz w:val="18"/>
                <w:szCs w:val="18"/>
              </w:rPr>
              <w:t>①基础数据信息和会计信息资料是否真实；②基础数据信息和会计信息资料是否完整；③基础数据信息和会计信息资料是否准确。每有一项不合格扣0.5分，扣完为止。</w:t>
            </w:r>
          </w:p>
        </w:tc>
      </w:tr>
      <w:tr w14:paraId="771FE0CD">
        <w:tblPrEx>
          <w:tblCellMar>
            <w:top w:w="0" w:type="dxa"/>
            <w:left w:w="108" w:type="dxa"/>
            <w:bottom w:w="0" w:type="dxa"/>
            <w:right w:w="108" w:type="dxa"/>
          </w:tblCellMar>
        </w:tblPrEx>
        <w:trPr>
          <w:cantSplit/>
          <w:trHeight w:val="2895" w:hRule="atLeast"/>
        </w:trPr>
        <w:tc>
          <w:tcPr>
            <w:tcW w:w="393" w:type="pct"/>
            <w:vMerge w:val="continue"/>
            <w:tcBorders>
              <w:top w:val="nil"/>
              <w:left w:val="single" w:color="auto" w:sz="4" w:space="0"/>
              <w:bottom w:val="single" w:color="000000" w:sz="4" w:space="0"/>
              <w:right w:val="single" w:color="auto" w:sz="4" w:space="0"/>
            </w:tcBorders>
            <w:vAlign w:val="center"/>
          </w:tcPr>
          <w:p w14:paraId="3D43EC44">
            <w:pPr>
              <w:widowControl/>
              <w:jc w:val="left"/>
              <w:rPr>
                <w:rFonts w:ascii="宋体" w:hAnsi="宋体" w:cs="宋体"/>
                <w:color w:val="000000"/>
                <w:kern w:val="0"/>
                <w:sz w:val="20"/>
                <w:szCs w:val="20"/>
              </w:rPr>
            </w:pPr>
          </w:p>
        </w:tc>
        <w:tc>
          <w:tcPr>
            <w:tcW w:w="394" w:type="pct"/>
            <w:tcBorders>
              <w:top w:val="single" w:color="auto" w:sz="4" w:space="0"/>
              <w:left w:val="single" w:color="auto" w:sz="4" w:space="0"/>
              <w:bottom w:val="single" w:color="auto" w:sz="4" w:space="0"/>
              <w:right w:val="single" w:color="auto" w:sz="4" w:space="0"/>
            </w:tcBorders>
            <w:vAlign w:val="center"/>
          </w:tcPr>
          <w:p w14:paraId="07E3A5B7">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资产管理（4）</w:t>
            </w:r>
          </w:p>
        </w:tc>
        <w:tc>
          <w:tcPr>
            <w:tcW w:w="362" w:type="pct"/>
            <w:tcBorders>
              <w:top w:val="single" w:color="auto" w:sz="4" w:space="0"/>
              <w:left w:val="single" w:color="auto" w:sz="4" w:space="0"/>
              <w:bottom w:val="single" w:color="auto" w:sz="4" w:space="0"/>
              <w:right w:val="single" w:color="auto" w:sz="4" w:space="0"/>
            </w:tcBorders>
            <w:vAlign w:val="center"/>
          </w:tcPr>
          <w:p w14:paraId="082AB910">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资产管理规范性</w:t>
            </w:r>
          </w:p>
        </w:tc>
        <w:tc>
          <w:tcPr>
            <w:tcW w:w="482" w:type="pct"/>
            <w:tcBorders>
              <w:top w:val="single" w:color="auto" w:sz="4" w:space="0"/>
              <w:left w:val="single" w:color="auto" w:sz="4" w:space="0"/>
              <w:bottom w:val="single" w:color="auto" w:sz="4" w:space="0"/>
              <w:right w:val="single" w:color="auto" w:sz="4" w:space="0"/>
            </w:tcBorders>
            <w:vAlign w:val="center"/>
          </w:tcPr>
          <w:p w14:paraId="4CB786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提高资产使用效益</w:t>
            </w:r>
          </w:p>
        </w:tc>
        <w:tc>
          <w:tcPr>
            <w:tcW w:w="304" w:type="pct"/>
            <w:tcBorders>
              <w:top w:val="single" w:color="auto" w:sz="4" w:space="0"/>
              <w:left w:val="single" w:color="auto" w:sz="4" w:space="0"/>
              <w:bottom w:val="single" w:color="auto" w:sz="4" w:space="0"/>
              <w:right w:val="single" w:color="auto" w:sz="4" w:space="0"/>
            </w:tcBorders>
            <w:vAlign w:val="center"/>
          </w:tcPr>
          <w:p w14:paraId="281396AC">
            <w:pPr>
              <w:widowControl/>
              <w:jc w:val="left"/>
              <w:rPr>
                <w:rFonts w:ascii="宋体" w:hAnsi="宋体" w:cs="宋体"/>
                <w:color w:val="000000"/>
                <w:kern w:val="0"/>
                <w:sz w:val="20"/>
                <w:szCs w:val="20"/>
              </w:rPr>
            </w:pPr>
            <w:r>
              <w:rPr>
                <w:rFonts w:hint="eastAsia" w:ascii="宋体" w:hAnsi="宋体" w:cs="宋体"/>
                <w:color w:val="000000"/>
                <w:kern w:val="0"/>
                <w:sz w:val="20"/>
                <w:szCs w:val="20"/>
              </w:rPr>
              <w:t>　较好</w:t>
            </w:r>
          </w:p>
        </w:tc>
        <w:tc>
          <w:tcPr>
            <w:tcW w:w="293" w:type="pct"/>
            <w:tcBorders>
              <w:top w:val="single" w:color="auto" w:sz="4" w:space="0"/>
              <w:left w:val="single" w:color="auto" w:sz="4" w:space="0"/>
              <w:bottom w:val="single" w:color="auto" w:sz="4" w:space="0"/>
              <w:right w:val="single" w:color="auto" w:sz="4" w:space="0"/>
            </w:tcBorders>
            <w:vAlign w:val="center"/>
          </w:tcPr>
          <w:p w14:paraId="219C5AC4">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05" w:type="pct"/>
            <w:tcBorders>
              <w:top w:val="single" w:color="auto" w:sz="4" w:space="0"/>
              <w:left w:val="single" w:color="auto" w:sz="4" w:space="0"/>
              <w:bottom w:val="single" w:color="auto" w:sz="4" w:space="0"/>
              <w:right w:val="single" w:color="auto" w:sz="4" w:space="0"/>
            </w:tcBorders>
            <w:vAlign w:val="center"/>
          </w:tcPr>
          <w:p w14:paraId="1E15FBE3">
            <w:pPr>
              <w:widowControl/>
              <w:jc w:val="center"/>
              <w:rPr>
                <w:rFonts w:ascii="宋体" w:hAnsi="宋体" w:cs="宋体"/>
                <w:color w:val="000000"/>
                <w:kern w:val="0"/>
                <w:sz w:val="20"/>
                <w:szCs w:val="20"/>
              </w:rPr>
            </w:pPr>
            <w:r>
              <w:rPr>
                <w:rFonts w:hint="eastAsia" w:ascii="宋体" w:hAnsi="宋体" w:cs="宋体"/>
                <w:color w:val="000000"/>
                <w:kern w:val="0"/>
                <w:sz w:val="20"/>
                <w:szCs w:val="20"/>
              </w:rPr>
              <w:t>　4</w:t>
            </w:r>
          </w:p>
        </w:tc>
        <w:tc>
          <w:tcPr>
            <w:tcW w:w="1241" w:type="pct"/>
            <w:tcBorders>
              <w:top w:val="single" w:color="auto" w:sz="4" w:space="0"/>
              <w:left w:val="single" w:color="auto" w:sz="4" w:space="0"/>
              <w:bottom w:val="single" w:color="auto" w:sz="4" w:space="0"/>
              <w:right w:val="single" w:color="auto" w:sz="4" w:space="0"/>
            </w:tcBorders>
            <w:vAlign w:val="center"/>
          </w:tcPr>
          <w:p w14:paraId="58186914">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资产管理规范性:</w:t>
            </w:r>
            <w:r>
              <w:rPr>
                <w:rFonts w:hint="eastAsia" w:ascii="宋体" w:hAnsi="宋体" w:cs="宋体"/>
                <w:color w:val="000000"/>
                <w:kern w:val="0"/>
                <w:sz w:val="18"/>
                <w:szCs w:val="18"/>
              </w:rPr>
              <w:t>部门（单位）的资产是否保持安全完整，资产配置是否合理，资产使用和资产处理是否规范，用以反映和考核部门（单位）资产管理的整体水平。</w:t>
            </w:r>
          </w:p>
        </w:tc>
        <w:tc>
          <w:tcPr>
            <w:tcW w:w="1223" w:type="pct"/>
            <w:tcBorders>
              <w:top w:val="single" w:color="auto" w:sz="4" w:space="0"/>
              <w:left w:val="single" w:color="auto" w:sz="4" w:space="0"/>
              <w:bottom w:val="single" w:color="auto" w:sz="4" w:space="0"/>
              <w:right w:val="single" w:color="auto" w:sz="4" w:space="0"/>
            </w:tcBorders>
            <w:vAlign w:val="center"/>
          </w:tcPr>
          <w:p w14:paraId="06FD0B57">
            <w:pPr>
              <w:widowControl/>
              <w:jc w:val="left"/>
              <w:rPr>
                <w:rFonts w:ascii="宋体" w:hAnsi="宋体" w:cs="宋体"/>
                <w:color w:val="000000"/>
                <w:kern w:val="0"/>
                <w:sz w:val="18"/>
                <w:szCs w:val="18"/>
              </w:rPr>
            </w:pPr>
            <w:r>
              <w:rPr>
                <w:rFonts w:hint="eastAsia" w:ascii="宋体" w:hAnsi="宋体" w:cs="宋体"/>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14:paraId="49FB41E3">
        <w:tblPrEx>
          <w:tblCellMar>
            <w:top w:w="0" w:type="dxa"/>
            <w:left w:w="108" w:type="dxa"/>
            <w:bottom w:w="0" w:type="dxa"/>
            <w:right w:w="108" w:type="dxa"/>
          </w:tblCellMar>
        </w:tblPrEx>
        <w:trPr>
          <w:cantSplit/>
          <w:trHeight w:val="1411" w:hRule="atLeast"/>
        </w:trPr>
        <w:tc>
          <w:tcPr>
            <w:tcW w:w="393" w:type="pct"/>
            <w:vMerge w:val="continue"/>
            <w:tcBorders>
              <w:top w:val="nil"/>
              <w:left w:val="single" w:color="auto" w:sz="4" w:space="0"/>
              <w:bottom w:val="single" w:color="000000" w:sz="4" w:space="0"/>
              <w:right w:val="single" w:color="auto" w:sz="4" w:space="0"/>
            </w:tcBorders>
            <w:vAlign w:val="center"/>
          </w:tcPr>
          <w:p w14:paraId="54DE68E6">
            <w:pPr>
              <w:widowControl/>
              <w:jc w:val="left"/>
              <w:rPr>
                <w:rFonts w:ascii="宋体" w:hAnsi="宋体" w:cs="宋体"/>
                <w:color w:val="000000"/>
                <w:kern w:val="0"/>
                <w:sz w:val="20"/>
                <w:szCs w:val="20"/>
              </w:rPr>
            </w:pPr>
          </w:p>
        </w:tc>
        <w:tc>
          <w:tcPr>
            <w:tcW w:w="394" w:type="pct"/>
            <w:tcBorders>
              <w:top w:val="single" w:color="auto" w:sz="4" w:space="0"/>
              <w:left w:val="nil"/>
              <w:bottom w:val="single" w:color="auto" w:sz="4" w:space="0"/>
              <w:right w:val="single" w:color="auto" w:sz="4" w:space="0"/>
            </w:tcBorders>
            <w:vAlign w:val="center"/>
          </w:tcPr>
          <w:p w14:paraId="333D23F8">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绩效管理（4）</w:t>
            </w:r>
          </w:p>
        </w:tc>
        <w:tc>
          <w:tcPr>
            <w:tcW w:w="362" w:type="pct"/>
            <w:tcBorders>
              <w:top w:val="single" w:color="auto" w:sz="4" w:space="0"/>
              <w:left w:val="nil"/>
              <w:bottom w:val="single" w:color="auto" w:sz="4" w:space="0"/>
              <w:right w:val="single" w:color="auto" w:sz="4" w:space="0"/>
            </w:tcBorders>
            <w:vAlign w:val="center"/>
          </w:tcPr>
          <w:p w14:paraId="02D6BC9A">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绩效管理情况</w:t>
            </w:r>
          </w:p>
        </w:tc>
        <w:tc>
          <w:tcPr>
            <w:tcW w:w="482" w:type="pct"/>
            <w:tcBorders>
              <w:top w:val="single" w:color="auto" w:sz="4" w:space="0"/>
              <w:left w:val="nil"/>
              <w:bottom w:val="single" w:color="auto" w:sz="4" w:space="0"/>
              <w:right w:val="single" w:color="auto" w:sz="4" w:space="0"/>
            </w:tcBorders>
            <w:vAlign w:val="center"/>
          </w:tcPr>
          <w:p w14:paraId="3CA140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加强绩效管理深度融合预算编制、执行、监督全过程</w:t>
            </w:r>
          </w:p>
        </w:tc>
        <w:tc>
          <w:tcPr>
            <w:tcW w:w="304" w:type="pct"/>
            <w:tcBorders>
              <w:top w:val="single" w:color="auto" w:sz="4" w:space="0"/>
              <w:left w:val="nil"/>
              <w:bottom w:val="single" w:color="auto" w:sz="4" w:space="0"/>
              <w:right w:val="single" w:color="auto" w:sz="4" w:space="0"/>
            </w:tcBorders>
            <w:vAlign w:val="center"/>
          </w:tcPr>
          <w:p w14:paraId="0AE0363C">
            <w:pPr>
              <w:widowControl/>
              <w:jc w:val="left"/>
              <w:rPr>
                <w:rFonts w:ascii="宋体" w:hAnsi="宋体" w:cs="宋体"/>
                <w:color w:val="000000"/>
                <w:kern w:val="0"/>
                <w:sz w:val="20"/>
                <w:szCs w:val="20"/>
              </w:rPr>
            </w:pPr>
            <w:r>
              <w:rPr>
                <w:rFonts w:hint="eastAsia" w:ascii="宋体" w:hAnsi="宋体" w:cs="宋体"/>
                <w:color w:val="000000"/>
                <w:kern w:val="0"/>
                <w:sz w:val="20"/>
                <w:szCs w:val="20"/>
              </w:rPr>
              <w:t>　较好</w:t>
            </w:r>
          </w:p>
        </w:tc>
        <w:tc>
          <w:tcPr>
            <w:tcW w:w="293" w:type="pct"/>
            <w:tcBorders>
              <w:top w:val="single" w:color="auto" w:sz="4" w:space="0"/>
              <w:left w:val="nil"/>
              <w:bottom w:val="single" w:color="auto" w:sz="4" w:space="0"/>
              <w:right w:val="single" w:color="auto" w:sz="4" w:space="0"/>
            </w:tcBorders>
            <w:vAlign w:val="center"/>
          </w:tcPr>
          <w:p w14:paraId="323EC926">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05" w:type="pct"/>
            <w:tcBorders>
              <w:top w:val="single" w:color="auto" w:sz="4" w:space="0"/>
              <w:left w:val="nil"/>
              <w:bottom w:val="single" w:color="auto" w:sz="4" w:space="0"/>
              <w:right w:val="nil"/>
            </w:tcBorders>
            <w:vAlign w:val="center"/>
          </w:tcPr>
          <w:p w14:paraId="174D168D">
            <w:pPr>
              <w:widowControl/>
              <w:jc w:val="center"/>
              <w:rPr>
                <w:rFonts w:ascii="宋体" w:hAnsi="宋体" w:cs="宋体"/>
                <w:color w:val="000000"/>
                <w:kern w:val="0"/>
                <w:sz w:val="20"/>
                <w:szCs w:val="20"/>
              </w:rPr>
            </w:pPr>
            <w:r>
              <w:rPr>
                <w:rFonts w:hint="eastAsia" w:ascii="宋体" w:hAnsi="宋体" w:cs="宋体"/>
                <w:color w:val="000000"/>
                <w:kern w:val="0"/>
                <w:sz w:val="20"/>
                <w:szCs w:val="20"/>
              </w:rPr>
              <w:t>　3</w:t>
            </w:r>
          </w:p>
        </w:tc>
        <w:tc>
          <w:tcPr>
            <w:tcW w:w="1241" w:type="pct"/>
            <w:tcBorders>
              <w:top w:val="single" w:color="auto" w:sz="4" w:space="0"/>
              <w:left w:val="single" w:color="auto" w:sz="4" w:space="0"/>
              <w:bottom w:val="single" w:color="auto" w:sz="4" w:space="0"/>
              <w:right w:val="single" w:color="auto" w:sz="4" w:space="0"/>
            </w:tcBorders>
            <w:vAlign w:val="center"/>
          </w:tcPr>
          <w:p w14:paraId="1F19C3A4">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绩效管理情况:</w:t>
            </w:r>
            <w:r>
              <w:rPr>
                <w:rFonts w:hint="eastAsia" w:ascii="宋体" w:hAnsi="宋体" w:cs="宋体"/>
                <w:color w:val="000000"/>
                <w:kern w:val="0"/>
                <w:sz w:val="18"/>
                <w:szCs w:val="18"/>
              </w:rPr>
              <w:t>考核部门（单位）在绩效管理信息的汇总和应用情况。</w:t>
            </w:r>
          </w:p>
        </w:tc>
        <w:tc>
          <w:tcPr>
            <w:tcW w:w="1223" w:type="pct"/>
            <w:tcBorders>
              <w:top w:val="single" w:color="auto" w:sz="4" w:space="0"/>
              <w:left w:val="nil"/>
              <w:bottom w:val="single" w:color="auto" w:sz="4" w:space="0"/>
              <w:right w:val="single" w:color="auto" w:sz="4" w:space="0"/>
            </w:tcBorders>
            <w:vAlign w:val="center"/>
          </w:tcPr>
          <w:p w14:paraId="79239D59">
            <w:pPr>
              <w:widowControl/>
              <w:jc w:val="left"/>
              <w:rPr>
                <w:rFonts w:ascii="宋体" w:hAnsi="宋体" w:cs="宋体"/>
                <w:color w:val="000000"/>
                <w:kern w:val="0"/>
                <w:sz w:val="18"/>
                <w:szCs w:val="18"/>
              </w:rPr>
            </w:pPr>
            <w:r>
              <w:rPr>
                <w:rFonts w:hint="eastAsia" w:ascii="宋体" w:hAnsi="宋体" w:cs="宋体"/>
                <w:color w:val="000000"/>
                <w:kern w:val="0"/>
                <w:sz w:val="18"/>
                <w:szCs w:val="18"/>
              </w:rPr>
              <w:t>①部门（单位）是否及时对绩效信息进行汇总分析整理；②部门（单位）是否对绩效目标偏离情况及时进行矫正。每有一项不合格扣2分。</w:t>
            </w:r>
          </w:p>
        </w:tc>
      </w:tr>
      <w:tr w14:paraId="21AF9498">
        <w:tblPrEx>
          <w:tblCellMar>
            <w:top w:w="0" w:type="dxa"/>
            <w:left w:w="108" w:type="dxa"/>
            <w:bottom w:w="0" w:type="dxa"/>
            <w:right w:w="108" w:type="dxa"/>
          </w:tblCellMar>
        </w:tblPrEx>
        <w:trPr>
          <w:cantSplit/>
          <w:trHeight w:val="394" w:hRule="atLeast"/>
        </w:trPr>
        <w:tc>
          <w:tcPr>
            <w:tcW w:w="393" w:type="pct"/>
            <w:vMerge w:val="continue"/>
            <w:tcBorders>
              <w:top w:val="nil"/>
              <w:left w:val="single" w:color="auto" w:sz="4" w:space="0"/>
              <w:bottom w:val="single" w:color="000000" w:sz="4" w:space="0"/>
              <w:right w:val="single" w:color="auto" w:sz="4" w:space="0"/>
            </w:tcBorders>
            <w:vAlign w:val="center"/>
          </w:tcPr>
          <w:p w14:paraId="3ACE4AB1">
            <w:pPr>
              <w:widowControl/>
              <w:jc w:val="left"/>
              <w:rPr>
                <w:rFonts w:ascii="宋体" w:hAnsi="宋体" w:cs="宋体"/>
                <w:color w:val="000000"/>
                <w:kern w:val="0"/>
                <w:sz w:val="20"/>
                <w:szCs w:val="20"/>
              </w:rPr>
            </w:pPr>
          </w:p>
        </w:tc>
        <w:tc>
          <w:tcPr>
            <w:tcW w:w="394" w:type="pct"/>
            <w:tcBorders>
              <w:top w:val="single" w:color="auto" w:sz="4" w:space="0"/>
              <w:left w:val="nil"/>
              <w:bottom w:val="single" w:color="auto" w:sz="4" w:space="0"/>
              <w:right w:val="single" w:color="auto" w:sz="4" w:space="0"/>
            </w:tcBorders>
            <w:vAlign w:val="center"/>
          </w:tcPr>
          <w:p w14:paraId="1E8CFAF9">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　</w:t>
            </w:r>
          </w:p>
        </w:tc>
        <w:tc>
          <w:tcPr>
            <w:tcW w:w="845" w:type="pct"/>
            <w:gridSpan w:val="2"/>
            <w:tcBorders>
              <w:top w:val="single" w:color="auto" w:sz="4" w:space="0"/>
              <w:left w:val="nil"/>
              <w:bottom w:val="single" w:color="auto" w:sz="4" w:space="0"/>
              <w:right w:val="single" w:color="000000" w:sz="4" w:space="0"/>
            </w:tcBorders>
            <w:vAlign w:val="center"/>
          </w:tcPr>
          <w:p w14:paraId="1728D938">
            <w:pPr>
              <w:widowControl/>
              <w:jc w:val="center"/>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w:t>
            </w:r>
          </w:p>
        </w:tc>
        <w:tc>
          <w:tcPr>
            <w:tcW w:w="304" w:type="pct"/>
            <w:tcBorders>
              <w:top w:val="single" w:color="auto" w:sz="4" w:space="0"/>
              <w:left w:val="nil"/>
              <w:bottom w:val="single" w:color="auto" w:sz="4" w:space="0"/>
              <w:right w:val="single" w:color="auto" w:sz="4" w:space="0"/>
            </w:tcBorders>
            <w:vAlign w:val="center"/>
          </w:tcPr>
          <w:p w14:paraId="3CDA5B8D">
            <w:pPr>
              <w:widowControl/>
              <w:jc w:val="center"/>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p>
        </w:tc>
        <w:tc>
          <w:tcPr>
            <w:tcW w:w="293" w:type="pct"/>
            <w:tcBorders>
              <w:top w:val="single" w:color="auto" w:sz="4" w:space="0"/>
              <w:left w:val="nil"/>
              <w:bottom w:val="single" w:color="auto" w:sz="4" w:space="0"/>
              <w:right w:val="single" w:color="auto" w:sz="4" w:space="0"/>
            </w:tcBorders>
            <w:vAlign w:val="center"/>
          </w:tcPr>
          <w:p w14:paraId="5885DF63">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305" w:type="pct"/>
            <w:tcBorders>
              <w:top w:val="single" w:color="auto" w:sz="4" w:space="0"/>
              <w:left w:val="nil"/>
              <w:bottom w:val="single" w:color="auto" w:sz="4" w:space="0"/>
              <w:right w:val="single" w:color="auto" w:sz="4" w:space="0"/>
            </w:tcBorders>
            <w:vAlign w:val="center"/>
          </w:tcPr>
          <w:p w14:paraId="40FB2E7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41" w:type="pct"/>
            <w:tcBorders>
              <w:top w:val="single" w:color="auto" w:sz="4" w:space="0"/>
              <w:left w:val="single" w:color="auto" w:sz="4" w:space="0"/>
              <w:bottom w:val="single" w:color="auto" w:sz="4" w:space="0"/>
              <w:right w:val="single" w:color="auto" w:sz="4" w:space="0"/>
            </w:tcBorders>
            <w:vAlign w:val="center"/>
          </w:tcPr>
          <w:p w14:paraId="20B06067">
            <w:pPr>
              <w:widowControl/>
              <w:jc w:val="center"/>
              <w:rPr>
                <w:rFonts w:ascii="宋体" w:hAnsi="宋体" w:cs="宋体"/>
                <w:color w:val="000000"/>
                <w:kern w:val="0"/>
                <w:sz w:val="20"/>
                <w:szCs w:val="20"/>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23" w:type="pct"/>
            <w:tcBorders>
              <w:top w:val="single" w:color="auto" w:sz="4" w:space="0"/>
              <w:left w:val="nil"/>
              <w:bottom w:val="single" w:color="auto" w:sz="4" w:space="0"/>
              <w:right w:val="single" w:color="auto" w:sz="4" w:space="0"/>
            </w:tcBorders>
            <w:vAlign w:val="center"/>
          </w:tcPr>
          <w:p w14:paraId="7D197778">
            <w:pPr>
              <w:widowControl/>
              <w:jc w:val="center"/>
              <w:rPr>
                <w:rFonts w:eastAsia="Times New Roman"/>
                <w:kern w:val="0"/>
                <w:sz w:val="20"/>
                <w:szCs w:val="20"/>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14:paraId="0C04DAAE">
        <w:tblPrEx>
          <w:tblCellMar>
            <w:top w:w="0" w:type="dxa"/>
            <w:left w:w="108" w:type="dxa"/>
            <w:bottom w:w="0" w:type="dxa"/>
            <w:right w:w="108" w:type="dxa"/>
          </w:tblCellMar>
        </w:tblPrEx>
        <w:trPr>
          <w:cantSplit/>
          <w:trHeight w:val="90" w:hRule="atLeast"/>
        </w:trPr>
        <w:tc>
          <w:tcPr>
            <w:tcW w:w="393" w:type="pct"/>
            <w:vMerge w:val="continue"/>
            <w:tcBorders>
              <w:top w:val="nil"/>
              <w:left w:val="single" w:color="auto" w:sz="4" w:space="0"/>
              <w:bottom w:val="single" w:color="000000" w:sz="4" w:space="0"/>
              <w:right w:val="single" w:color="auto" w:sz="4" w:space="0"/>
            </w:tcBorders>
            <w:vAlign w:val="center"/>
          </w:tcPr>
          <w:p w14:paraId="78D52BC9">
            <w:pPr>
              <w:widowControl/>
              <w:jc w:val="left"/>
              <w:rPr>
                <w:rFonts w:ascii="宋体" w:hAnsi="宋体" w:cs="宋体"/>
                <w:color w:val="000000"/>
                <w:kern w:val="0"/>
                <w:sz w:val="20"/>
                <w:szCs w:val="20"/>
              </w:rPr>
            </w:pPr>
          </w:p>
        </w:tc>
        <w:tc>
          <w:tcPr>
            <w:tcW w:w="394" w:type="pct"/>
            <w:tcBorders>
              <w:top w:val="nil"/>
              <w:left w:val="nil"/>
              <w:bottom w:val="single" w:color="auto" w:sz="4" w:space="0"/>
              <w:right w:val="single" w:color="auto" w:sz="4" w:space="0"/>
            </w:tcBorders>
            <w:vAlign w:val="center"/>
          </w:tcPr>
          <w:p w14:paraId="6E96FCE0">
            <w:pPr>
              <w:widowControl/>
              <w:rPr>
                <w:rFonts w:ascii="宋体" w:hAnsi="宋体" w:cs="宋体"/>
                <w:color w:val="000000"/>
                <w:kern w:val="0"/>
                <w:sz w:val="20"/>
                <w:szCs w:val="20"/>
              </w:rPr>
            </w:pPr>
            <w:r>
              <w:rPr>
                <w:rFonts w:hint="eastAsia" w:ascii="宋体" w:hAnsi="宋体" w:cs="宋体"/>
                <w:color w:val="000000"/>
                <w:kern w:val="0"/>
                <w:sz w:val="20"/>
                <w:szCs w:val="20"/>
              </w:rPr>
              <w:t>结转结余率（4）</w:t>
            </w:r>
          </w:p>
        </w:tc>
        <w:tc>
          <w:tcPr>
            <w:tcW w:w="845" w:type="pct"/>
            <w:gridSpan w:val="2"/>
            <w:tcBorders>
              <w:top w:val="single" w:color="auto" w:sz="4" w:space="0"/>
              <w:left w:val="nil"/>
              <w:bottom w:val="single" w:color="auto" w:sz="4" w:space="0"/>
              <w:right w:val="single" w:color="000000" w:sz="4" w:space="0"/>
            </w:tcBorders>
            <w:vAlign w:val="center"/>
          </w:tcPr>
          <w:p w14:paraId="0AEC2D3C">
            <w:pPr>
              <w:widowControl/>
              <w:jc w:val="center"/>
              <w:rPr>
                <w:rFonts w:ascii="宋体" w:hAnsi="宋体" w:cs="宋体"/>
                <w:color w:val="000000"/>
                <w:kern w:val="0"/>
                <w:sz w:val="20"/>
                <w:szCs w:val="20"/>
              </w:rPr>
            </w:pPr>
            <w:r>
              <w:rPr>
                <w:rFonts w:hint="eastAsia" w:ascii="宋体" w:hAnsi="宋体" w:cs="宋体"/>
                <w:color w:val="000000"/>
                <w:kern w:val="0"/>
                <w:sz w:val="20"/>
                <w:szCs w:val="20"/>
              </w:rPr>
              <w:t>　6%</w:t>
            </w:r>
          </w:p>
        </w:tc>
        <w:tc>
          <w:tcPr>
            <w:tcW w:w="304" w:type="pct"/>
            <w:tcBorders>
              <w:top w:val="nil"/>
              <w:left w:val="nil"/>
              <w:bottom w:val="single" w:color="auto" w:sz="4" w:space="0"/>
              <w:right w:val="single" w:color="auto" w:sz="4" w:space="0"/>
            </w:tcBorders>
            <w:vAlign w:val="center"/>
          </w:tcPr>
          <w:p w14:paraId="46BEDB18">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5.63</w:t>
            </w:r>
            <w:r>
              <w:rPr>
                <w:rFonts w:hint="eastAsia" w:ascii="宋体" w:hAnsi="宋体" w:cs="宋体"/>
                <w:color w:val="000000"/>
                <w:kern w:val="0"/>
                <w:sz w:val="20"/>
                <w:szCs w:val="20"/>
              </w:rPr>
              <w:t>%</w:t>
            </w:r>
          </w:p>
        </w:tc>
        <w:tc>
          <w:tcPr>
            <w:tcW w:w="293" w:type="pct"/>
            <w:tcBorders>
              <w:top w:val="nil"/>
              <w:left w:val="nil"/>
              <w:bottom w:val="single" w:color="auto" w:sz="4" w:space="0"/>
              <w:right w:val="single" w:color="auto" w:sz="4" w:space="0"/>
            </w:tcBorders>
            <w:vAlign w:val="center"/>
          </w:tcPr>
          <w:p w14:paraId="239DBACA">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05" w:type="pct"/>
            <w:tcBorders>
              <w:top w:val="nil"/>
              <w:left w:val="nil"/>
              <w:bottom w:val="single" w:color="auto" w:sz="4" w:space="0"/>
              <w:right w:val="nil"/>
            </w:tcBorders>
            <w:vAlign w:val="center"/>
          </w:tcPr>
          <w:p w14:paraId="631E8A96">
            <w:pPr>
              <w:widowControl/>
              <w:jc w:val="center"/>
              <w:rPr>
                <w:rFonts w:ascii="宋体" w:hAnsi="宋体" w:cs="宋体"/>
                <w:color w:val="000000"/>
                <w:kern w:val="0"/>
                <w:sz w:val="20"/>
                <w:szCs w:val="20"/>
              </w:rPr>
            </w:pPr>
            <w:r>
              <w:rPr>
                <w:rFonts w:hint="eastAsia" w:ascii="宋体" w:hAnsi="宋体" w:cs="宋体"/>
                <w:color w:val="000000"/>
                <w:kern w:val="0"/>
                <w:sz w:val="20"/>
                <w:szCs w:val="20"/>
              </w:rPr>
              <w:t>　4</w:t>
            </w:r>
          </w:p>
        </w:tc>
        <w:tc>
          <w:tcPr>
            <w:tcW w:w="1241" w:type="pct"/>
            <w:tcBorders>
              <w:top w:val="single" w:color="auto" w:sz="4" w:space="0"/>
              <w:left w:val="single" w:color="auto" w:sz="4" w:space="0"/>
              <w:bottom w:val="single" w:color="auto" w:sz="4" w:space="0"/>
              <w:right w:val="single" w:color="auto" w:sz="4" w:space="0"/>
            </w:tcBorders>
            <w:vAlign w:val="center"/>
          </w:tcPr>
          <w:p w14:paraId="48B442B3">
            <w:pPr>
              <w:widowControl/>
              <w:jc w:val="left"/>
              <w:rPr>
                <w:rFonts w:ascii="宋体" w:hAnsi="宋体" w:cs="宋体"/>
                <w:color w:val="000000"/>
                <w:kern w:val="0"/>
                <w:sz w:val="18"/>
                <w:szCs w:val="18"/>
              </w:rPr>
            </w:pPr>
            <w:r>
              <w:rPr>
                <w:rFonts w:hint="eastAsia" w:ascii="宋体" w:hAnsi="宋体" w:cs="宋体"/>
                <w:color w:val="000000"/>
                <w:kern w:val="0"/>
                <w:sz w:val="18"/>
                <w:szCs w:val="18"/>
              </w:rPr>
              <w:t>结转结余率=结转结余总额/支出预算数×100%。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结转结余总额：部门（单位）本年度的结转资金与结余资金之和。</w:t>
            </w:r>
          </w:p>
        </w:tc>
        <w:tc>
          <w:tcPr>
            <w:tcW w:w="1223" w:type="pct"/>
            <w:tcBorders>
              <w:top w:val="single" w:color="auto" w:sz="4" w:space="0"/>
              <w:left w:val="nil"/>
              <w:bottom w:val="single" w:color="auto" w:sz="4" w:space="0"/>
              <w:right w:val="single" w:color="auto" w:sz="4" w:space="0"/>
            </w:tcBorders>
            <w:vAlign w:val="center"/>
          </w:tcPr>
          <w:p w14:paraId="3175F062">
            <w:pPr>
              <w:widowControl/>
              <w:jc w:val="left"/>
              <w:rPr>
                <w:rFonts w:ascii="宋体" w:hAnsi="宋体" w:cs="宋体"/>
                <w:color w:val="000000"/>
                <w:kern w:val="0"/>
                <w:sz w:val="18"/>
                <w:szCs w:val="18"/>
              </w:rPr>
            </w:pPr>
            <w:r>
              <w:rPr>
                <w:rFonts w:hint="eastAsia" w:ascii="宋体" w:hAnsi="宋体" w:cs="宋体"/>
                <w:color w:val="000000"/>
                <w:kern w:val="0"/>
                <w:sz w:val="18"/>
                <w:szCs w:val="18"/>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14:paraId="6D83E0D7">
        <w:tblPrEx>
          <w:tblCellMar>
            <w:top w:w="0" w:type="dxa"/>
            <w:left w:w="108" w:type="dxa"/>
            <w:bottom w:w="0" w:type="dxa"/>
            <w:right w:w="108" w:type="dxa"/>
          </w:tblCellMar>
        </w:tblPrEx>
        <w:trPr>
          <w:cantSplit/>
          <w:trHeight w:val="906" w:hRule="atLeast"/>
        </w:trPr>
        <w:tc>
          <w:tcPr>
            <w:tcW w:w="393" w:type="pct"/>
            <w:vMerge w:val="continue"/>
            <w:tcBorders>
              <w:top w:val="nil"/>
              <w:left w:val="single" w:color="auto" w:sz="4" w:space="0"/>
              <w:bottom w:val="single" w:color="000000" w:sz="4" w:space="0"/>
              <w:right w:val="single" w:color="auto" w:sz="4" w:space="0"/>
            </w:tcBorders>
            <w:vAlign w:val="center"/>
          </w:tcPr>
          <w:p w14:paraId="3EA881D1">
            <w:pPr>
              <w:widowControl/>
              <w:jc w:val="left"/>
              <w:rPr>
                <w:rFonts w:ascii="宋体" w:hAnsi="宋体" w:cs="宋体"/>
                <w:color w:val="000000"/>
                <w:kern w:val="0"/>
                <w:sz w:val="20"/>
                <w:szCs w:val="20"/>
              </w:rPr>
            </w:pPr>
          </w:p>
        </w:tc>
        <w:tc>
          <w:tcPr>
            <w:tcW w:w="394" w:type="pct"/>
            <w:tcBorders>
              <w:top w:val="nil"/>
              <w:left w:val="nil"/>
              <w:bottom w:val="single" w:color="auto" w:sz="4" w:space="0"/>
              <w:right w:val="single" w:color="auto" w:sz="4" w:space="0"/>
            </w:tcBorders>
            <w:vAlign w:val="center"/>
          </w:tcPr>
          <w:p w14:paraId="277A47CB">
            <w:pPr>
              <w:widowControl/>
              <w:rPr>
                <w:rFonts w:ascii="宋体" w:hAnsi="宋体" w:cs="宋体"/>
                <w:color w:val="000000"/>
                <w:kern w:val="0"/>
                <w:sz w:val="20"/>
                <w:szCs w:val="20"/>
              </w:rPr>
            </w:pPr>
            <w:r>
              <w:rPr>
                <w:rFonts w:hint="eastAsia" w:ascii="宋体" w:hAnsi="宋体" w:cs="宋体"/>
                <w:color w:val="000000"/>
                <w:kern w:val="0"/>
                <w:sz w:val="20"/>
                <w:szCs w:val="20"/>
              </w:rPr>
              <w:t>部门预决算差异率（4）</w:t>
            </w:r>
          </w:p>
        </w:tc>
        <w:tc>
          <w:tcPr>
            <w:tcW w:w="845" w:type="pct"/>
            <w:gridSpan w:val="2"/>
            <w:tcBorders>
              <w:top w:val="single" w:color="auto" w:sz="4" w:space="0"/>
              <w:left w:val="nil"/>
              <w:bottom w:val="single" w:color="auto" w:sz="4" w:space="0"/>
              <w:right w:val="nil"/>
            </w:tcBorders>
            <w:vAlign w:val="center"/>
          </w:tcPr>
          <w:p w14:paraId="4490BFBF">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r>
              <w:rPr>
                <w:rFonts w:ascii="宋体" w:hAnsi="宋体" w:cs="宋体"/>
                <w:color w:val="000000"/>
                <w:kern w:val="0"/>
                <w:sz w:val="20"/>
                <w:szCs w:val="20"/>
              </w:rPr>
              <w:t>.94</w:t>
            </w:r>
            <w:r>
              <w:rPr>
                <w:rFonts w:hint="eastAsia" w:ascii="宋体" w:hAnsi="宋体" w:cs="宋体"/>
                <w:color w:val="000000"/>
                <w:kern w:val="0"/>
                <w:sz w:val="20"/>
                <w:szCs w:val="20"/>
              </w:rPr>
              <w:t>%</w:t>
            </w:r>
          </w:p>
        </w:tc>
        <w:tc>
          <w:tcPr>
            <w:tcW w:w="304" w:type="pct"/>
            <w:tcBorders>
              <w:top w:val="nil"/>
              <w:left w:val="single" w:color="auto" w:sz="4" w:space="0"/>
              <w:bottom w:val="single" w:color="auto" w:sz="4" w:space="0"/>
              <w:right w:val="single" w:color="auto" w:sz="4" w:space="0"/>
            </w:tcBorders>
            <w:vAlign w:val="center"/>
          </w:tcPr>
          <w:p w14:paraId="5B207D57">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r>
              <w:rPr>
                <w:rFonts w:ascii="宋体" w:hAnsi="宋体" w:cs="宋体"/>
                <w:color w:val="000000"/>
                <w:kern w:val="0"/>
                <w:sz w:val="20"/>
                <w:szCs w:val="20"/>
              </w:rPr>
              <w:t>.</w:t>
            </w:r>
            <w:r>
              <w:rPr>
                <w:rFonts w:hint="eastAsia" w:ascii="宋体" w:hAnsi="宋体" w:cs="宋体"/>
                <w:color w:val="000000"/>
                <w:kern w:val="0"/>
                <w:sz w:val="20"/>
                <w:szCs w:val="20"/>
                <w:lang w:val="en-US" w:eastAsia="zh-CN"/>
              </w:rPr>
              <w:t>69</w:t>
            </w:r>
            <w:r>
              <w:rPr>
                <w:rFonts w:hint="eastAsia" w:ascii="宋体" w:hAnsi="宋体" w:cs="宋体"/>
                <w:color w:val="000000"/>
                <w:kern w:val="0"/>
                <w:sz w:val="20"/>
                <w:szCs w:val="20"/>
              </w:rPr>
              <w:t>%</w:t>
            </w:r>
          </w:p>
        </w:tc>
        <w:tc>
          <w:tcPr>
            <w:tcW w:w="293" w:type="pct"/>
            <w:tcBorders>
              <w:top w:val="nil"/>
              <w:left w:val="nil"/>
              <w:bottom w:val="single" w:color="auto" w:sz="4" w:space="0"/>
              <w:right w:val="single" w:color="auto" w:sz="4" w:space="0"/>
            </w:tcBorders>
            <w:vAlign w:val="center"/>
          </w:tcPr>
          <w:p w14:paraId="47958381">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05" w:type="pct"/>
            <w:tcBorders>
              <w:top w:val="nil"/>
              <w:left w:val="nil"/>
              <w:bottom w:val="single" w:color="auto" w:sz="4" w:space="0"/>
              <w:right w:val="nil"/>
            </w:tcBorders>
            <w:vAlign w:val="center"/>
          </w:tcPr>
          <w:p w14:paraId="40AC2AF8">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4</w:t>
            </w:r>
          </w:p>
        </w:tc>
        <w:tc>
          <w:tcPr>
            <w:tcW w:w="1241" w:type="pct"/>
            <w:tcBorders>
              <w:top w:val="nil"/>
              <w:left w:val="single" w:color="auto" w:sz="4" w:space="0"/>
              <w:bottom w:val="single" w:color="auto" w:sz="4" w:space="0"/>
              <w:right w:val="single" w:color="auto" w:sz="4" w:space="0"/>
            </w:tcBorders>
            <w:vAlign w:val="center"/>
          </w:tcPr>
          <w:p w14:paraId="084D6125">
            <w:pPr>
              <w:widowControl/>
              <w:jc w:val="left"/>
              <w:rPr>
                <w:rFonts w:ascii="宋体" w:hAnsi="宋体" w:cs="宋体"/>
                <w:color w:val="000000"/>
                <w:kern w:val="0"/>
                <w:sz w:val="18"/>
                <w:szCs w:val="18"/>
              </w:rPr>
            </w:pPr>
            <w:r>
              <w:rPr>
                <w:rFonts w:hint="eastAsia" w:ascii="宋体" w:hAnsi="宋体" w:cs="宋体"/>
                <w:color w:val="000000"/>
                <w:kern w:val="0"/>
                <w:sz w:val="18"/>
                <w:szCs w:val="18"/>
              </w:rPr>
              <w:t>通过年度部门决算与年初部门预算对比，对部门的年度支出情况进行考核，衡量部门预算的约束力。</w:t>
            </w:r>
          </w:p>
        </w:tc>
        <w:tc>
          <w:tcPr>
            <w:tcW w:w="1223" w:type="pct"/>
            <w:tcBorders>
              <w:top w:val="nil"/>
              <w:left w:val="nil"/>
              <w:bottom w:val="single" w:color="auto" w:sz="4" w:space="0"/>
              <w:right w:val="single" w:color="auto" w:sz="4" w:space="0"/>
            </w:tcBorders>
            <w:vAlign w:val="center"/>
          </w:tcPr>
          <w:p w14:paraId="7C226E9B">
            <w:pPr>
              <w:widowControl/>
              <w:jc w:val="left"/>
              <w:rPr>
                <w:rFonts w:ascii="宋体" w:hAnsi="宋体" w:cs="宋体"/>
                <w:color w:val="000000"/>
                <w:kern w:val="0"/>
                <w:sz w:val="18"/>
                <w:szCs w:val="18"/>
              </w:rPr>
            </w:pPr>
            <w:r>
              <w:rPr>
                <w:rFonts w:hint="eastAsia" w:ascii="宋体" w:hAnsi="宋体" w:cs="宋体"/>
                <w:color w:val="000000"/>
                <w:kern w:val="0"/>
                <w:sz w:val="18"/>
                <w:szCs w:val="18"/>
              </w:rPr>
              <w:t>部门预决算差异率高于市级平均差异率（28.3%）的，每高出10%（含），扣0.4分，扣完为止。</w:t>
            </w:r>
          </w:p>
        </w:tc>
      </w:tr>
      <w:tr w14:paraId="4A7ABCDF">
        <w:tblPrEx>
          <w:tblCellMar>
            <w:top w:w="0" w:type="dxa"/>
            <w:left w:w="108" w:type="dxa"/>
            <w:bottom w:w="0" w:type="dxa"/>
            <w:right w:w="108" w:type="dxa"/>
          </w:tblCellMar>
        </w:tblPrEx>
        <w:trPr>
          <w:cantSplit/>
          <w:trHeight w:val="394" w:hRule="atLeast"/>
        </w:trPr>
        <w:tc>
          <w:tcPr>
            <w:tcW w:w="1937" w:type="pct"/>
            <w:gridSpan w:val="5"/>
            <w:tcBorders>
              <w:top w:val="single" w:color="auto" w:sz="4" w:space="0"/>
              <w:left w:val="single" w:color="auto" w:sz="4" w:space="0"/>
              <w:bottom w:val="single" w:color="auto" w:sz="4" w:space="0"/>
              <w:right w:val="single" w:color="auto" w:sz="4" w:space="0"/>
            </w:tcBorders>
            <w:vAlign w:val="center"/>
          </w:tcPr>
          <w:p w14:paraId="1985513E">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93" w:type="pct"/>
            <w:tcBorders>
              <w:top w:val="nil"/>
              <w:left w:val="nil"/>
              <w:bottom w:val="single" w:color="auto" w:sz="4" w:space="0"/>
              <w:right w:val="single" w:color="auto" w:sz="4" w:space="0"/>
            </w:tcBorders>
            <w:vAlign w:val="center"/>
          </w:tcPr>
          <w:p w14:paraId="172A9413">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305" w:type="pct"/>
            <w:tcBorders>
              <w:top w:val="nil"/>
              <w:left w:val="nil"/>
              <w:bottom w:val="single" w:color="auto" w:sz="4" w:space="0"/>
              <w:right w:val="nil"/>
            </w:tcBorders>
            <w:vAlign w:val="center"/>
          </w:tcPr>
          <w:p w14:paraId="621E89F0">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97.87</w:t>
            </w:r>
          </w:p>
        </w:tc>
        <w:tc>
          <w:tcPr>
            <w:tcW w:w="2464" w:type="pct"/>
            <w:gridSpan w:val="2"/>
            <w:tcBorders>
              <w:top w:val="single" w:color="auto" w:sz="4" w:space="0"/>
              <w:left w:val="single" w:color="auto" w:sz="4" w:space="0"/>
              <w:bottom w:val="single" w:color="auto" w:sz="4" w:space="0"/>
              <w:right w:val="single" w:color="000000" w:sz="4" w:space="0"/>
            </w:tcBorders>
            <w:vAlign w:val="center"/>
          </w:tcPr>
          <w:p w14:paraId="0D31078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14:paraId="63B00AC6">
      <w:pPr>
        <w:spacing w:line="20" w:lineRule="exact"/>
        <w:rPr>
          <w:rFonts w:ascii="方正小标宋简体" w:eastAsia="方正小标宋简体"/>
          <w:sz w:val="36"/>
          <w:szCs w:val="36"/>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F8A0">
    <w:pPr>
      <w:pStyle w:val="8"/>
      <w:ind w:firstLine="360"/>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C0755">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6C0755">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78A4">
    <w:pPr>
      <w:pStyle w:val="8"/>
      <w:jc w:val="right"/>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C297">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DFC297">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77F09F4"/>
    <w:rsid w:val="00001A75"/>
    <w:rsid w:val="00254543"/>
    <w:rsid w:val="0027300F"/>
    <w:rsid w:val="002813EE"/>
    <w:rsid w:val="002A2D89"/>
    <w:rsid w:val="0033785A"/>
    <w:rsid w:val="00344DB0"/>
    <w:rsid w:val="003D67B4"/>
    <w:rsid w:val="003E56E3"/>
    <w:rsid w:val="00471761"/>
    <w:rsid w:val="00475740"/>
    <w:rsid w:val="00514CEE"/>
    <w:rsid w:val="00632669"/>
    <w:rsid w:val="00686AD8"/>
    <w:rsid w:val="006C426D"/>
    <w:rsid w:val="0070493E"/>
    <w:rsid w:val="0076531E"/>
    <w:rsid w:val="007665CB"/>
    <w:rsid w:val="007A61E0"/>
    <w:rsid w:val="00885CF3"/>
    <w:rsid w:val="0096264D"/>
    <w:rsid w:val="009863B4"/>
    <w:rsid w:val="0099737B"/>
    <w:rsid w:val="009D4462"/>
    <w:rsid w:val="00A52948"/>
    <w:rsid w:val="00A72356"/>
    <w:rsid w:val="00B30C3F"/>
    <w:rsid w:val="00BF7FFC"/>
    <w:rsid w:val="00C74794"/>
    <w:rsid w:val="00CC27CC"/>
    <w:rsid w:val="00CE56A4"/>
    <w:rsid w:val="00D0704D"/>
    <w:rsid w:val="00D40ECF"/>
    <w:rsid w:val="00D4560E"/>
    <w:rsid w:val="00D6350E"/>
    <w:rsid w:val="00D64A32"/>
    <w:rsid w:val="00D7695E"/>
    <w:rsid w:val="00E63212"/>
    <w:rsid w:val="00E949CE"/>
    <w:rsid w:val="00FC7311"/>
    <w:rsid w:val="175F53D8"/>
    <w:rsid w:val="17F9D139"/>
    <w:rsid w:val="1B8FCFAE"/>
    <w:rsid w:val="37173543"/>
    <w:rsid w:val="3D7851BF"/>
    <w:rsid w:val="3E7F8187"/>
    <w:rsid w:val="3FDBA076"/>
    <w:rsid w:val="3FDFB3F0"/>
    <w:rsid w:val="3FDFC9A6"/>
    <w:rsid w:val="3FF336EF"/>
    <w:rsid w:val="3FF76880"/>
    <w:rsid w:val="463635E7"/>
    <w:rsid w:val="5BFD4AC2"/>
    <w:rsid w:val="67759716"/>
    <w:rsid w:val="6F7ED27B"/>
    <w:rsid w:val="75ABE471"/>
    <w:rsid w:val="75B17A7C"/>
    <w:rsid w:val="76AD36BA"/>
    <w:rsid w:val="77FF06E9"/>
    <w:rsid w:val="7AB7FF50"/>
    <w:rsid w:val="7AEAF641"/>
    <w:rsid w:val="7BAD2729"/>
    <w:rsid w:val="7BEC3544"/>
    <w:rsid w:val="7BFEB0DB"/>
    <w:rsid w:val="7FFF4E81"/>
    <w:rsid w:val="7FFFA5C6"/>
    <w:rsid w:val="7FFFD0D3"/>
    <w:rsid w:val="8716660E"/>
    <w:rsid w:val="9237C678"/>
    <w:rsid w:val="A3AA735E"/>
    <w:rsid w:val="A75D4892"/>
    <w:rsid w:val="AFFFCE02"/>
    <w:rsid w:val="BFD7A2A6"/>
    <w:rsid w:val="C67F3FD2"/>
    <w:rsid w:val="CABB7AA5"/>
    <w:rsid w:val="CEFD3F3D"/>
    <w:rsid w:val="D6B22E60"/>
    <w:rsid w:val="DBBF3CB5"/>
    <w:rsid w:val="DBF4CA9B"/>
    <w:rsid w:val="EA3F77F2"/>
    <w:rsid w:val="EEFE5989"/>
    <w:rsid w:val="EFCF3EAE"/>
    <w:rsid w:val="F3F935BA"/>
    <w:rsid w:val="F4FDEB06"/>
    <w:rsid w:val="F57E493F"/>
    <w:rsid w:val="F5B764A2"/>
    <w:rsid w:val="F5FDFE76"/>
    <w:rsid w:val="F75A2F4D"/>
    <w:rsid w:val="F77F09F4"/>
    <w:rsid w:val="F7FEDEA0"/>
    <w:rsid w:val="F9FF2A73"/>
    <w:rsid w:val="FB39B724"/>
    <w:rsid w:val="FBFF6E65"/>
    <w:rsid w:val="FDBC35E1"/>
    <w:rsid w:val="FDDF260E"/>
    <w:rsid w:val="FEEF6AA0"/>
    <w:rsid w:val="FFB792B8"/>
    <w:rsid w:val="FFD7BFFC"/>
    <w:rsid w:val="FFEFC60A"/>
    <w:rsid w:val="FFFA6B0F"/>
    <w:rsid w:val="FFFFB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line="600" w:lineRule="exact"/>
      <w:ind w:firstLine="640"/>
      <w:outlineLvl w:val="0"/>
    </w:pPr>
    <w:rPr>
      <w:rFonts w:ascii="黑体" w:hAnsi="黑体" w:eastAsia="黑体" w:cs="宋体"/>
      <w:color w:val="000000"/>
      <w:kern w:val="0"/>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420"/>
      <w:jc w:val="both"/>
      <w:textAlignment w:val="baseline"/>
    </w:pPr>
    <w:rPr>
      <w:rFonts w:ascii="Calibri" w:hAnsi="Calibri" w:eastAsia="宋体"/>
      <w:kern w:val="1"/>
      <w:sz w:val="21"/>
      <w:szCs w:val="24"/>
      <w:lang w:val="en-US" w:eastAsia="zh-CN" w:bidi="ar-SA"/>
    </w:rPr>
  </w:style>
  <w:style w:type="paragraph" w:styleId="5">
    <w:name w:val="Body Text"/>
    <w:basedOn w:val="1"/>
    <w:next w:val="6"/>
    <w:qFormat/>
    <w:uiPriority w:val="0"/>
    <w:pPr>
      <w:spacing w:after="140" w:line="276" w:lineRule="auto"/>
    </w:pPr>
  </w:style>
  <w:style w:type="paragraph" w:styleId="6">
    <w:name w:val="Body Text First Indent"/>
    <w:basedOn w:val="5"/>
    <w:qFormat/>
    <w:uiPriority w:val="99"/>
    <w:pPr>
      <w:spacing w:line="500" w:lineRule="exact"/>
      <w:ind w:firstLine="420"/>
    </w:pPr>
    <w:rPr>
      <w:rFonts w:ascii="Times New Roman" w:hAnsi="Times New Roman" w:eastAsia="楷体_GB2312"/>
      <w:sz w:val="28"/>
    </w:rPr>
  </w:style>
  <w:style w:type="paragraph" w:styleId="7">
    <w:name w:val="Balloon Text"/>
    <w:basedOn w:val="1"/>
    <w:link w:val="15"/>
    <w:semiHidden/>
    <w:unhideWhenUsed/>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列出段落1"/>
    <w:basedOn w:val="1"/>
    <w:qFormat/>
    <w:uiPriority w:val="34"/>
    <w:pPr>
      <w:ind w:firstLine="420" w:firstLineChars="200"/>
    </w:pPr>
    <w:rPr>
      <w:rFonts w:ascii="Calibri" w:hAnsi="Calibri" w:cs="黑体"/>
      <w:szCs w:val="22"/>
    </w:rPr>
  </w:style>
  <w:style w:type="character" w:customStyle="1" w:styleId="13">
    <w:name w:val="NormalCharacter"/>
    <w:link w:val="14"/>
    <w:qFormat/>
    <w:uiPriority w:val="0"/>
    <w:rPr>
      <w:rFonts w:ascii="Calibri" w:hAnsi="Calibri" w:eastAsia="宋体" w:cs="黑体"/>
      <w:sz w:val="21"/>
      <w:szCs w:val="22"/>
    </w:rPr>
  </w:style>
  <w:style w:type="paragraph" w:customStyle="1" w:styleId="14">
    <w:name w:val="UserStyle_4"/>
    <w:basedOn w:val="1"/>
    <w:link w:val="13"/>
    <w:qFormat/>
    <w:uiPriority w:val="0"/>
    <w:pPr>
      <w:widowControl/>
      <w:spacing w:after="160" w:line="240" w:lineRule="exact"/>
      <w:jc w:val="left"/>
      <w:textAlignment w:val="baseline"/>
    </w:pPr>
    <w:rPr>
      <w:rFonts w:ascii="Calibri" w:hAnsi="Calibri" w:eastAsia="宋体" w:cs="黑体"/>
      <w:sz w:val="21"/>
      <w:szCs w:val="22"/>
    </w:rPr>
  </w:style>
  <w:style w:type="character" w:customStyle="1" w:styleId="15">
    <w:name w:val="批注框文本 Char"/>
    <w:basedOn w:val="11"/>
    <w:link w:val="7"/>
    <w:semiHidden/>
    <w:qFormat/>
    <w:uiPriority w:val="0"/>
    <w:rPr>
      <w:rFonts w:ascii="Times New Roman" w:hAnsi="Times New Roman" w:eastAsia="宋体" w:cs="Times New Roman"/>
      <w:kern w:val="2"/>
      <w:sz w:val="18"/>
      <w:szCs w:val="18"/>
    </w:rPr>
  </w:style>
  <w:style w:type="paragraph" w:customStyle="1" w:styleId="16">
    <w:name w:val="正文文本首行缩进1"/>
    <w:basedOn w:val="5"/>
    <w:qFormat/>
    <w:uiPriority w:val="0"/>
    <w:pPr>
      <w:spacing w:after="0"/>
      <w:ind w:firstLine="643"/>
    </w:pPr>
    <w:rPr>
      <w:rFonts w:hint="eastAsia" w:ascii="Times New Roman" w:hAnsi="Times New Roman" w:eastAsia="仿宋_GB2312"/>
      <w:sz w:val="3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7623</Words>
  <Characters>8091</Characters>
  <Lines>62</Lines>
  <Paragraphs>17</Paragraphs>
  <TotalTime>13</TotalTime>
  <ScaleCrop>false</ScaleCrop>
  <LinksUpToDate>false</LinksUpToDate>
  <CharactersWithSpaces>8116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2023-05-31T06:58:00Z</dcterms:created>
  <dc:creator>user</dc:creator>
  <cp:lastModifiedBy>真·大型肉食动物饲养员</cp:lastModifiedBy>
  <cp:lastPrinted>2023-06-03T02:09:00Z</cp:lastPrinted>
  <dcterms:modified xsi:type="dcterms:W3CDTF">2025-03-18T07:52:10Z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eyJoZGlkIjoiNGIyYTFhY2FhY2RjN2E2ZjE5YjM5MTEwYTMzNTI3ZmUiLCJ1c2VySWQiOiIzMzc1ODA3MjYifQ==</vt:lpwstr>
  </property>
  <property fmtid="{D5CDD505-2E9C-101B-9397-08002B2CF9AE}" pid="4" name="ICV">
    <vt:lpwstr>CEF4B1B02A614CE59495352C35819AA8_12</vt:lpwstr>
  </property>
</Properties>
</file>