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方正小标宋简体" w:cs="Times New Roman"/>
          <w:color w:val="000000"/>
          <w:sz w:val="44"/>
          <w:szCs w:val="44"/>
          <w:u w:val="none"/>
          <w:lang w:val="en-US" w:eastAsia="zh-CN"/>
        </w:rPr>
      </w:pPr>
      <w:r>
        <w:rPr>
          <w:rFonts w:hint="default" w:ascii="Times New Roman" w:hAnsi="Times New Roman" w:eastAsia="方正小标宋简体" w:cs="Times New Roman"/>
          <w:color w:val="000000"/>
          <w:sz w:val="44"/>
          <w:szCs w:val="44"/>
          <w:u w:val="none"/>
          <w:lang w:val="en-US" w:eastAsia="zh-CN"/>
        </w:rPr>
        <w:t>北京市学校思想政治工作中心</w:t>
      </w:r>
    </w:p>
    <w:p>
      <w:pPr>
        <w:spacing w:line="560" w:lineRule="exact"/>
        <w:jc w:val="center"/>
        <w:rPr>
          <w:rFonts w:hint="default" w:ascii="Times New Roman" w:hAnsi="Times New Roman" w:eastAsia="方正小标宋简体" w:cs="Times New Roman"/>
          <w:color w:val="000000"/>
          <w:sz w:val="44"/>
          <w:szCs w:val="44"/>
          <w:u w:val="none"/>
        </w:rPr>
      </w:pPr>
      <w:r>
        <w:rPr>
          <w:rFonts w:hint="eastAsia" w:ascii="Times New Roman" w:hAnsi="Times New Roman" w:eastAsia="方正小标宋简体" w:cs="Times New Roman"/>
          <w:color w:val="000000"/>
          <w:sz w:val="44"/>
          <w:szCs w:val="44"/>
          <w:u w:val="none"/>
          <w:lang w:val="en-US" w:eastAsia="zh-CN"/>
        </w:rPr>
        <w:t>2024</w:t>
      </w:r>
      <w:r>
        <w:rPr>
          <w:rFonts w:hint="default" w:ascii="Times New Roman" w:hAnsi="Times New Roman" w:eastAsia="方正小标宋简体" w:cs="Times New Roman"/>
          <w:color w:val="000000"/>
          <w:sz w:val="44"/>
          <w:szCs w:val="44"/>
          <w:u w:val="none"/>
          <w:lang w:eastAsia="zh-CN"/>
        </w:rPr>
        <w:t>年度单位</w:t>
      </w:r>
      <w:r>
        <w:rPr>
          <w:rFonts w:hint="default" w:ascii="Times New Roman" w:hAnsi="Times New Roman" w:eastAsia="方正小标宋简体" w:cs="Times New Roman"/>
          <w:color w:val="000000"/>
          <w:sz w:val="44"/>
          <w:szCs w:val="44"/>
          <w:u w:val="none"/>
        </w:rPr>
        <w:t>预算信息公开</w:t>
      </w:r>
    </w:p>
    <w:p>
      <w:pPr>
        <w:spacing w:line="240" w:lineRule="exact"/>
        <w:jc w:val="center"/>
        <w:rPr>
          <w:rFonts w:hint="default" w:ascii="Times New Roman" w:hAnsi="Times New Roman" w:eastAsia="方正小标宋简体" w:cs="Times New Roman"/>
          <w:color w:val="000000"/>
          <w:sz w:val="32"/>
          <w:szCs w:val="32"/>
          <w:u w:val="none"/>
        </w:rPr>
      </w:pPr>
    </w:p>
    <w:p>
      <w:pPr>
        <w:spacing w:line="560" w:lineRule="exact"/>
        <w:jc w:val="center"/>
        <w:rPr>
          <w:rFonts w:hint="default" w:ascii="Times New Roman" w:hAnsi="Times New Roman" w:eastAsia="方正小标宋简体" w:cs="Times New Roman"/>
          <w:color w:val="000000"/>
          <w:sz w:val="32"/>
          <w:szCs w:val="32"/>
          <w:u w:val="none"/>
        </w:rPr>
      </w:pPr>
      <w:r>
        <w:rPr>
          <w:rFonts w:hint="default" w:ascii="Times New Roman" w:hAnsi="Times New Roman" w:eastAsia="方正小标宋简体" w:cs="Times New Roman"/>
          <w:color w:val="000000"/>
          <w:sz w:val="32"/>
          <w:szCs w:val="32"/>
          <w:u w:val="none"/>
        </w:rPr>
        <w:t>目   录</w:t>
      </w:r>
    </w:p>
    <w:p>
      <w:pPr>
        <w:spacing w:line="240" w:lineRule="exact"/>
        <w:jc w:val="both"/>
        <w:rPr>
          <w:rFonts w:hint="default" w:ascii="Times New Roman" w:hAnsi="Times New Roman" w:eastAsia="方正小标宋简体" w:cs="Times New Roman"/>
          <w:color w:val="000000"/>
          <w:sz w:val="32"/>
          <w:szCs w:val="32"/>
          <w:u w:val="none"/>
        </w:rPr>
      </w:pPr>
    </w:p>
    <w:p>
      <w:pPr>
        <w:spacing w:line="560" w:lineRule="exact"/>
        <w:rPr>
          <w:rFonts w:hint="default" w:ascii="Times New Roman" w:hAnsi="Times New Roman" w:eastAsia="黑体" w:cs="Times New Roman"/>
          <w:color w:val="000000"/>
          <w:sz w:val="32"/>
          <w:szCs w:val="32"/>
          <w:u w:val="none"/>
        </w:rPr>
      </w:pPr>
      <w:r>
        <w:rPr>
          <w:rFonts w:hint="default" w:ascii="Times New Roman" w:hAnsi="Times New Roman" w:eastAsia="黑体" w:cs="Times New Roman"/>
          <w:color w:val="000000"/>
          <w:sz w:val="32"/>
          <w:szCs w:val="32"/>
          <w:u w:val="none"/>
        </w:rPr>
        <w:t xml:space="preserve">第一部分 </w:t>
      </w:r>
      <w:r>
        <w:rPr>
          <w:rFonts w:hint="default" w:ascii="Times New Roman" w:hAnsi="Times New Roman" w:eastAsia="黑体" w:cs="Times New Roman"/>
          <w:color w:val="000000"/>
          <w:sz w:val="32"/>
          <w:szCs w:val="32"/>
          <w:u w:val="none"/>
          <w:lang w:eastAsia="zh-CN"/>
        </w:rPr>
        <w:t>2024年</w:t>
      </w:r>
      <w:r>
        <w:rPr>
          <w:rFonts w:hint="default" w:ascii="Times New Roman" w:hAnsi="Times New Roman" w:eastAsia="黑体" w:cs="Times New Roman"/>
          <w:color w:val="000000"/>
          <w:sz w:val="32"/>
          <w:szCs w:val="32"/>
          <w:u w:val="none"/>
        </w:rPr>
        <w:t>度单位预算情况说明</w:t>
      </w:r>
    </w:p>
    <w:p>
      <w:pPr>
        <w:spacing w:line="560" w:lineRule="exact"/>
        <w:ind w:firstLine="640" w:firstLineChars="200"/>
        <w:rPr>
          <w:rFonts w:hint="default" w:ascii="Times New Roman" w:hAnsi="Times New Roman" w:eastAsia="仿宋_GB2312" w:cs="Times New Roman"/>
          <w:color w:val="000000"/>
          <w:sz w:val="32"/>
          <w:szCs w:val="32"/>
          <w:u w:val="none"/>
          <w:lang w:val="en"/>
        </w:rPr>
      </w:pPr>
      <w:r>
        <w:rPr>
          <w:rFonts w:hint="default" w:ascii="Times New Roman" w:hAnsi="Times New Roman" w:eastAsia="仿宋_GB2312" w:cs="Times New Roman"/>
          <w:color w:val="000000"/>
          <w:sz w:val="32"/>
          <w:szCs w:val="32"/>
          <w:u w:val="none"/>
        </w:rPr>
        <w:t>一、单位情况</w:t>
      </w:r>
      <w:r>
        <w:rPr>
          <w:rFonts w:hint="default" w:ascii="Times New Roman" w:hAnsi="Times New Roman" w:eastAsia="仿宋_GB2312" w:cs="Times New Roman"/>
          <w:color w:val="000000"/>
          <w:sz w:val="32"/>
          <w:szCs w:val="32"/>
          <w:u w:val="none"/>
          <w:lang w:eastAsia="zh-CN"/>
        </w:rPr>
        <w:t>说明</w:t>
      </w:r>
    </w:p>
    <w:p>
      <w:pPr>
        <w:spacing w:line="560" w:lineRule="exact"/>
        <w:ind w:firstLine="640" w:firstLineChars="200"/>
        <w:rPr>
          <w:rFonts w:hint="default" w:ascii="Times New Roman" w:hAnsi="Times New Roman" w:eastAsia="仿宋_GB2312" w:cs="Times New Roman"/>
          <w:color w:val="000000"/>
          <w:sz w:val="32"/>
          <w:szCs w:val="32"/>
          <w:u w:val="none"/>
        </w:rPr>
      </w:pPr>
      <w:r>
        <w:rPr>
          <w:rFonts w:hint="default" w:ascii="Times New Roman" w:hAnsi="Times New Roman" w:eastAsia="仿宋_GB2312" w:cs="Times New Roman"/>
          <w:color w:val="000000"/>
          <w:sz w:val="32"/>
          <w:szCs w:val="32"/>
          <w:u w:val="none"/>
        </w:rPr>
        <w:t>二、收入</w:t>
      </w:r>
      <w:r>
        <w:rPr>
          <w:rFonts w:hint="default" w:ascii="Times New Roman" w:hAnsi="Times New Roman" w:eastAsia="仿宋_GB2312" w:cs="Times New Roman"/>
          <w:color w:val="000000"/>
          <w:sz w:val="32"/>
          <w:szCs w:val="32"/>
          <w:u w:val="none"/>
          <w:lang w:eastAsia="zh-CN"/>
        </w:rPr>
        <w:t>预算</w:t>
      </w:r>
      <w:r>
        <w:rPr>
          <w:rFonts w:hint="default" w:ascii="Times New Roman" w:hAnsi="Times New Roman" w:eastAsia="仿宋_GB2312" w:cs="Times New Roman"/>
          <w:color w:val="000000"/>
          <w:sz w:val="32"/>
          <w:szCs w:val="32"/>
          <w:u w:val="none"/>
        </w:rPr>
        <w:t>情况</w:t>
      </w:r>
      <w:r>
        <w:rPr>
          <w:rFonts w:hint="default" w:ascii="Times New Roman" w:hAnsi="Times New Roman" w:eastAsia="仿宋_GB2312" w:cs="Times New Roman"/>
          <w:color w:val="000000"/>
          <w:sz w:val="32"/>
          <w:szCs w:val="32"/>
          <w:u w:val="none"/>
          <w:lang w:eastAsia="zh-CN"/>
        </w:rPr>
        <w:t>说明</w:t>
      </w:r>
    </w:p>
    <w:p>
      <w:pPr>
        <w:spacing w:line="560" w:lineRule="exact"/>
        <w:ind w:firstLine="640" w:firstLineChars="200"/>
        <w:rPr>
          <w:rFonts w:hint="default" w:ascii="Times New Roman" w:hAnsi="Times New Roman" w:eastAsia="仿宋_GB2312" w:cs="Times New Roman"/>
          <w:color w:val="000000"/>
          <w:sz w:val="32"/>
          <w:szCs w:val="32"/>
          <w:u w:val="none"/>
        </w:rPr>
      </w:pPr>
      <w:r>
        <w:rPr>
          <w:rFonts w:hint="default" w:ascii="Times New Roman" w:hAnsi="Times New Roman" w:eastAsia="仿宋_GB2312" w:cs="Times New Roman"/>
          <w:color w:val="000000"/>
          <w:sz w:val="32"/>
          <w:szCs w:val="32"/>
          <w:u w:val="none"/>
        </w:rPr>
        <w:t>三、支出</w:t>
      </w:r>
      <w:r>
        <w:rPr>
          <w:rFonts w:hint="default" w:ascii="Times New Roman" w:hAnsi="Times New Roman" w:eastAsia="仿宋_GB2312" w:cs="Times New Roman"/>
          <w:color w:val="000000"/>
          <w:sz w:val="32"/>
          <w:szCs w:val="32"/>
          <w:u w:val="none"/>
          <w:lang w:eastAsia="zh-CN"/>
        </w:rPr>
        <w:t>预算</w:t>
      </w:r>
      <w:r>
        <w:rPr>
          <w:rFonts w:hint="default" w:ascii="Times New Roman" w:hAnsi="Times New Roman" w:eastAsia="仿宋_GB2312" w:cs="Times New Roman"/>
          <w:color w:val="000000"/>
          <w:sz w:val="32"/>
          <w:szCs w:val="32"/>
          <w:u w:val="none"/>
        </w:rPr>
        <w:t>情况</w:t>
      </w:r>
      <w:r>
        <w:rPr>
          <w:rFonts w:hint="default" w:ascii="Times New Roman" w:hAnsi="Times New Roman" w:eastAsia="仿宋_GB2312" w:cs="Times New Roman"/>
          <w:color w:val="000000"/>
          <w:sz w:val="32"/>
          <w:szCs w:val="32"/>
          <w:u w:val="none"/>
          <w:lang w:eastAsia="zh-CN"/>
        </w:rPr>
        <w:t>说明</w:t>
      </w:r>
    </w:p>
    <w:p>
      <w:pPr>
        <w:spacing w:line="560" w:lineRule="exact"/>
        <w:ind w:firstLine="640" w:firstLineChars="200"/>
        <w:rPr>
          <w:rFonts w:hint="default" w:ascii="Times New Roman" w:hAnsi="Times New Roman" w:eastAsia="仿宋_GB2312" w:cs="Times New Roman"/>
          <w:color w:val="000000"/>
          <w:sz w:val="32"/>
          <w:szCs w:val="32"/>
          <w:u w:val="none"/>
        </w:rPr>
      </w:pPr>
      <w:r>
        <w:rPr>
          <w:rFonts w:hint="default" w:ascii="Times New Roman" w:hAnsi="Times New Roman" w:eastAsia="仿宋_GB2312" w:cs="Times New Roman"/>
          <w:color w:val="000000"/>
          <w:sz w:val="32"/>
          <w:szCs w:val="32"/>
          <w:u w:val="none"/>
        </w:rPr>
        <w:t>四、财政拨款“三公”经费预算</w:t>
      </w:r>
      <w:r>
        <w:rPr>
          <w:rFonts w:hint="default" w:ascii="Times New Roman" w:hAnsi="Times New Roman" w:eastAsia="仿宋_GB2312" w:cs="Times New Roman"/>
          <w:color w:val="000000"/>
          <w:sz w:val="32"/>
          <w:szCs w:val="32"/>
          <w:u w:val="none"/>
          <w:lang w:eastAsia="zh-CN"/>
        </w:rPr>
        <w:t>情况</w:t>
      </w:r>
      <w:r>
        <w:rPr>
          <w:rFonts w:hint="default" w:ascii="Times New Roman" w:hAnsi="Times New Roman" w:eastAsia="仿宋_GB2312" w:cs="Times New Roman"/>
          <w:color w:val="000000"/>
          <w:sz w:val="32"/>
          <w:szCs w:val="32"/>
          <w:u w:val="none"/>
        </w:rPr>
        <w:t>说明</w:t>
      </w:r>
    </w:p>
    <w:p>
      <w:pPr>
        <w:spacing w:line="560" w:lineRule="exact"/>
        <w:ind w:firstLine="640" w:firstLineChars="200"/>
        <w:rPr>
          <w:rFonts w:hint="default" w:ascii="Times New Roman" w:hAnsi="Times New Roman" w:eastAsia="仿宋_GB2312" w:cs="Times New Roman"/>
          <w:color w:val="000000"/>
          <w:sz w:val="32"/>
          <w:szCs w:val="32"/>
          <w:u w:val="none"/>
        </w:rPr>
      </w:pPr>
      <w:r>
        <w:rPr>
          <w:rFonts w:hint="default" w:ascii="Times New Roman" w:hAnsi="Times New Roman" w:eastAsia="仿宋_GB2312" w:cs="Times New Roman"/>
          <w:color w:val="000000"/>
          <w:sz w:val="32"/>
          <w:szCs w:val="32"/>
          <w:u w:val="none"/>
        </w:rPr>
        <w:t>五、其他情况说明</w:t>
      </w:r>
    </w:p>
    <w:p>
      <w:pPr>
        <w:spacing w:line="560" w:lineRule="exact"/>
        <w:ind w:firstLine="640" w:firstLineChars="200"/>
        <w:rPr>
          <w:rFonts w:hint="default" w:ascii="Times New Roman" w:hAnsi="Times New Roman" w:eastAsia="仿宋_GB2312" w:cs="Times New Roman"/>
          <w:color w:val="000000"/>
          <w:sz w:val="32"/>
          <w:szCs w:val="32"/>
          <w:u w:val="none"/>
        </w:rPr>
      </w:pPr>
      <w:r>
        <w:rPr>
          <w:rFonts w:hint="default" w:ascii="Times New Roman" w:hAnsi="Times New Roman" w:eastAsia="仿宋_GB2312" w:cs="Times New Roman"/>
          <w:color w:val="000000"/>
          <w:sz w:val="32"/>
          <w:szCs w:val="32"/>
          <w:u w:val="none"/>
        </w:rPr>
        <w:t>六、名词解释</w:t>
      </w:r>
    </w:p>
    <w:p>
      <w:pPr>
        <w:spacing w:line="560" w:lineRule="exact"/>
        <w:rPr>
          <w:rFonts w:hint="default" w:ascii="Times New Roman" w:hAnsi="Times New Roman" w:eastAsia="黑体" w:cs="Times New Roman"/>
          <w:color w:val="000000"/>
          <w:sz w:val="32"/>
          <w:szCs w:val="32"/>
          <w:u w:val="none"/>
        </w:rPr>
      </w:pPr>
      <w:r>
        <w:rPr>
          <w:rFonts w:hint="default" w:ascii="Times New Roman" w:hAnsi="Times New Roman" w:eastAsia="黑体" w:cs="Times New Roman"/>
          <w:color w:val="000000"/>
          <w:sz w:val="32"/>
          <w:szCs w:val="32"/>
          <w:u w:val="none"/>
        </w:rPr>
        <w:t xml:space="preserve">第二部分 </w:t>
      </w:r>
      <w:r>
        <w:rPr>
          <w:rFonts w:hint="default" w:ascii="Times New Roman" w:hAnsi="Times New Roman" w:eastAsia="黑体" w:cs="Times New Roman"/>
          <w:color w:val="000000"/>
          <w:sz w:val="32"/>
          <w:szCs w:val="32"/>
          <w:u w:val="none"/>
          <w:lang w:eastAsia="zh-CN"/>
        </w:rPr>
        <w:t>2024年</w:t>
      </w:r>
      <w:r>
        <w:rPr>
          <w:rFonts w:hint="default" w:ascii="Times New Roman" w:hAnsi="Times New Roman" w:eastAsia="黑体" w:cs="Times New Roman"/>
          <w:color w:val="000000"/>
          <w:sz w:val="32"/>
          <w:szCs w:val="32"/>
          <w:u w:val="none"/>
        </w:rPr>
        <w:t>度单位预算报表</w:t>
      </w:r>
    </w:p>
    <w:p>
      <w:pPr>
        <w:spacing w:line="560" w:lineRule="exact"/>
        <w:ind w:firstLine="640" w:firstLineChars="200"/>
        <w:rPr>
          <w:rFonts w:hint="default" w:ascii="Times New Roman" w:hAnsi="Times New Roman" w:eastAsia="仿宋_GB2312" w:cs="Times New Roman"/>
          <w:color w:val="000000"/>
          <w:sz w:val="32"/>
          <w:szCs w:val="32"/>
          <w:u w:val="none"/>
          <w:lang w:val="zh-CN"/>
        </w:rPr>
      </w:pPr>
      <w:r>
        <w:rPr>
          <w:rFonts w:hint="default" w:ascii="Times New Roman" w:hAnsi="Times New Roman" w:eastAsia="仿宋_GB2312" w:cs="Times New Roman"/>
          <w:color w:val="000000"/>
          <w:sz w:val="32"/>
          <w:szCs w:val="32"/>
          <w:u w:val="none"/>
          <w:lang w:val="zh-CN"/>
        </w:rPr>
        <w:t>一、收支总表</w:t>
      </w:r>
    </w:p>
    <w:p>
      <w:pPr>
        <w:spacing w:line="560" w:lineRule="exact"/>
        <w:ind w:firstLine="640" w:firstLineChars="200"/>
        <w:rPr>
          <w:rFonts w:hint="default" w:ascii="Times New Roman" w:hAnsi="Times New Roman" w:eastAsia="仿宋_GB2312" w:cs="Times New Roman"/>
          <w:color w:val="000000"/>
          <w:sz w:val="32"/>
          <w:szCs w:val="32"/>
          <w:u w:val="none"/>
          <w:lang w:val="zh-CN"/>
        </w:rPr>
      </w:pPr>
      <w:r>
        <w:rPr>
          <w:rFonts w:hint="default" w:ascii="Times New Roman" w:hAnsi="Times New Roman" w:eastAsia="仿宋_GB2312" w:cs="Times New Roman"/>
          <w:color w:val="000000"/>
          <w:sz w:val="32"/>
          <w:szCs w:val="32"/>
          <w:u w:val="none"/>
          <w:lang w:val="zh-CN"/>
        </w:rPr>
        <w:t xml:space="preserve">二、收入总表    </w:t>
      </w:r>
    </w:p>
    <w:p>
      <w:pPr>
        <w:spacing w:line="560" w:lineRule="exact"/>
        <w:ind w:firstLine="640" w:firstLineChars="200"/>
        <w:rPr>
          <w:rFonts w:hint="default" w:ascii="Times New Roman" w:hAnsi="Times New Roman" w:eastAsia="仿宋_GB2312" w:cs="Times New Roman"/>
          <w:color w:val="000000"/>
          <w:sz w:val="32"/>
          <w:szCs w:val="32"/>
          <w:u w:val="none"/>
          <w:lang w:val="zh-CN"/>
        </w:rPr>
      </w:pPr>
      <w:r>
        <w:rPr>
          <w:rFonts w:hint="default" w:ascii="Times New Roman" w:hAnsi="Times New Roman" w:eastAsia="仿宋_GB2312" w:cs="Times New Roman"/>
          <w:color w:val="000000"/>
          <w:sz w:val="32"/>
          <w:szCs w:val="32"/>
          <w:u w:val="none"/>
          <w:lang w:val="zh-CN"/>
        </w:rPr>
        <w:t>三、支出总表</w:t>
      </w:r>
    </w:p>
    <w:p>
      <w:pPr>
        <w:spacing w:line="560" w:lineRule="exact"/>
        <w:ind w:firstLine="640" w:firstLineChars="200"/>
        <w:rPr>
          <w:rFonts w:hint="default" w:ascii="Times New Roman" w:hAnsi="Times New Roman" w:eastAsia="仿宋_GB2312" w:cs="Times New Roman"/>
          <w:color w:val="000000"/>
          <w:sz w:val="32"/>
          <w:szCs w:val="32"/>
          <w:u w:val="none"/>
          <w:lang w:val="zh-CN"/>
        </w:rPr>
      </w:pPr>
      <w:r>
        <w:rPr>
          <w:rFonts w:hint="default" w:ascii="Times New Roman" w:hAnsi="Times New Roman" w:eastAsia="仿宋_GB2312" w:cs="Times New Roman"/>
          <w:color w:val="000000"/>
          <w:sz w:val="32"/>
          <w:szCs w:val="32"/>
          <w:u w:val="none"/>
          <w:lang w:val="zh-CN"/>
        </w:rPr>
        <w:t>四、项目支出表</w:t>
      </w:r>
    </w:p>
    <w:p>
      <w:pPr>
        <w:spacing w:line="560" w:lineRule="exact"/>
        <w:ind w:firstLine="640" w:firstLineChars="200"/>
        <w:rPr>
          <w:rFonts w:hint="default" w:ascii="Times New Roman" w:hAnsi="Times New Roman" w:eastAsia="仿宋_GB2312" w:cs="Times New Roman"/>
          <w:color w:val="000000"/>
          <w:sz w:val="32"/>
          <w:szCs w:val="32"/>
          <w:u w:val="none"/>
          <w:lang w:val="zh-CN"/>
        </w:rPr>
      </w:pPr>
      <w:r>
        <w:rPr>
          <w:rFonts w:hint="default" w:ascii="Times New Roman" w:hAnsi="Times New Roman" w:eastAsia="仿宋_GB2312" w:cs="Times New Roman"/>
          <w:color w:val="000000"/>
          <w:sz w:val="32"/>
          <w:szCs w:val="32"/>
          <w:u w:val="none"/>
          <w:lang w:val="zh-CN"/>
        </w:rPr>
        <w:t>五、政府采购预算明细表</w:t>
      </w:r>
    </w:p>
    <w:p>
      <w:pPr>
        <w:spacing w:line="560" w:lineRule="exact"/>
        <w:ind w:firstLine="640" w:firstLineChars="200"/>
        <w:rPr>
          <w:rFonts w:hint="default" w:ascii="Times New Roman" w:hAnsi="Times New Roman" w:eastAsia="仿宋_GB2312" w:cs="Times New Roman"/>
          <w:color w:val="000000"/>
          <w:sz w:val="32"/>
          <w:szCs w:val="32"/>
          <w:u w:val="none"/>
          <w:lang w:val="zh-CN"/>
        </w:rPr>
      </w:pPr>
      <w:r>
        <w:rPr>
          <w:rFonts w:hint="default" w:ascii="Times New Roman" w:hAnsi="Times New Roman" w:eastAsia="仿宋_GB2312" w:cs="Times New Roman"/>
          <w:color w:val="000000"/>
          <w:sz w:val="32"/>
          <w:szCs w:val="32"/>
          <w:u w:val="none"/>
          <w:lang w:val="zh-CN"/>
        </w:rPr>
        <w:t>六、财政拨款收支总表</w:t>
      </w:r>
    </w:p>
    <w:p>
      <w:pPr>
        <w:spacing w:line="560" w:lineRule="exact"/>
        <w:ind w:firstLine="640" w:firstLineChars="200"/>
        <w:rPr>
          <w:rFonts w:hint="default" w:ascii="Times New Roman" w:hAnsi="Times New Roman" w:eastAsia="仿宋_GB2312" w:cs="Times New Roman"/>
          <w:color w:val="000000"/>
          <w:sz w:val="32"/>
          <w:szCs w:val="32"/>
          <w:u w:val="none"/>
          <w:lang w:val="zh-CN"/>
        </w:rPr>
      </w:pPr>
      <w:r>
        <w:rPr>
          <w:rFonts w:hint="default" w:ascii="Times New Roman" w:hAnsi="Times New Roman" w:eastAsia="仿宋_GB2312" w:cs="Times New Roman"/>
          <w:color w:val="000000"/>
          <w:sz w:val="32"/>
          <w:szCs w:val="32"/>
          <w:u w:val="none"/>
          <w:lang w:val="zh-CN"/>
        </w:rPr>
        <w:t>七、一般公共预算财政拨款支出表</w:t>
      </w:r>
    </w:p>
    <w:p>
      <w:pPr>
        <w:spacing w:line="560" w:lineRule="exact"/>
        <w:ind w:firstLine="640" w:firstLineChars="200"/>
        <w:rPr>
          <w:rFonts w:hint="default" w:ascii="Times New Roman" w:hAnsi="Times New Roman" w:eastAsia="仿宋_GB2312" w:cs="Times New Roman"/>
          <w:color w:val="000000"/>
          <w:sz w:val="32"/>
          <w:szCs w:val="32"/>
          <w:u w:val="none"/>
          <w:lang w:val="zh-CN"/>
        </w:rPr>
      </w:pPr>
      <w:r>
        <w:rPr>
          <w:rFonts w:hint="default" w:ascii="Times New Roman" w:hAnsi="Times New Roman" w:eastAsia="仿宋_GB2312" w:cs="Times New Roman"/>
          <w:color w:val="000000"/>
          <w:sz w:val="32"/>
          <w:szCs w:val="32"/>
          <w:u w:val="none"/>
          <w:lang w:val="zh-CN"/>
        </w:rPr>
        <w:t>八、一般公共预算财政拨款基本支出表</w:t>
      </w:r>
    </w:p>
    <w:p>
      <w:pPr>
        <w:spacing w:line="560" w:lineRule="exact"/>
        <w:ind w:firstLine="640" w:firstLineChars="200"/>
        <w:rPr>
          <w:rFonts w:hint="default" w:ascii="Times New Roman" w:hAnsi="Times New Roman" w:eastAsia="仿宋_GB2312" w:cs="Times New Roman"/>
          <w:color w:val="000000"/>
          <w:sz w:val="32"/>
          <w:szCs w:val="32"/>
          <w:u w:val="none"/>
          <w:lang w:val="zh-CN"/>
        </w:rPr>
      </w:pPr>
      <w:r>
        <w:rPr>
          <w:rFonts w:hint="default" w:ascii="Times New Roman" w:hAnsi="Times New Roman" w:eastAsia="仿宋_GB2312" w:cs="Times New Roman"/>
          <w:color w:val="000000"/>
          <w:sz w:val="32"/>
          <w:szCs w:val="32"/>
          <w:u w:val="none"/>
          <w:lang w:val="zh-CN"/>
        </w:rPr>
        <w:t>九、政府性基金预算财政拨款支出表</w:t>
      </w:r>
    </w:p>
    <w:p>
      <w:pPr>
        <w:spacing w:line="560" w:lineRule="exact"/>
        <w:ind w:firstLine="640" w:firstLineChars="200"/>
        <w:rPr>
          <w:rFonts w:hint="default" w:ascii="Times New Roman" w:hAnsi="Times New Roman" w:eastAsia="仿宋_GB2312" w:cs="Times New Roman"/>
          <w:color w:val="000000"/>
          <w:sz w:val="32"/>
          <w:szCs w:val="32"/>
          <w:u w:val="none"/>
          <w:lang w:val="zh-CN"/>
        </w:rPr>
      </w:pPr>
      <w:r>
        <w:rPr>
          <w:rFonts w:hint="default" w:ascii="Times New Roman" w:hAnsi="Times New Roman" w:eastAsia="仿宋_GB2312" w:cs="Times New Roman"/>
          <w:color w:val="000000"/>
          <w:sz w:val="32"/>
          <w:szCs w:val="32"/>
          <w:u w:val="none"/>
          <w:lang w:val="zh-CN"/>
        </w:rPr>
        <w:t>十、国有资本经营预算财政拨款支出表</w:t>
      </w:r>
    </w:p>
    <w:p>
      <w:pPr>
        <w:spacing w:line="560" w:lineRule="exact"/>
        <w:ind w:firstLine="640" w:firstLineChars="200"/>
        <w:rPr>
          <w:rFonts w:hint="default" w:ascii="Times New Roman" w:hAnsi="Times New Roman" w:eastAsia="仿宋_GB2312" w:cs="Times New Roman"/>
          <w:color w:val="000000"/>
          <w:sz w:val="32"/>
          <w:szCs w:val="32"/>
          <w:u w:val="none"/>
          <w:lang w:val="zh-CN"/>
        </w:rPr>
      </w:pPr>
      <w:r>
        <w:rPr>
          <w:rFonts w:hint="default" w:ascii="Times New Roman" w:hAnsi="Times New Roman" w:eastAsia="仿宋_GB2312" w:cs="Times New Roman"/>
          <w:color w:val="000000"/>
          <w:sz w:val="32"/>
          <w:szCs w:val="32"/>
          <w:u w:val="none"/>
          <w:lang w:val="zh-CN"/>
        </w:rPr>
        <w:t>十一、财政拨款“三公”经费支出表</w:t>
      </w:r>
    </w:p>
    <w:p>
      <w:pPr>
        <w:spacing w:line="560" w:lineRule="exact"/>
        <w:ind w:firstLine="640" w:firstLineChars="200"/>
        <w:rPr>
          <w:rFonts w:hint="default" w:ascii="Times New Roman" w:hAnsi="Times New Roman" w:eastAsia="仿宋_GB2312" w:cs="Times New Roman"/>
          <w:color w:val="000000"/>
          <w:sz w:val="32"/>
          <w:szCs w:val="32"/>
          <w:u w:val="none"/>
          <w:lang w:val="zh-CN"/>
        </w:rPr>
      </w:pPr>
      <w:r>
        <w:rPr>
          <w:rFonts w:hint="default" w:ascii="Times New Roman" w:hAnsi="Times New Roman" w:eastAsia="仿宋_GB2312" w:cs="Times New Roman"/>
          <w:color w:val="000000"/>
          <w:sz w:val="32"/>
          <w:szCs w:val="32"/>
          <w:u w:val="none"/>
          <w:lang w:val="zh-CN"/>
        </w:rPr>
        <w:t>十二、政府购买服务预算财政拨款明细表</w:t>
      </w:r>
    </w:p>
    <w:p>
      <w:pPr>
        <w:spacing w:line="560" w:lineRule="exact"/>
        <w:ind w:firstLine="640" w:firstLineChars="200"/>
        <w:rPr>
          <w:rFonts w:hint="default" w:ascii="Times New Roman" w:hAnsi="Times New Roman" w:eastAsia="方正小标宋简体" w:cs="Times New Roman"/>
          <w:color w:val="000000"/>
          <w:sz w:val="36"/>
          <w:szCs w:val="36"/>
          <w:u w:val="none"/>
        </w:rPr>
      </w:pPr>
      <w:r>
        <w:rPr>
          <w:rFonts w:hint="default" w:ascii="Times New Roman" w:hAnsi="Times New Roman" w:eastAsia="仿宋_GB2312" w:cs="Times New Roman"/>
          <w:color w:val="000000"/>
          <w:sz w:val="32"/>
          <w:szCs w:val="32"/>
          <w:u w:val="none"/>
          <w:lang w:val="zh-CN"/>
        </w:rPr>
        <w:t>十三、项目支出绩效目标表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000000"/>
          <w:sz w:val="36"/>
          <w:szCs w:val="36"/>
          <w:u w:val="none"/>
        </w:rPr>
      </w:pPr>
      <w:r>
        <w:rPr>
          <w:rFonts w:hint="default" w:ascii="Times New Roman" w:hAnsi="Times New Roman" w:eastAsia="方正小标宋简体" w:cs="Times New Roman"/>
          <w:color w:val="000000"/>
          <w:sz w:val="36"/>
          <w:szCs w:val="36"/>
          <w:u w:val="none"/>
        </w:rPr>
        <w:t xml:space="preserve">第一部分  </w:t>
      </w:r>
      <w:r>
        <w:rPr>
          <w:rFonts w:hint="default" w:ascii="Times New Roman" w:hAnsi="Times New Roman" w:eastAsia="方正小标宋简体" w:cs="Times New Roman"/>
          <w:color w:val="000000"/>
          <w:sz w:val="36"/>
          <w:szCs w:val="36"/>
          <w:u w:val="none"/>
          <w:lang w:eastAsia="zh-CN"/>
        </w:rPr>
        <w:t>2024年度</w:t>
      </w:r>
      <w:r>
        <w:rPr>
          <w:rFonts w:hint="default" w:ascii="Times New Roman" w:hAnsi="Times New Roman" w:eastAsia="方正小标宋简体" w:cs="Times New Roman"/>
          <w:color w:val="000000"/>
          <w:sz w:val="36"/>
          <w:szCs w:val="36"/>
          <w:u w:val="none"/>
        </w:rPr>
        <w:t>单位预算情况说明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sz w:val="32"/>
          <w:szCs w:val="32"/>
          <w:u w:val="none"/>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color w:val="000000"/>
          <w:sz w:val="32"/>
          <w:szCs w:val="32"/>
          <w:u w:val="none"/>
          <w:lang w:eastAsia="zh-CN"/>
        </w:rPr>
      </w:pPr>
      <w:r>
        <w:rPr>
          <w:rFonts w:hint="default" w:ascii="Times New Roman" w:hAnsi="Times New Roman" w:eastAsia="黑体" w:cs="Times New Roman"/>
          <w:color w:val="000000"/>
          <w:sz w:val="32"/>
          <w:szCs w:val="32"/>
          <w:u w:val="none"/>
        </w:rPr>
        <w:t>一、单位情况</w:t>
      </w:r>
      <w:r>
        <w:rPr>
          <w:rFonts w:hint="default" w:ascii="Times New Roman" w:hAnsi="Times New Roman" w:eastAsia="黑体" w:cs="Times New Roman"/>
          <w:color w:val="000000"/>
          <w:sz w:val="32"/>
          <w:szCs w:val="32"/>
          <w:u w:val="none"/>
          <w:lang w:eastAsia="zh-CN"/>
        </w:rPr>
        <w:t>说明</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楷体_GB2312" w:cs="Times New Roman"/>
          <w:color w:val="000000"/>
          <w:sz w:val="32"/>
          <w:szCs w:val="32"/>
          <w:u w:val="none"/>
        </w:rPr>
      </w:pPr>
      <w:r>
        <w:rPr>
          <w:rFonts w:hint="default" w:ascii="Times New Roman" w:hAnsi="Times New Roman" w:eastAsia="楷体_GB2312" w:cs="Times New Roman"/>
          <w:color w:val="000000"/>
          <w:sz w:val="32"/>
          <w:szCs w:val="32"/>
          <w:u w:val="none"/>
        </w:rPr>
        <w:t>（一）本单位性质、职责等情况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cs="Times New Roman"/>
        </w:rPr>
      </w:pPr>
      <w:r>
        <w:rPr>
          <w:rFonts w:hint="default" w:ascii="Times New Roman" w:hAnsi="Times New Roman" w:eastAsia="仿宋_GB2312" w:cs="Times New Roman"/>
          <w:color w:val="000000"/>
          <w:sz w:val="32"/>
          <w:szCs w:val="32"/>
        </w:rPr>
        <w:t>北京市学校思想政治工作中心</w:t>
      </w:r>
      <w:r>
        <w:rPr>
          <w:rFonts w:hint="default" w:ascii="Times New Roman" w:hAnsi="Times New Roman" w:eastAsia="仿宋_GB2312" w:cs="Times New Roman"/>
          <w:color w:val="000000"/>
          <w:sz w:val="32"/>
          <w:szCs w:val="32"/>
          <w:lang w:val="en-US" w:eastAsia="zh-CN"/>
        </w:rPr>
        <w:t>是</w:t>
      </w:r>
      <w:r>
        <w:rPr>
          <w:rFonts w:hint="default" w:ascii="Times New Roman" w:hAnsi="Times New Roman" w:eastAsia="仿宋_GB2312" w:cs="Times New Roman"/>
          <w:color w:val="000000"/>
          <w:sz w:val="32"/>
          <w:szCs w:val="32"/>
        </w:rPr>
        <w:t>市委教育工委、市教委所属</w:t>
      </w:r>
      <w:r>
        <w:rPr>
          <w:rFonts w:hint="default" w:ascii="Times New Roman" w:hAnsi="Times New Roman" w:eastAsia="仿宋_GB2312" w:cs="Times New Roman"/>
          <w:b w:val="0"/>
          <w:bCs w:val="0"/>
          <w:sz w:val="32"/>
          <w:szCs w:val="32"/>
        </w:rPr>
        <w:t>公益一类事业单位，</w:t>
      </w:r>
      <w:r>
        <w:rPr>
          <w:rFonts w:hint="default" w:ascii="Times New Roman" w:hAnsi="Times New Roman" w:eastAsia="仿宋_GB2312" w:cs="Times New Roman"/>
          <w:sz w:val="32"/>
          <w:szCs w:val="32"/>
        </w:rPr>
        <w:t>主要职责是：贯彻落实市委、市政府关于学校党的建设和思想政治工作决策部署及市委教育工委、市教委有关工作要求，坚持培育和践行社会主义核心价值观，组织开展学校党的建设和思想政治工作特别是思想政治理论课建设、意识形态工作等的理论研究、业务培训、实践探索，</w:t>
      </w:r>
      <w:r>
        <w:rPr>
          <w:rFonts w:hint="default" w:ascii="Times New Roman" w:hAnsi="Times New Roman" w:eastAsia="仿宋_GB2312" w:cs="Times New Roman"/>
          <w:sz w:val="32"/>
          <w:szCs w:val="32"/>
          <w:lang w:eastAsia="zh-CN"/>
        </w:rPr>
        <w:t>完成</w:t>
      </w:r>
      <w:r>
        <w:rPr>
          <w:rFonts w:hint="default" w:ascii="Times New Roman" w:hAnsi="Times New Roman" w:eastAsia="仿宋_GB2312" w:cs="Times New Roman"/>
          <w:sz w:val="32"/>
          <w:szCs w:val="32"/>
        </w:rPr>
        <w:t>市委教育工委、市教委交办的</w:t>
      </w:r>
      <w:r>
        <w:rPr>
          <w:rFonts w:hint="default" w:ascii="Times New Roman" w:hAnsi="Times New Roman" w:eastAsia="仿宋_GB2312" w:cs="Times New Roman"/>
          <w:sz w:val="32"/>
          <w:szCs w:val="32"/>
          <w:lang w:eastAsia="zh-CN"/>
        </w:rPr>
        <w:t>其它任务</w:t>
      </w:r>
      <w:r>
        <w:rPr>
          <w:rFonts w:hint="default" w:ascii="Times New Roman" w:hAnsi="Times New Roman" w:eastAsia="仿宋_GB2312" w:cs="Times New Roman"/>
          <w:sz w:val="32"/>
          <w:szCs w:val="32"/>
        </w:rPr>
        <w:t>，充分发挥对市委教育工委、市教委相关工作的支撑作用。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楷体_GB2312" w:cs="Times New Roman"/>
          <w:color w:val="000000"/>
          <w:sz w:val="32"/>
          <w:szCs w:val="32"/>
          <w:u w:val="none"/>
        </w:rPr>
      </w:pPr>
      <w:r>
        <w:rPr>
          <w:rFonts w:hint="default" w:ascii="Times New Roman" w:hAnsi="Times New Roman" w:eastAsia="楷体_GB2312" w:cs="Times New Roman"/>
          <w:color w:val="000000"/>
          <w:sz w:val="32"/>
          <w:szCs w:val="32"/>
          <w:u w:val="none"/>
        </w:rPr>
        <w:t>（二）机构设置情况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cs="Times New Roman"/>
        </w:rPr>
      </w:pPr>
      <w:r>
        <w:rPr>
          <w:rFonts w:hint="default" w:ascii="Times New Roman" w:hAnsi="Times New Roman" w:eastAsia="仿宋_GB2312" w:cs="Times New Roman"/>
          <w:color w:val="000000"/>
          <w:sz w:val="32"/>
          <w:szCs w:val="32"/>
        </w:rPr>
        <w:t>北京市学校思想政治工作中心</w:t>
      </w:r>
      <w:r>
        <w:rPr>
          <w:rFonts w:hint="default" w:ascii="Times New Roman" w:hAnsi="Times New Roman" w:eastAsia="仿宋_GB2312" w:cs="Times New Roman"/>
          <w:sz w:val="32"/>
          <w:szCs w:val="32"/>
          <w:lang w:val="en-US" w:eastAsia="zh-CN"/>
        </w:rPr>
        <w:t>内设综合科（审计科）、宣传科、研究科、活动科、培训科5个科室</w:t>
      </w:r>
      <w:r>
        <w:rPr>
          <w:rFonts w:hint="default" w:ascii="Times New Roman" w:hAnsi="Times New Roman" w:eastAsia="仿宋_GB2312" w:cs="Times New Roman"/>
          <w:color w:val="00000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楷体_GB2312" w:cs="Times New Roman"/>
          <w:color w:val="000000"/>
          <w:sz w:val="32"/>
          <w:szCs w:val="32"/>
          <w:u w:val="none"/>
        </w:rPr>
      </w:pPr>
      <w:r>
        <w:rPr>
          <w:rFonts w:hint="default" w:ascii="Times New Roman" w:hAnsi="Times New Roman" w:eastAsia="楷体_GB2312" w:cs="Times New Roman"/>
          <w:color w:val="000000"/>
          <w:sz w:val="32"/>
          <w:szCs w:val="32"/>
          <w:u w:val="none"/>
        </w:rPr>
        <w:t>（三）人员</w:t>
      </w:r>
      <w:r>
        <w:rPr>
          <w:rFonts w:hint="default" w:ascii="Times New Roman" w:hAnsi="Times New Roman" w:eastAsia="楷体_GB2312" w:cs="Times New Roman"/>
          <w:color w:val="000000"/>
          <w:sz w:val="32"/>
          <w:szCs w:val="32"/>
          <w:u w:val="none"/>
          <w:lang w:eastAsia="zh-CN"/>
        </w:rPr>
        <w:t>编制及实有</w:t>
      </w:r>
      <w:r>
        <w:rPr>
          <w:rFonts w:hint="default" w:ascii="Times New Roman" w:hAnsi="Times New Roman" w:eastAsia="楷体_GB2312" w:cs="Times New Roman"/>
          <w:color w:val="000000"/>
          <w:sz w:val="32"/>
          <w:szCs w:val="32"/>
          <w:u w:val="none"/>
        </w:rPr>
        <w:t>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000000"/>
          <w:sz w:val="32"/>
          <w:szCs w:val="32"/>
          <w:u w:val="none"/>
        </w:rPr>
      </w:pPr>
      <w:r>
        <w:rPr>
          <w:rFonts w:hint="default" w:ascii="Times New Roman" w:hAnsi="Times New Roman" w:eastAsia="仿宋_GB2312" w:cs="Times New Roman"/>
          <w:color w:val="000000"/>
          <w:sz w:val="32"/>
          <w:szCs w:val="32"/>
          <w:u w:val="none"/>
        </w:rPr>
        <w:t>北京市学校思想政治工作中心事业编制</w:t>
      </w:r>
      <w:r>
        <w:rPr>
          <w:rFonts w:hint="default" w:ascii="Times New Roman" w:hAnsi="Times New Roman" w:eastAsia="仿宋_GB2312" w:cs="Times New Roman"/>
          <w:color w:val="000000"/>
          <w:sz w:val="32"/>
          <w:szCs w:val="32"/>
          <w:u w:val="none"/>
          <w:lang w:val="en-US" w:eastAsia="zh-CN"/>
        </w:rPr>
        <w:t>30</w:t>
      </w:r>
      <w:r>
        <w:rPr>
          <w:rFonts w:hint="default" w:ascii="Times New Roman" w:hAnsi="Times New Roman" w:eastAsia="仿宋_GB2312" w:cs="Times New Roman"/>
          <w:color w:val="000000"/>
          <w:sz w:val="32"/>
          <w:szCs w:val="32"/>
          <w:u w:val="none"/>
        </w:rPr>
        <w:t>人，实有人数</w:t>
      </w:r>
      <w:r>
        <w:rPr>
          <w:rFonts w:hint="default" w:ascii="Times New Roman" w:hAnsi="Times New Roman" w:eastAsia="仿宋_GB2312" w:cs="Times New Roman"/>
          <w:color w:val="000000"/>
          <w:sz w:val="32"/>
          <w:szCs w:val="32"/>
          <w:u w:val="none"/>
          <w:lang w:val="en-US" w:eastAsia="zh-CN"/>
        </w:rPr>
        <w:t>14</w:t>
      </w:r>
      <w:r>
        <w:rPr>
          <w:rFonts w:hint="default" w:ascii="Times New Roman" w:hAnsi="Times New Roman" w:eastAsia="仿宋_GB2312" w:cs="Times New Roman"/>
          <w:color w:val="000000"/>
          <w:sz w:val="32"/>
          <w:szCs w:val="32"/>
          <w:u w:val="none"/>
        </w:rPr>
        <w:t>人；</w:t>
      </w:r>
      <w:r>
        <w:rPr>
          <w:rFonts w:hint="default" w:ascii="Times New Roman" w:hAnsi="Times New Roman" w:eastAsia="仿宋_GB2312" w:cs="Times New Roman"/>
          <w:color w:val="000000"/>
          <w:sz w:val="32"/>
          <w:szCs w:val="32"/>
          <w:u w:val="none"/>
          <w:lang w:val="en-US" w:eastAsia="zh-CN"/>
        </w:rPr>
        <w:t>离退休人员0人。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color w:val="000000"/>
          <w:sz w:val="32"/>
          <w:szCs w:val="32"/>
          <w:u w:val="none"/>
          <w:lang w:eastAsia="zh-CN"/>
        </w:rPr>
      </w:pPr>
      <w:r>
        <w:rPr>
          <w:rFonts w:hint="default" w:ascii="Times New Roman" w:hAnsi="Times New Roman" w:eastAsia="黑体" w:cs="Times New Roman"/>
          <w:color w:val="000000"/>
          <w:sz w:val="32"/>
          <w:szCs w:val="32"/>
          <w:u w:val="none"/>
        </w:rPr>
        <w:t>二、收入</w:t>
      </w:r>
      <w:r>
        <w:rPr>
          <w:rFonts w:hint="default" w:ascii="Times New Roman" w:hAnsi="Times New Roman" w:eastAsia="黑体" w:cs="Times New Roman"/>
          <w:color w:val="000000"/>
          <w:sz w:val="32"/>
          <w:szCs w:val="32"/>
          <w:u w:val="none"/>
          <w:lang w:eastAsia="zh-CN"/>
        </w:rPr>
        <w:t>预算</w:t>
      </w:r>
      <w:r>
        <w:rPr>
          <w:rFonts w:hint="default" w:ascii="Times New Roman" w:hAnsi="Times New Roman" w:eastAsia="黑体" w:cs="Times New Roman"/>
          <w:color w:val="000000"/>
          <w:sz w:val="32"/>
          <w:szCs w:val="32"/>
          <w:u w:val="none"/>
        </w:rPr>
        <w:t>情况</w:t>
      </w:r>
      <w:r>
        <w:rPr>
          <w:rFonts w:hint="default" w:ascii="Times New Roman" w:hAnsi="Times New Roman" w:eastAsia="黑体" w:cs="Times New Roman"/>
          <w:color w:val="000000"/>
          <w:sz w:val="32"/>
          <w:szCs w:val="32"/>
          <w:u w:val="none"/>
          <w:lang w:eastAsia="zh-CN"/>
        </w:rPr>
        <w:t>说明</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yellow"/>
          <w:u w:val="none"/>
          <w:lang w:eastAsia="zh-CN"/>
        </w:rPr>
      </w:pPr>
      <w:r>
        <w:rPr>
          <w:rFonts w:hint="default" w:ascii="Times New Roman" w:hAnsi="Times New Roman" w:eastAsia="仿宋_GB2312" w:cs="Times New Roman"/>
          <w:color w:val="auto"/>
          <w:sz w:val="32"/>
          <w:szCs w:val="32"/>
          <w:u w:val="none"/>
          <w:lang w:val="en-US" w:eastAsia="zh-CN"/>
        </w:rPr>
        <w:t>2024年度收入预算1203.92</w:t>
      </w:r>
      <w:r>
        <w:rPr>
          <w:rFonts w:hint="default" w:ascii="Times New Roman" w:hAnsi="Times New Roman" w:eastAsia="仿宋_GB2312" w:cs="Times New Roman"/>
          <w:color w:val="auto"/>
          <w:sz w:val="32"/>
          <w:szCs w:val="32"/>
          <w:u w:val="none"/>
        </w:rPr>
        <w:t>万元</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比</w:t>
      </w:r>
      <w:r>
        <w:rPr>
          <w:rFonts w:hint="default" w:ascii="Times New Roman" w:hAnsi="Times New Roman" w:eastAsia="仿宋_GB2312" w:cs="Times New Roman"/>
          <w:color w:val="auto"/>
          <w:sz w:val="32"/>
          <w:szCs w:val="32"/>
          <w:u w:val="none"/>
          <w:lang w:eastAsia="zh-CN"/>
        </w:rPr>
        <w:t>2023年年初预算数</w:t>
      </w:r>
      <w:r>
        <w:rPr>
          <w:rFonts w:hint="default" w:ascii="Times New Roman" w:hAnsi="Times New Roman" w:eastAsia="仿宋_GB2312" w:cs="Times New Roman"/>
          <w:color w:val="auto"/>
          <w:sz w:val="32"/>
          <w:szCs w:val="32"/>
          <w:u w:val="none"/>
          <w:lang w:val="en-US" w:eastAsia="zh-CN"/>
        </w:rPr>
        <w:t>1031.62</w:t>
      </w:r>
      <w:r>
        <w:rPr>
          <w:rFonts w:hint="default" w:ascii="Times New Roman" w:hAnsi="Times New Roman" w:eastAsia="仿宋_GB2312" w:cs="Times New Roman"/>
          <w:color w:val="auto"/>
          <w:sz w:val="32"/>
          <w:szCs w:val="32"/>
          <w:u w:val="none"/>
        </w:rPr>
        <w:t>万元增加</w:t>
      </w:r>
      <w:r>
        <w:rPr>
          <w:rFonts w:hint="default" w:ascii="Times New Roman" w:hAnsi="Times New Roman" w:eastAsia="仿宋_GB2312" w:cs="Times New Roman"/>
          <w:sz w:val="32"/>
          <w:szCs w:val="32"/>
        </w:rPr>
        <w:t>172.3</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color w:val="auto"/>
          <w:sz w:val="32"/>
          <w:szCs w:val="32"/>
          <w:u w:val="none"/>
        </w:rPr>
        <w:t>万元，增长</w:t>
      </w:r>
      <w:r>
        <w:rPr>
          <w:rFonts w:hint="default" w:ascii="Times New Roman" w:hAnsi="Times New Roman" w:eastAsia="仿宋_GB2312" w:cs="Times New Roman"/>
          <w:sz w:val="32"/>
          <w:szCs w:val="32"/>
        </w:rPr>
        <w:t>16.7</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auto"/>
          <w:sz w:val="32"/>
          <w:szCs w:val="32"/>
          <w:u w:val="none"/>
        </w:rPr>
        <w:t>。</w:t>
      </w:r>
      <w:r>
        <w:rPr>
          <w:rFonts w:hint="default" w:ascii="Times New Roman" w:hAnsi="Times New Roman" w:eastAsia="仿宋_GB2312" w:cs="Times New Roman"/>
          <w:color w:val="auto"/>
          <w:sz w:val="32"/>
          <w:szCs w:val="32"/>
          <w:highlight w:val="none"/>
          <w:u w:val="none"/>
          <w:lang w:eastAsia="zh-CN"/>
        </w:rPr>
        <w:t>主要原因是</w:t>
      </w:r>
      <w:r>
        <w:rPr>
          <w:rFonts w:hint="eastAsia" w:eastAsia="仿宋_GB2312" w:cs="Times New Roman"/>
          <w:color w:val="auto"/>
          <w:sz w:val="32"/>
          <w:szCs w:val="32"/>
          <w:highlight w:val="none"/>
          <w:u w:val="none"/>
          <w:lang w:eastAsia="zh-CN"/>
        </w:rPr>
        <w:t>实有人数</w:t>
      </w:r>
      <w:r>
        <w:rPr>
          <w:rFonts w:hint="default" w:ascii="Times New Roman" w:hAnsi="Times New Roman" w:eastAsia="仿宋_GB2312" w:cs="Times New Roman"/>
          <w:color w:val="auto"/>
          <w:sz w:val="32"/>
          <w:szCs w:val="32"/>
          <w:highlight w:val="none"/>
          <w:u w:val="none"/>
          <w:lang w:val="en-US" w:eastAsia="zh-CN"/>
        </w:rPr>
        <w:t>增加，</w:t>
      </w:r>
      <w:r>
        <w:rPr>
          <w:rFonts w:hint="eastAsia" w:eastAsia="仿宋_GB2312" w:cs="Times New Roman"/>
          <w:color w:val="auto"/>
          <w:sz w:val="32"/>
          <w:szCs w:val="32"/>
          <w:highlight w:val="none"/>
          <w:u w:val="none"/>
          <w:lang w:val="en-US" w:eastAsia="zh-CN"/>
        </w:rPr>
        <w:t>相应</w:t>
      </w:r>
      <w:r>
        <w:rPr>
          <w:rFonts w:hint="default" w:ascii="Times New Roman" w:hAnsi="Times New Roman" w:eastAsia="仿宋_GB2312" w:cs="Times New Roman"/>
          <w:color w:val="auto"/>
          <w:sz w:val="32"/>
          <w:szCs w:val="32"/>
          <w:highlight w:val="none"/>
          <w:u w:val="none"/>
          <w:lang w:val="en-US" w:eastAsia="zh-CN"/>
        </w:rPr>
        <w:t>经费有所增加</w:t>
      </w:r>
      <w:r>
        <w:rPr>
          <w:rFonts w:hint="default" w:ascii="Times New Roman" w:hAnsi="Times New Roman" w:eastAsia="仿宋_GB2312" w:cs="Times New Roman"/>
          <w:color w:val="auto"/>
          <w:sz w:val="32"/>
          <w:szCs w:val="32"/>
          <w:highlight w:val="none"/>
          <w:u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楷体_GB2312" w:cs="Times New Roman"/>
          <w:color w:val="auto"/>
          <w:sz w:val="32"/>
          <w:szCs w:val="32"/>
          <w:u w:val="none"/>
          <w:lang w:eastAsia="zh-CN"/>
        </w:rPr>
      </w:pPr>
      <w:r>
        <w:rPr>
          <w:rFonts w:hint="default" w:ascii="Times New Roman" w:hAnsi="Times New Roman" w:eastAsia="楷体_GB2312" w:cs="Times New Roman"/>
          <w:color w:val="auto"/>
          <w:sz w:val="32"/>
          <w:szCs w:val="32"/>
          <w:u w:val="none"/>
        </w:rPr>
        <w:t>（一）</w:t>
      </w:r>
      <w:r>
        <w:rPr>
          <w:rFonts w:hint="default" w:ascii="Times New Roman" w:hAnsi="Times New Roman" w:eastAsia="楷体_GB2312" w:cs="Times New Roman"/>
          <w:color w:val="auto"/>
          <w:sz w:val="32"/>
          <w:szCs w:val="32"/>
          <w:u w:val="none"/>
          <w:lang w:eastAsia="zh-CN"/>
        </w:rPr>
        <w:t>本年财政拨款收入</w:t>
      </w:r>
      <w:r>
        <w:rPr>
          <w:rFonts w:hint="default" w:ascii="Times New Roman" w:hAnsi="Times New Roman" w:eastAsia="楷体_GB2312" w:cs="Times New Roman"/>
          <w:color w:val="auto"/>
          <w:sz w:val="32"/>
          <w:szCs w:val="32"/>
          <w:u w:val="none"/>
          <w:lang w:val="en-US" w:eastAsia="zh-CN"/>
        </w:rPr>
        <w:t>1203.92</w:t>
      </w:r>
      <w:r>
        <w:rPr>
          <w:rFonts w:hint="default" w:ascii="Times New Roman" w:hAnsi="Times New Roman" w:eastAsia="楷体_GB2312" w:cs="Times New Roman"/>
          <w:color w:val="auto"/>
          <w:sz w:val="32"/>
          <w:szCs w:val="32"/>
          <w:u w:val="none"/>
          <w:lang w:eastAsia="zh-CN"/>
        </w:rPr>
        <w:t>万元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lang w:val="en-US" w:eastAsia="zh-CN"/>
        </w:rPr>
        <w:t>1.</w:t>
      </w:r>
      <w:r>
        <w:rPr>
          <w:rFonts w:hint="default" w:ascii="Times New Roman" w:hAnsi="Times New Roman" w:eastAsia="仿宋_GB2312" w:cs="Times New Roman"/>
          <w:color w:val="auto"/>
          <w:sz w:val="32"/>
          <w:szCs w:val="32"/>
          <w:u w:val="none"/>
          <w:lang w:eastAsia="zh-CN"/>
        </w:rPr>
        <w:t>一般公共预算拨款收入</w:t>
      </w:r>
      <w:r>
        <w:rPr>
          <w:rFonts w:hint="default" w:ascii="Times New Roman" w:hAnsi="Times New Roman" w:eastAsia="仿宋_GB2312" w:cs="Times New Roman"/>
          <w:color w:val="auto"/>
          <w:sz w:val="32"/>
          <w:szCs w:val="32"/>
          <w:u w:val="none"/>
          <w:lang w:val="en-US" w:eastAsia="zh-CN"/>
        </w:rPr>
        <w:t>1203.92</w:t>
      </w:r>
      <w:r>
        <w:rPr>
          <w:rFonts w:hint="default" w:ascii="Times New Roman" w:hAnsi="Times New Roman" w:eastAsia="仿宋_GB2312" w:cs="Times New Roman"/>
          <w:color w:val="auto"/>
          <w:sz w:val="32"/>
          <w:szCs w:val="32"/>
          <w:u w:val="none"/>
        </w:rPr>
        <w:t>万元。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lang w:val="en-US" w:eastAsia="zh-CN"/>
        </w:rPr>
        <w:t>2.政府性基金</w:t>
      </w:r>
      <w:r>
        <w:rPr>
          <w:rFonts w:hint="default" w:ascii="Times New Roman" w:hAnsi="Times New Roman" w:eastAsia="仿宋_GB2312" w:cs="Times New Roman"/>
          <w:color w:val="auto"/>
          <w:sz w:val="32"/>
          <w:szCs w:val="32"/>
          <w:u w:val="none"/>
          <w:lang w:eastAsia="zh-CN"/>
        </w:rPr>
        <w:t>预算拨款收入</w:t>
      </w:r>
      <w:r>
        <w:rPr>
          <w:rFonts w:hint="default" w:ascii="Times New Roman" w:hAnsi="Times New Roman" w:eastAsia="仿宋_GB2312" w:cs="Times New Roman"/>
          <w:color w:val="auto"/>
          <w:sz w:val="32"/>
          <w:szCs w:val="32"/>
          <w:u w:val="none"/>
          <w:lang w:val="en-US" w:eastAsia="zh-CN"/>
        </w:rPr>
        <w:t>0</w:t>
      </w:r>
      <w:r>
        <w:rPr>
          <w:rFonts w:hint="default" w:ascii="Times New Roman" w:hAnsi="Times New Roman" w:eastAsia="仿宋_GB2312" w:cs="Times New Roman"/>
          <w:color w:val="auto"/>
          <w:sz w:val="32"/>
          <w:szCs w:val="32"/>
          <w:u w:val="none"/>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lang w:val="en-US" w:eastAsia="zh-CN"/>
        </w:rPr>
        <w:t>3.国有资本经营</w:t>
      </w:r>
      <w:r>
        <w:rPr>
          <w:rFonts w:hint="default" w:ascii="Times New Roman" w:hAnsi="Times New Roman" w:eastAsia="仿宋_GB2312" w:cs="Times New Roman"/>
          <w:color w:val="auto"/>
          <w:sz w:val="32"/>
          <w:szCs w:val="32"/>
          <w:u w:val="none"/>
          <w:lang w:eastAsia="zh-CN"/>
        </w:rPr>
        <w:t>预算拨款收入</w:t>
      </w:r>
      <w:r>
        <w:rPr>
          <w:rFonts w:hint="default" w:ascii="Times New Roman" w:hAnsi="Times New Roman" w:eastAsia="仿宋_GB2312" w:cs="Times New Roman"/>
          <w:color w:val="auto"/>
          <w:sz w:val="32"/>
          <w:szCs w:val="32"/>
          <w:u w:val="none"/>
          <w:lang w:val="en-US" w:eastAsia="zh-CN"/>
        </w:rPr>
        <w:t>0</w:t>
      </w:r>
      <w:r>
        <w:rPr>
          <w:rFonts w:hint="default" w:ascii="Times New Roman" w:hAnsi="Times New Roman" w:eastAsia="仿宋_GB2312" w:cs="Times New Roman"/>
          <w:color w:val="auto"/>
          <w:sz w:val="32"/>
          <w:szCs w:val="32"/>
          <w:u w:val="none"/>
        </w:rPr>
        <w:t>万元。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楷体_GB2312" w:cs="Times New Roman"/>
          <w:color w:val="auto"/>
          <w:sz w:val="32"/>
          <w:szCs w:val="32"/>
          <w:u w:val="none"/>
          <w:lang w:eastAsia="zh-CN"/>
        </w:rPr>
      </w:pPr>
      <w:r>
        <w:rPr>
          <w:rFonts w:hint="default" w:ascii="Times New Roman" w:hAnsi="Times New Roman" w:eastAsia="楷体_GB2312" w:cs="Times New Roman"/>
          <w:color w:val="auto"/>
          <w:sz w:val="32"/>
          <w:szCs w:val="32"/>
          <w:u w:val="none"/>
        </w:rPr>
        <w:t>（</w:t>
      </w:r>
      <w:r>
        <w:rPr>
          <w:rFonts w:hint="default" w:ascii="Times New Roman" w:hAnsi="Times New Roman" w:eastAsia="楷体_GB2312" w:cs="Times New Roman"/>
          <w:color w:val="auto"/>
          <w:sz w:val="32"/>
          <w:szCs w:val="32"/>
          <w:u w:val="none"/>
          <w:lang w:eastAsia="zh-CN"/>
        </w:rPr>
        <w:t>二</w:t>
      </w:r>
      <w:r>
        <w:rPr>
          <w:rFonts w:hint="default" w:ascii="Times New Roman" w:hAnsi="Times New Roman" w:eastAsia="楷体_GB2312" w:cs="Times New Roman"/>
          <w:color w:val="auto"/>
          <w:sz w:val="32"/>
          <w:szCs w:val="32"/>
          <w:u w:val="none"/>
        </w:rPr>
        <w:t>）</w:t>
      </w:r>
      <w:r>
        <w:rPr>
          <w:rFonts w:hint="default" w:ascii="Times New Roman" w:hAnsi="Times New Roman" w:eastAsia="楷体_GB2312" w:cs="Times New Roman"/>
          <w:color w:val="auto"/>
          <w:sz w:val="32"/>
          <w:szCs w:val="32"/>
          <w:u w:val="none"/>
          <w:lang w:eastAsia="zh-CN"/>
        </w:rPr>
        <w:t>本年其他资金收入</w:t>
      </w:r>
      <w:r>
        <w:rPr>
          <w:rFonts w:hint="default" w:ascii="Times New Roman" w:hAnsi="Times New Roman" w:eastAsia="楷体_GB2312" w:cs="Times New Roman"/>
          <w:color w:val="auto"/>
          <w:sz w:val="32"/>
          <w:szCs w:val="32"/>
          <w:u w:val="none"/>
          <w:lang w:val="en-US" w:eastAsia="zh-CN"/>
        </w:rPr>
        <w:t>0</w:t>
      </w:r>
      <w:r>
        <w:rPr>
          <w:rFonts w:hint="default" w:ascii="Times New Roman" w:hAnsi="Times New Roman" w:eastAsia="楷体_GB2312" w:cs="Times New Roman"/>
          <w:color w:val="auto"/>
          <w:sz w:val="32"/>
          <w:szCs w:val="32"/>
          <w:u w:val="none"/>
          <w:lang w:eastAsia="zh-CN"/>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仿宋_GB2312" w:cs="Times New Roman"/>
          <w:color w:val="auto"/>
          <w:sz w:val="32"/>
          <w:szCs w:val="32"/>
          <w:u w:val="none"/>
          <w:lang w:val="en-US" w:eastAsia="zh-CN"/>
        </w:rPr>
        <w:t>4.财政专户管理资金收入0</w:t>
      </w:r>
      <w:r>
        <w:rPr>
          <w:rFonts w:hint="default" w:ascii="Times New Roman" w:hAnsi="Times New Roman" w:eastAsia="仿宋_GB2312" w:cs="Times New Roman"/>
          <w:color w:val="auto"/>
          <w:sz w:val="32"/>
          <w:szCs w:val="32"/>
          <w:u w:val="none"/>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仿宋_GB2312" w:cs="Times New Roman"/>
          <w:color w:val="auto"/>
          <w:sz w:val="32"/>
          <w:szCs w:val="32"/>
          <w:u w:val="none"/>
          <w:lang w:val="en-US" w:eastAsia="zh-CN"/>
        </w:rPr>
        <w:t>5.事业收入0</w:t>
      </w:r>
      <w:r>
        <w:rPr>
          <w:rFonts w:hint="default" w:ascii="Times New Roman" w:hAnsi="Times New Roman" w:eastAsia="仿宋_GB2312" w:cs="Times New Roman"/>
          <w:color w:val="auto"/>
          <w:sz w:val="32"/>
          <w:szCs w:val="32"/>
          <w:u w:val="none"/>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仿宋_GB2312" w:cs="Times New Roman"/>
          <w:color w:val="auto"/>
          <w:sz w:val="32"/>
          <w:szCs w:val="32"/>
          <w:u w:val="none"/>
          <w:lang w:val="en-US" w:eastAsia="zh-CN"/>
        </w:rPr>
        <w:t>6.上级补助收入0</w:t>
      </w:r>
      <w:r>
        <w:rPr>
          <w:rFonts w:hint="default" w:ascii="Times New Roman" w:hAnsi="Times New Roman" w:eastAsia="仿宋_GB2312" w:cs="Times New Roman"/>
          <w:color w:val="auto"/>
          <w:sz w:val="32"/>
          <w:szCs w:val="32"/>
          <w:u w:val="none"/>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仿宋_GB2312" w:cs="Times New Roman"/>
          <w:color w:val="auto"/>
          <w:sz w:val="32"/>
          <w:szCs w:val="32"/>
          <w:u w:val="none"/>
          <w:lang w:val="en-US" w:eastAsia="zh-CN"/>
        </w:rPr>
        <w:t>7.附属单位上缴收入0</w:t>
      </w:r>
      <w:r>
        <w:rPr>
          <w:rFonts w:hint="default" w:ascii="Times New Roman" w:hAnsi="Times New Roman" w:eastAsia="仿宋_GB2312" w:cs="Times New Roman"/>
          <w:color w:val="auto"/>
          <w:sz w:val="32"/>
          <w:szCs w:val="32"/>
          <w:u w:val="none"/>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仿宋_GB2312" w:cs="Times New Roman"/>
          <w:color w:val="auto"/>
          <w:sz w:val="32"/>
          <w:szCs w:val="32"/>
          <w:u w:val="none"/>
          <w:lang w:val="en-US" w:eastAsia="zh-CN"/>
        </w:rPr>
        <w:t>8.事业单位经营收入0</w:t>
      </w:r>
      <w:r>
        <w:rPr>
          <w:rFonts w:hint="default" w:ascii="Times New Roman" w:hAnsi="Times New Roman" w:eastAsia="仿宋_GB2312" w:cs="Times New Roman"/>
          <w:color w:val="auto"/>
          <w:sz w:val="32"/>
          <w:szCs w:val="32"/>
          <w:u w:val="none"/>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lang w:val="en-US" w:eastAsia="zh-CN"/>
        </w:rPr>
        <w:t>9.其他收入0</w:t>
      </w:r>
      <w:r>
        <w:rPr>
          <w:rFonts w:hint="default" w:ascii="Times New Roman" w:hAnsi="Times New Roman" w:eastAsia="仿宋_GB2312" w:cs="Times New Roman"/>
          <w:color w:val="auto"/>
          <w:sz w:val="32"/>
          <w:szCs w:val="32"/>
          <w:u w:val="none"/>
        </w:rPr>
        <w:t>万元。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楷体_GB2312" w:cs="Times New Roman"/>
          <w:color w:val="auto"/>
          <w:sz w:val="32"/>
          <w:szCs w:val="32"/>
          <w:u w:val="none"/>
          <w:lang w:eastAsia="zh-CN"/>
        </w:rPr>
      </w:pPr>
      <w:r>
        <w:rPr>
          <w:rFonts w:hint="default" w:ascii="Times New Roman" w:hAnsi="Times New Roman" w:eastAsia="楷体_GB2312" w:cs="Times New Roman"/>
          <w:color w:val="auto"/>
          <w:sz w:val="32"/>
          <w:szCs w:val="32"/>
          <w:u w:val="none"/>
        </w:rPr>
        <w:t>（</w:t>
      </w:r>
      <w:r>
        <w:rPr>
          <w:rFonts w:hint="default" w:ascii="Times New Roman" w:hAnsi="Times New Roman" w:eastAsia="楷体_GB2312" w:cs="Times New Roman"/>
          <w:color w:val="auto"/>
          <w:sz w:val="32"/>
          <w:szCs w:val="32"/>
          <w:u w:val="none"/>
          <w:lang w:eastAsia="zh-CN"/>
        </w:rPr>
        <w:t>三</w:t>
      </w:r>
      <w:r>
        <w:rPr>
          <w:rFonts w:hint="default" w:ascii="Times New Roman" w:hAnsi="Times New Roman" w:eastAsia="楷体_GB2312" w:cs="Times New Roman"/>
          <w:color w:val="auto"/>
          <w:sz w:val="32"/>
          <w:szCs w:val="32"/>
          <w:u w:val="none"/>
        </w:rPr>
        <w:t>）</w:t>
      </w:r>
      <w:r>
        <w:rPr>
          <w:rFonts w:hint="default" w:ascii="Times New Roman" w:hAnsi="Times New Roman" w:eastAsia="楷体_GB2312" w:cs="Times New Roman"/>
          <w:color w:val="auto"/>
          <w:sz w:val="32"/>
          <w:szCs w:val="32"/>
          <w:u w:val="none"/>
          <w:lang w:eastAsia="zh-CN"/>
        </w:rPr>
        <w:t>上年结转结余</w:t>
      </w:r>
      <w:r>
        <w:rPr>
          <w:rFonts w:hint="default" w:ascii="Times New Roman" w:hAnsi="Times New Roman" w:eastAsia="楷体_GB2312" w:cs="Times New Roman"/>
          <w:color w:val="auto"/>
          <w:sz w:val="32"/>
          <w:szCs w:val="32"/>
          <w:u w:val="none"/>
          <w:lang w:val="en-US" w:eastAsia="zh-CN"/>
        </w:rPr>
        <w:t>0</w:t>
      </w:r>
      <w:r>
        <w:rPr>
          <w:rFonts w:hint="default" w:ascii="Times New Roman" w:hAnsi="Times New Roman" w:eastAsia="楷体_GB2312" w:cs="Times New Roman"/>
          <w:color w:val="auto"/>
          <w:sz w:val="32"/>
          <w:szCs w:val="32"/>
          <w:u w:val="none"/>
          <w:lang w:eastAsia="zh-CN"/>
        </w:rPr>
        <w:t>万元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lang w:val="en-US" w:eastAsia="zh-CN"/>
        </w:rPr>
        <w:t>10.上年结转结余0</w:t>
      </w:r>
      <w:r>
        <w:rPr>
          <w:rFonts w:hint="default" w:ascii="Times New Roman" w:hAnsi="Times New Roman" w:eastAsia="仿宋_GB2312" w:cs="Times New Roman"/>
          <w:color w:val="auto"/>
          <w:sz w:val="32"/>
          <w:szCs w:val="32"/>
          <w:u w:val="none"/>
        </w:rPr>
        <w:t>万元。</w:t>
      </w:r>
    </w:p>
    <w:p>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textAlignment w:val="auto"/>
        <w:rPr>
          <w:rFonts w:hint="default" w:ascii="Times New Roman" w:hAnsi="Times New Roman" w:cs="Times New Roman"/>
        </w:rPr>
      </w:pPr>
    </w:p>
    <w:p>
      <w:pPr>
        <w:pStyle w:val="6"/>
        <w:ind w:left="2520" w:leftChars="400" w:hanging="1680" w:hangingChars="800"/>
        <w:jc w:val="center"/>
        <w:rPr>
          <w:rFonts w:hint="default" w:ascii="Times New Roman" w:hAnsi="Times New Roman" w:cs="Times New Roman"/>
        </w:rPr>
      </w:pPr>
      <w:r>
        <w:rPr>
          <w:rFonts w:hint="default" w:ascii="Times New Roman" w:hAnsi="Times New Roman" w:cs="Times New Roman"/>
        </w:rPr>
        <w:drawing>
          <wp:inline distT="0" distB="0" distL="114300" distR="114300">
            <wp:extent cx="4543425" cy="2649855"/>
            <wp:effectExtent l="4445" t="4445" r="5080" b="12700"/>
            <wp:docPr id="4"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2"/>
        <w:ind w:firstLine="0"/>
        <w:jc w:val="center"/>
        <w:rPr>
          <w:rFonts w:hint="default" w:ascii="Times New Roman" w:hAnsi="Times New Roman" w:eastAsia="仿宋_GB2312" w:cs="Times New Roman"/>
          <w:b w:val="0"/>
          <w:bCs w:val="0"/>
          <w:color w:val="auto"/>
          <w:sz w:val="32"/>
          <w:szCs w:val="32"/>
          <w:u w:val="none"/>
          <w:lang w:val="en-US" w:eastAsia="zh-CN"/>
        </w:rPr>
      </w:pPr>
      <w:r>
        <w:rPr>
          <w:rFonts w:hint="default" w:ascii="Times New Roman" w:hAnsi="Times New Roman" w:eastAsia="仿宋_GB2312" w:cs="Times New Roman"/>
          <w:color w:val="auto"/>
          <w:sz w:val="32"/>
          <w:szCs w:val="32"/>
          <w:u w:val="none"/>
          <w:lang w:val="en-US" w:eastAsia="zh-CN"/>
        </w:rPr>
        <w:t>图1：收入预算</w:t>
      </w:r>
    </w:p>
    <w:p>
      <w:pPr>
        <w:pStyle w:val="6"/>
        <w:ind w:left="2520" w:leftChars="400" w:hanging="1680" w:hangingChars="800"/>
        <w:jc w:val="center"/>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color w:val="auto"/>
          <w:sz w:val="32"/>
          <w:szCs w:val="32"/>
          <w:u w:val="none"/>
        </w:rPr>
      </w:pPr>
      <w:r>
        <w:rPr>
          <w:rFonts w:hint="default" w:ascii="Times New Roman" w:hAnsi="Times New Roman" w:eastAsia="黑体" w:cs="Times New Roman"/>
          <w:color w:val="auto"/>
          <w:sz w:val="32"/>
          <w:szCs w:val="32"/>
          <w:u w:val="none"/>
          <w:lang w:eastAsia="zh-CN"/>
        </w:rPr>
        <w:t>三、</w:t>
      </w:r>
      <w:r>
        <w:rPr>
          <w:rFonts w:hint="default" w:ascii="Times New Roman" w:hAnsi="Times New Roman" w:eastAsia="黑体" w:cs="Times New Roman"/>
          <w:color w:val="auto"/>
          <w:sz w:val="32"/>
          <w:szCs w:val="32"/>
          <w:u w:val="none"/>
        </w:rPr>
        <w:t>支出</w:t>
      </w:r>
      <w:r>
        <w:rPr>
          <w:rFonts w:hint="default" w:ascii="Times New Roman" w:hAnsi="Times New Roman" w:eastAsia="黑体" w:cs="Times New Roman"/>
          <w:color w:val="auto"/>
          <w:sz w:val="32"/>
          <w:szCs w:val="32"/>
          <w:u w:val="none"/>
          <w:lang w:eastAsia="zh-CN"/>
        </w:rPr>
        <w:t>预算</w:t>
      </w:r>
      <w:r>
        <w:rPr>
          <w:rFonts w:hint="default" w:ascii="Times New Roman" w:hAnsi="Times New Roman" w:eastAsia="黑体" w:cs="Times New Roman"/>
          <w:color w:val="auto"/>
          <w:sz w:val="32"/>
          <w:szCs w:val="32"/>
          <w:u w:val="none"/>
        </w:rPr>
        <w:t>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lang w:eastAsia="zh-CN"/>
        </w:rPr>
        <w:t>2024年</w:t>
      </w:r>
      <w:r>
        <w:rPr>
          <w:rFonts w:hint="default" w:ascii="Times New Roman" w:hAnsi="Times New Roman" w:eastAsia="仿宋_GB2312" w:cs="Times New Roman"/>
          <w:color w:val="auto"/>
          <w:sz w:val="32"/>
          <w:szCs w:val="32"/>
          <w:u w:val="none"/>
        </w:rPr>
        <w:t>支出预算</w:t>
      </w:r>
      <w:r>
        <w:rPr>
          <w:rFonts w:hint="default" w:ascii="Times New Roman" w:hAnsi="Times New Roman" w:eastAsia="仿宋_GB2312" w:cs="Times New Roman"/>
          <w:color w:val="auto"/>
          <w:sz w:val="32"/>
          <w:szCs w:val="32"/>
          <w:u w:val="none"/>
          <w:lang w:val="en-US" w:eastAsia="zh-CN"/>
        </w:rPr>
        <w:t>1203.92</w:t>
      </w:r>
      <w:r>
        <w:rPr>
          <w:rFonts w:hint="default" w:ascii="Times New Roman" w:hAnsi="Times New Roman" w:eastAsia="仿宋_GB2312" w:cs="Times New Roman"/>
          <w:color w:val="auto"/>
          <w:sz w:val="32"/>
          <w:szCs w:val="32"/>
          <w:u w:val="none"/>
        </w:rPr>
        <w:t>万元，比</w:t>
      </w:r>
      <w:r>
        <w:rPr>
          <w:rFonts w:hint="default" w:ascii="Times New Roman" w:hAnsi="Times New Roman" w:eastAsia="仿宋_GB2312" w:cs="Times New Roman"/>
          <w:color w:val="auto"/>
          <w:sz w:val="32"/>
          <w:szCs w:val="32"/>
          <w:u w:val="none"/>
          <w:lang w:eastAsia="zh-CN"/>
        </w:rPr>
        <w:t>2023年年初预算数</w:t>
      </w:r>
      <w:r>
        <w:rPr>
          <w:rFonts w:hint="default" w:ascii="Times New Roman" w:hAnsi="Times New Roman" w:eastAsia="仿宋_GB2312" w:cs="Times New Roman"/>
          <w:color w:val="auto"/>
          <w:sz w:val="32"/>
          <w:szCs w:val="32"/>
          <w:u w:val="none"/>
          <w:lang w:val="en-US" w:eastAsia="zh-CN"/>
        </w:rPr>
        <w:t>1031.62</w:t>
      </w:r>
      <w:r>
        <w:rPr>
          <w:rFonts w:hint="default" w:ascii="Times New Roman" w:hAnsi="Times New Roman" w:eastAsia="仿宋_GB2312" w:cs="Times New Roman"/>
          <w:color w:val="auto"/>
          <w:sz w:val="32"/>
          <w:szCs w:val="32"/>
          <w:u w:val="none"/>
        </w:rPr>
        <w:t>万元增加</w:t>
      </w:r>
      <w:r>
        <w:rPr>
          <w:rFonts w:hint="default" w:ascii="Times New Roman" w:hAnsi="Times New Roman" w:eastAsia="仿宋_GB2312" w:cs="Times New Roman"/>
          <w:sz w:val="32"/>
          <w:szCs w:val="32"/>
        </w:rPr>
        <w:t>172.3</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color w:val="auto"/>
          <w:sz w:val="32"/>
          <w:szCs w:val="32"/>
          <w:u w:val="none"/>
        </w:rPr>
        <w:t>万元，增长</w:t>
      </w:r>
      <w:r>
        <w:rPr>
          <w:rFonts w:hint="default" w:ascii="Times New Roman" w:hAnsi="Times New Roman" w:eastAsia="仿宋_GB2312" w:cs="Times New Roman"/>
          <w:sz w:val="32"/>
          <w:szCs w:val="32"/>
        </w:rPr>
        <w:t>16.7</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auto"/>
          <w:sz w:val="32"/>
          <w:szCs w:val="32"/>
          <w:u w:val="none"/>
        </w:rPr>
        <w:t>。</w:t>
      </w:r>
      <w:r>
        <w:rPr>
          <w:rFonts w:hint="default" w:ascii="Times New Roman" w:hAnsi="Times New Roman" w:eastAsia="仿宋_GB2312" w:cs="Times New Roman"/>
          <w:color w:val="auto"/>
          <w:sz w:val="32"/>
          <w:szCs w:val="32"/>
          <w:highlight w:val="none"/>
          <w:u w:val="none"/>
          <w:lang w:eastAsia="zh-CN"/>
        </w:rPr>
        <w:t>主要原因是</w:t>
      </w:r>
      <w:r>
        <w:rPr>
          <w:rFonts w:hint="eastAsia" w:eastAsia="仿宋_GB2312" w:cs="Times New Roman"/>
          <w:color w:val="auto"/>
          <w:sz w:val="32"/>
          <w:szCs w:val="32"/>
          <w:highlight w:val="none"/>
          <w:u w:val="none"/>
          <w:lang w:eastAsia="zh-CN"/>
        </w:rPr>
        <w:t>实有人数</w:t>
      </w:r>
      <w:r>
        <w:rPr>
          <w:rFonts w:hint="default" w:ascii="Times New Roman" w:hAnsi="Times New Roman" w:eastAsia="仿宋_GB2312" w:cs="Times New Roman"/>
          <w:color w:val="auto"/>
          <w:sz w:val="32"/>
          <w:szCs w:val="32"/>
          <w:highlight w:val="none"/>
          <w:u w:val="none"/>
          <w:lang w:val="en-US" w:eastAsia="zh-CN"/>
        </w:rPr>
        <w:t>增加，</w:t>
      </w:r>
      <w:r>
        <w:rPr>
          <w:rFonts w:hint="eastAsia" w:eastAsia="仿宋_GB2312" w:cs="Times New Roman"/>
          <w:color w:val="auto"/>
          <w:sz w:val="32"/>
          <w:szCs w:val="32"/>
          <w:highlight w:val="none"/>
          <w:u w:val="none"/>
          <w:lang w:val="en-US" w:eastAsia="zh-CN"/>
        </w:rPr>
        <w:t>相应</w:t>
      </w:r>
      <w:r>
        <w:rPr>
          <w:rFonts w:hint="default" w:ascii="Times New Roman" w:hAnsi="Times New Roman" w:eastAsia="仿宋_GB2312" w:cs="Times New Roman"/>
          <w:color w:val="auto"/>
          <w:sz w:val="32"/>
          <w:szCs w:val="32"/>
          <w:highlight w:val="none"/>
          <w:u w:val="none"/>
          <w:lang w:val="en-US" w:eastAsia="zh-CN"/>
        </w:rPr>
        <w:t>经费有所增加</w:t>
      </w:r>
      <w:r>
        <w:rPr>
          <w:rFonts w:hint="default" w:ascii="Times New Roman" w:hAnsi="Times New Roman" w:eastAsia="仿宋_GB2312" w:cs="Times New Roman"/>
          <w:color w:val="auto"/>
          <w:sz w:val="32"/>
          <w:szCs w:val="32"/>
          <w:highlight w:val="none"/>
          <w:u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楷体_GB2312" w:cs="Times New Roman"/>
          <w:color w:val="auto"/>
          <w:sz w:val="32"/>
          <w:szCs w:val="32"/>
          <w:highlight w:val="none"/>
          <w:u w:val="none"/>
          <w:lang w:val="en-US" w:eastAsia="zh-CN"/>
        </w:rPr>
        <w:t>（一）</w:t>
      </w:r>
      <w:r>
        <w:rPr>
          <w:rFonts w:hint="default" w:ascii="Times New Roman" w:hAnsi="Times New Roman" w:eastAsia="楷体_GB2312" w:cs="Times New Roman"/>
          <w:color w:val="auto"/>
          <w:sz w:val="32"/>
          <w:szCs w:val="32"/>
          <w:highlight w:val="none"/>
          <w:u w:val="none"/>
        </w:rPr>
        <w:t>基本</w:t>
      </w:r>
      <w:r>
        <w:rPr>
          <w:rFonts w:hint="default" w:ascii="Times New Roman" w:hAnsi="Times New Roman" w:eastAsia="楷体_GB2312" w:cs="Times New Roman"/>
          <w:color w:val="auto"/>
          <w:sz w:val="32"/>
          <w:szCs w:val="32"/>
          <w:highlight w:val="none"/>
          <w:u w:val="none"/>
          <w:lang w:eastAsia="zh-CN"/>
        </w:rPr>
        <w:t>支出。</w:t>
      </w:r>
      <w:r>
        <w:rPr>
          <w:rFonts w:hint="default" w:ascii="Times New Roman" w:hAnsi="Times New Roman" w:eastAsia="仿宋_GB2312" w:cs="Times New Roman"/>
          <w:color w:val="auto"/>
          <w:sz w:val="32"/>
          <w:szCs w:val="32"/>
          <w:highlight w:val="none"/>
          <w:u w:val="none"/>
          <w:lang w:eastAsia="zh-CN"/>
        </w:rPr>
        <w:t>基本</w:t>
      </w:r>
      <w:r>
        <w:rPr>
          <w:rFonts w:hint="default" w:ascii="Times New Roman" w:hAnsi="Times New Roman" w:eastAsia="仿宋_GB2312" w:cs="Times New Roman"/>
          <w:color w:val="auto"/>
          <w:sz w:val="32"/>
          <w:szCs w:val="32"/>
          <w:highlight w:val="none"/>
          <w:u w:val="none"/>
        </w:rPr>
        <w:t>支出预算</w:t>
      </w:r>
      <w:r>
        <w:rPr>
          <w:rFonts w:hint="default" w:ascii="Times New Roman" w:hAnsi="Times New Roman" w:eastAsia="仿宋_GB2312" w:cs="Times New Roman"/>
          <w:color w:val="auto"/>
          <w:sz w:val="32"/>
          <w:szCs w:val="32"/>
          <w:highlight w:val="none"/>
          <w:u w:val="none"/>
          <w:lang w:val="en-US" w:eastAsia="zh-CN"/>
        </w:rPr>
        <w:t>719.00</w:t>
      </w:r>
      <w:r>
        <w:rPr>
          <w:rFonts w:hint="default" w:ascii="Times New Roman" w:hAnsi="Times New Roman" w:eastAsia="仿宋_GB2312" w:cs="Times New Roman"/>
          <w:color w:val="auto"/>
          <w:sz w:val="32"/>
          <w:szCs w:val="32"/>
          <w:highlight w:val="none"/>
          <w:u w:val="none"/>
        </w:rPr>
        <w:t>万元，占总支出预算</w:t>
      </w:r>
      <w:r>
        <w:rPr>
          <w:rFonts w:hint="default" w:ascii="Times New Roman" w:hAnsi="Times New Roman" w:eastAsia="仿宋_GB2312" w:cs="Times New Roman"/>
          <w:sz w:val="32"/>
          <w:szCs w:val="32"/>
        </w:rPr>
        <w:t>59</w:t>
      </w:r>
      <w:r>
        <w:rPr>
          <w:rFonts w:hint="default" w:ascii="Times New Roman" w:hAnsi="Times New Roman" w:eastAsia="仿宋_GB2312" w:cs="Times New Roman"/>
          <w:sz w:val="32"/>
          <w:szCs w:val="32"/>
          <w:lang w:eastAsia="zh-Hans"/>
        </w:rPr>
        <w:t>.72</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auto"/>
          <w:sz w:val="32"/>
          <w:szCs w:val="32"/>
          <w:u w:val="none"/>
        </w:rPr>
        <w:t>，比</w:t>
      </w:r>
      <w:r>
        <w:rPr>
          <w:rFonts w:hint="default" w:ascii="Times New Roman" w:hAnsi="Times New Roman" w:eastAsia="仿宋_GB2312" w:cs="Times New Roman"/>
          <w:color w:val="auto"/>
          <w:sz w:val="32"/>
          <w:szCs w:val="32"/>
          <w:u w:val="none"/>
          <w:lang w:eastAsia="zh-CN"/>
        </w:rPr>
        <w:t>2023年年初预算数</w:t>
      </w:r>
      <w:r>
        <w:rPr>
          <w:rFonts w:hint="default" w:ascii="Times New Roman" w:hAnsi="Times New Roman" w:eastAsia="仿宋_GB2312" w:cs="Times New Roman"/>
          <w:color w:val="auto"/>
          <w:sz w:val="32"/>
          <w:szCs w:val="32"/>
          <w:lang w:val="en-US" w:eastAsia="zh-CN"/>
        </w:rPr>
        <w:t>525.80</w:t>
      </w:r>
      <w:r>
        <w:rPr>
          <w:rFonts w:hint="default" w:ascii="Times New Roman" w:hAnsi="Times New Roman" w:eastAsia="仿宋_GB2312" w:cs="Times New Roman"/>
          <w:color w:val="auto"/>
          <w:sz w:val="32"/>
          <w:szCs w:val="32"/>
          <w:u w:val="none"/>
        </w:rPr>
        <w:t>万元增加</w:t>
      </w:r>
      <w:r>
        <w:rPr>
          <w:rFonts w:hint="default" w:ascii="Times New Roman" w:hAnsi="Times New Roman" w:eastAsia="仿宋_GB2312" w:cs="Times New Roman"/>
          <w:color w:val="auto"/>
          <w:sz w:val="32"/>
          <w:szCs w:val="32"/>
          <w:u w:val="none"/>
          <w:lang w:val="en-US" w:eastAsia="zh-CN"/>
        </w:rPr>
        <w:t>193.20</w:t>
      </w:r>
      <w:r>
        <w:rPr>
          <w:rFonts w:hint="default" w:ascii="Times New Roman" w:hAnsi="Times New Roman" w:eastAsia="仿宋_GB2312" w:cs="Times New Roman"/>
          <w:color w:val="auto"/>
          <w:sz w:val="32"/>
          <w:szCs w:val="32"/>
          <w:u w:val="none"/>
        </w:rPr>
        <w:t>万元，增长</w:t>
      </w:r>
      <w:r>
        <w:rPr>
          <w:rFonts w:hint="default" w:ascii="Times New Roman" w:hAnsi="Times New Roman" w:eastAsia="仿宋_GB2312" w:cs="Times New Roman"/>
          <w:color w:val="auto"/>
          <w:sz w:val="32"/>
          <w:szCs w:val="32"/>
          <w:u w:val="none"/>
          <w:lang w:val="en-US" w:eastAsia="zh-CN"/>
        </w:rPr>
        <w:t>36.74</w:t>
      </w:r>
      <w:r>
        <w:rPr>
          <w:rFonts w:hint="default" w:ascii="Times New Roman" w:hAnsi="Times New Roman" w:eastAsia="仿宋_GB2312" w:cs="Times New Roman"/>
          <w:color w:val="auto"/>
          <w:sz w:val="32"/>
          <w:szCs w:val="32"/>
          <w:u w:val="none"/>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楷体_GB2312" w:cs="Times New Roman"/>
          <w:color w:val="auto"/>
          <w:sz w:val="32"/>
          <w:szCs w:val="32"/>
          <w:u w:val="none"/>
          <w:lang w:eastAsia="zh-CN"/>
        </w:rPr>
        <w:t>（二）项目支出。</w:t>
      </w:r>
      <w:r>
        <w:rPr>
          <w:rFonts w:hint="default" w:ascii="Times New Roman" w:hAnsi="Times New Roman" w:eastAsia="仿宋_GB2312" w:cs="Times New Roman"/>
          <w:color w:val="auto"/>
          <w:sz w:val="32"/>
          <w:szCs w:val="32"/>
          <w:u w:val="none"/>
        </w:rPr>
        <w:t>项目支出预算</w:t>
      </w:r>
      <w:r>
        <w:rPr>
          <w:rFonts w:hint="default" w:ascii="Times New Roman" w:hAnsi="Times New Roman" w:eastAsia="仿宋_GB2312" w:cs="Times New Roman"/>
          <w:color w:val="auto"/>
          <w:sz w:val="32"/>
          <w:szCs w:val="32"/>
          <w:u w:val="none"/>
          <w:lang w:val="en-US" w:eastAsia="zh-CN"/>
        </w:rPr>
        <w:t>484.92</w:t>
      </w:r>
      <w:r>
        <w:rPr>
          <w:rFonts w:hint="default" w:ascii="Times New Roman" w:hAnsi="Times New Roman" w:eastAsia="仿宋_GB2312" w:cs="Times New Roman"/>
          <w:color w:val="auto"/>
          <w:sz w:val="32"/>
          <w:szCs w:val="32"/>
          <w:u w:val="none"/>
        </w:rPr>
        <w:t>万元，比</w:t>
      </w:r>
      <w:r>
        <w:rPr>
          <w:rFonts w:hint="default" w:ascii="Times New Roman" w:hAnsi="Times New Roman" w:eastAsia="仿宋_GB2312" w:cs="Times New Roman"/>
          <w:color w:val="auto"/>
          <w:sz w:val="32"/>
          <w:szCs w:val="32"/>
          <w:u w:val="none"/>
          <w:lang w:eastAsia="zh-CN"/>
        </w:rPr>
        <w:t>2023年年初预算数</w:t>
      </w:r>
      <w:r>
        <w:rPr>
          <w:rFonts w:hint="default" w:ascii="Times New Roman" w:hAnsi="Times New Roman" w:eastAsia="仿宋_GB2312" w:cs="Times New Roman"/>
          <w:color w:val="auto"/>
          <w:sz w:val="32"/>
          <w:szCs w:val="32"/>
          <w:lang w:val="en-US" w:eastAsia="zh-CN"/>
        </w:rPr>
        <w:t>505.82</w:t>
      </w:r>
      <w:r>
        <w:rPr>
          <w:rFonts w:hint="default" w:ascii="Times New Roman" w:hAnsi="Times New Roman" w:eastAsia="仿宋_GB2312" w:cs="Times New Roman"/>
          <w:color w:val="auto"/>
          <w:sz w:val="32"/>
          <w:szCs w:val="32"/>
          <w:u w:val="none"/>
        </w:rPr>
        <w:t>万元减少</w:t>
      </w:r>
      <w:r>
        <w:rPr>
          <w:rFonts w:hint="default" w:ascii="Times New Roman" w:hAnsi="Times New Roman" w:eastAsia="仿宋_GB2312" w:cs="Times New Roman"/>
          <w:color w:val="auto"/>
          <w:sz w:val="32"/>
          <w:szCs w:val="32"/>
          <w:u w:val="none"/>
          <w:lang w:val="en-US" w:eastAsia="zh-CN"/>
        </w:rPr>
        <w:t>20.90</w:t>
      </w:r>
      <w:r>
        <w:rPr>
          <w:rFonts w:hint="default" w:ascii="Times New Roman" w:hAnsi="Times New Roman" w:eastAsia="仿宋_GB2312" w:cs="Times New Roman"/>
          <w:color w:val="auto"/>
          <w:sz w:val="32"/>
          <w:szCs w:val="32"/>
          <w:u w:val="none"/>
        </w:rPr>
        <w:t>万元，下降</w:t>
      </w:r>
      <w:r>
        <w:rPr>
          <w:rFonts w:hint="default" w:ascii="Times New Roman" w:hAnsi="Times New Roman" w:eastAsia="仿宋_GB2312" w:cs="Times New Roman"/>
          <w:color w:val="auto"/>
          <w:sz w:val="32"/>
          <w:szCs w:val="32"/>
          <w:u w:val="none"/>
          <w:lang w:val="en-US" w:eastAsia="zh-CN"/>
        </w:rPr>
        <w:t>4.13</w:t>
      </w:r>
      <w:r>
        <w:rPr>
          <w:rFonts w:hint="default" w:ascii="Times New Roman" w:hAnsi="Times New Roman" w:eastAsia="仿宋_GB2312" w:cs="Times New Roman"/>
          <w:color w:val="auto"/>
          <w:sz w:val="32"/>
          <w:szCs w:val="32"/>
          <w:u w:val="none"/>
        </w:rPr>
        <w:t>%。其中：</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1.事业单位经营支出</w:t>
      </w:r>
      <w:r>
        <w:rPr>
          <w:rFonts w:hint="default" w:ascii="Times New Roman" w:hAnsi="Times New Roman" w:eastAsia="仿宋_GB2312" w:cs="Times New Roman"/>
          <w:color w:val="auto"/>
          <w:sz w:val="32"/>
          <w:szCs w:val="32"/>
          <w:u w:val="none"/>
          <w:lang w:val="en-US" w:eastAsia="zh-CN"/>
        </w:rPr>
        <w:t>0</w:t>
      </w:r>
      <w:r>
        <w:rPr>
          <w:rFonts w:hint="default" w:ascii="Times New Roman" w:hAnsi="Times New Roman" w:eastAsia="仿宋_GB2312" w:cs="Times New Roman"/>
          <w:color w:val="auto"/>
          <w:sz w:val="32"/>
          <w:szCs w:val="32"/>
          <w:u w:val="none"/>
        </w:rPr>
        <w:t>万元。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2.上缴上级支出</w:t>
      </w:r>
      <w:r>
        <w:rPr>
          <w:rFonts w:hint="default" w:ascii="Times New Roman" w:hAnsi="Times New Roman" w:eastAsia="仿宋_GB2312" w:cs="Times New Roman"/>
          <w:color w:val="auto"/>
          <w:sz w:val="32"/>
          <w:szCs w:val="32"/>
          <w:u w:val="none"/>
          <w:lang w:val="en-US" w:eastAsia="zh-CN"/>
        </w:rPr>
        <w:t>0</w:t>
      </w:r>
      <w:r>
        <w:rPr>
          <w:rFonts w:hint="default" w:ascii="Times New Roman" w:hAnsi="Times New Roman" w:eastAsia="仿宋_GB2312" w:cs="Times New Roman"/>
          <w:color w:val="auto"/>
          <w:sz w:val="32"/>
          <w:szCs w:val="32"/>
          <w:u w:val="none"/>
        </w:rPr>
        <w:t>万元。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3.对附属单位补助支出</w:t>
      </w:r>
      <w:r>
        <w:rPr>
          <w:rFonts w:hint="default" w:ascii="Times New Roman" w:hAnsi="Times New Roman" w:eastAsia="仿宋_GB2312" w:cs="Times New Roman"/>
          <w:color w:val="auto"/>
          <w:sz w:val="32"/>
          <w:szCs w:val="32"/>
          <w:u w:val="none"/>
          <w:lang w:val="en-US" w:eastAsia="zh-CN"/>
        </w:rPr>
        <w:t>0</w:t>
      </w:r>
      <w:r>
        <w:rPr>
          <w:rFonts w:hint="default" w:ascii="Times New Roman" w:hAnsi="Times New Roman" w:eastAsia="仿宋_GB2312" w:cs="Times New Roman"/>
          <w:color w:val="auto"/>
          <w:sz w:val="32"/>
          <w:szCs w:val="32"/>
          <w:u w:val="none"/>
        </w:rPr>
        <w:t>万元。</w:t>
      </w:r>
    </w:p>
    <w:p>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textAlignment w:val="auto"/>
        <w:rPr>
          <w:rFonts w:hint="default" w:ascii="Times New Roman" w:hAnsi="Times New Roman" w:cs="Times New Roman"/>
        </w:rPr>
      </w:pPr>
    </w:p>
    <w:p>
      <w:pPr>
        <w:pStyle w:val="6"/>
        <w:rPr>
          <w:rFonts w:hint="default" w:ascii="Times New Roman" w:hAnsi="Times New Roman" w:eastAsia="宋体" w:cs="Times New Roman"/>
          <w:lang w:eastAsia="zh-CN"/>
        </w:rPr>
      </w:pPr>
      <w:r>
        <w:rPr>
          <w:rFonts w:hint="default" w:ascii="Times New Roman" w:hAnsi="Times New Roman" w:eastAsia="宋体" w:cs="Times New Roman"/>
          <w:lang w:eastAsia="zh-CN"/>
        </w:rPr>
        <w:drawing>
          <wp:inline distT="0" distB="0" distL="114300" distR="114300">
            <wp:extent cx="4521835" cy="2388870"/>
            <wp:effectExtent l="4445" t="5080" r="7620" b="635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2"/>
        <w:ind w:firstLine="642"/>
        <w:jc w:val="center"/>
        <w:rPr>
          <w:rFonts w:hint="default" w:ascii="Times New Roman" w:hAnsi="Times New Roman" w:eastAsia="黑体" w:cs="Times New Roman"/>
          <w:color w:val="auto"/>
          <w:highlight w:val="none"/>
          <w:u w:val="none"/>
          <w:lang w:eastAsia="zh-CN"/>
        </w:rPr>
      </w:pPr>
      <w:r>
        <w:rPr>
          <w:rFonts w:hint="default" w:ascii="Times New Roman" w:hAnsi="Times New Roman" w:eastAsia="仿宋_GB2312" w:cs="Times New Roman"/>
          <w:color w:val="auto"/>
          <w:sz w:val="32"/>
          <w:szCs w:val="32"/>
          <w:highlight w:val="none"/>
          <w:u w:val="none"/>
          <w:lang w:val="en-US" w:eastAsia="zh-CN"/>
        </w:rPr>
        <w:t>图2：基本支出和项目支出情况</w:t>
      </w:r>
    </w:p>
    <w:p>
      <w:pPr>
        <w:pageBreakBefore w:val="0"/>
        <w:widowControl w:val="0"/>
        <w:numPr>
          <w:ilvl w:val="0"/>
          <w:numId w:val="1"/>
        </w:numPr>
        <w:kinsoku/>
        <w:wordWrap/>
        <w:overflowPunct/>
        <w:topLinePunct w:val="0"/>
        <w:bidi w:val="0"/>
        <w:snapToGrid/>
        <w:spacing w:line="560" w:lineRule="exact"/>
        <w:ind w:left="0" w:leftChars="0" w:firstLine="640" w:firstLineChars="200"/>
        <w:textAlignment w:val="auto"/>
        <w:rPr>
          <w:rFonts w:hint="default" w:ascii="Times New Roman" w:hAnsi="Times New Roman" w:eastAsia="楷体_GB2312" w:cs="Times New Roman"/>
          <w:color w:val="000000"/>
          <w:sz w:val="32"/>
          <w:szCs w:val="32"/>
          <w:highlight w:val="none"/>
          <w:u w:val="none"/>
          <w:lang w:eastAsia="zh-CN"/>
        </w:rPr>
      </w:pPr>
      <w:r>
        <w:rPr>
          <w:rFonts w:hint="default" w:ascii="Times New Roman" w:hAnsi="Times New Roman" w:eastAsia="楷体_GB2312" w:cs="Times New Roman"/>
          <w:color w:val="000000"/>
          <w:sz w:val="32"/>
          <w:szCs w:val="32"/>
          <w:highlight w:val="none"/>
          <w:u w:val="none"/>
          <w:lang w:eastAsia="zh-CN"/>
        </w:rPr>
        <w:t>年终结转结余资金</w:t>
      </w:r>
      <w:r>
        <w:rPr>
          <w:rFonts w:hint="default" w:ascii="Times New Roman" w:hAnsi="Times New Roman" w:eastAsia="楷体_GB2312" w:cs="Times New Roman"/>
          <w:color w:val="000000"/>
          <w:sz w:val="32"/>
          <w:szCs w:val="32"/>
          <w:highlight w:val="none"/>
          <w:u w:val="none"/>
          <w:lang w:val="en-US" w:eastAsia="zh-CN"/>
        </w:rPr>
        <w:t>0</w:t>
      </w:r>
      <w:r>
        <w:rPr>
          <w:rFonts w:hint="default" w:ascii="Times New Roman" w:hAnsi="Times New Roman" w:eastAsia="楷体_GB2312" w:cs="Times New Roman"/>
          <w:color w:val="000000"/>
          <w:sz w:val="32"/>
          <w:szCs w:val="32"/>
          <w:highlight w:val="none"/>
          <w:u w:val="none"/>
          <w:lang w:eastAsia="zh-CN"/>
        </w:rPr>
        <w:t>万元</w:t>
      </w:r>
    </w:p>
    <w:p>
      <w:pPr>
        <w:pageBreakBefore w:val="0"/>
        <w:widowControl w:val="0"/>
        <w:kinsoku/>
        <w:wordWrap/>
        <w:overflowPunct/>
        <w:topLinePunct w:val="0"/>
        <w:bidi w:val="0"/>
        <w:snapToGrid/>
        <w:spacing w:line="560" w:lineRule="exact"/>
        <w:ind w:left="0" w:leftChars="0" w:firstLine="640" w:firstLineChars="200"/>
        <w:textAlignment w:val="auto"/>
        <w:rPr>
          <w:rFonts w:hint="default" w:ascii="Times New Roman" w:hAnsi="Times New Roman" w:eastAsia="黑体" w:cs="Times New Roman"/>
          <w:color w:val="auto"/>
          <w:sz w:val="32"/>
          <w:szCs w:val="32"/>
          <w:u w:val="none"/>
        </w:rPr>
      </w:pPr>
      <w:r>
        <w:rPr>
          <w:rFonts w:hint="default" w:ascii="Times New Roman" w:hAnsi="Times New Roman" w:eastAsia="黑体" w:cs="Times New Roman"/>
          <w:color w:val="auto"/>
          <w:sz w:val="32"/>
          <w:szCs w:val="32"/>
          <w:u w:val="none"/>
          <w:lang w:eastAsia="zh-CN"/>
        </w:rPr>
        <w:t>四</w:t>
      </w:r>
      <w:r>
        <w:rPr>
          <w:rFonts w:hint="default" w:ascii="Times New Roman" w:hAnsi="Times New Roman" w:eastAsia="黑体" w:cs="Times New Roman"/>
          <w:color w:val="auto"/>
          <w:sz w:val="32"/>
          <w:szCs w:val="32"/>
          <w:u w:val="none"/>
        </w:rPr>
        <w:t>、财政拨款“三公”经费预算</w:t>
      </w:r>
      <w:r>
        <w:rPr>
          <w:rFonts w:hint="default" w:ascii="Times New Roman" w:hAnsi="Times New Roman" w:eastAsia="黑体" w:cs="Times New Roman"/>
          <w:color w:val="auto"/>
          <w:sz w:val="32"/>
          <w:szCs w:val="32"/>
          <w:u w:val="none"/>
          <w:lang w:eastAsia="zh-CN"/>
        </w:rPr>
        <w:t>情况</w:t>
      </w:r>
      <w:r>
        <w:rPr>
          <w:rFonts w:hint="default" w:ascii="Times New Roman" w:hAnsi="Times New Roman" w:eastAsia="黑体" w:cs="Times New Roman"/>
          <w:color w:val="auto"/>
          <w:sz w:val="32"/>
          <w:szCs w:val="32"/>
          <w:u w:val="none"/>
        </w:rPr>
        <w:t>说明</w:t>
      </w:r>
    </w:p>
    <w:p>
      <w:pPr>
        <w:pageBreakBefore w:val="0"/>
        <w:widowControl w:val="0"/>
        <w:kinsoku/>
        <w:wordWrap/>
        <w:overflowPunct/>
        <w:topLinePunct w:val="0"/>
        <w:bidi w:val="0"/>
        <w:snapToGrid/>
        <w:spacing w:line="560" w:lineRule="exact"/>
        <w:ind w:left="0" w:leftChars="0" w:firstLine="640" w:firstLineChars="200"/>
        <w:textAlignment w:val="auto"/>
        <w:rPr>
          <w:rFonts w:hint="default" w:ascii="Times New Roman" w:hAnsi="Times New Roman" w:eastAsia="楷体_GB2312" w:cs="Times New Roman"/>
          <w:color w:val="auto"/>
          <w:sz w:val="32"/>
          <w:szCs w:val="32"/>
          <w:u w:val="none"/>
        </w:rPr>
      </w:pPr>
      <w:r>
        <w:rPr>
          <w:rFonts w:hint="default" w:ascii="Times New Roman" w:hAnsi="Times New Roman" w:eastAsia="楷体_GB2312" w:cs="Times New Roman"/>
          <w:color w:val="auto"/>
          <w:sz w:val="32"/>
          <w:szCs w:val="32"/>
          <w:u w:val="none"/>
        </w:rPr>
        <w:t>（一）“三公”经费的单位范围</w:t>
      </w:r>
    </w:p>
    <w:p>
      <w:pPr>
        <w:pageBreakBefore w:val="0"/>
        <w:widowControl w:val="0"/>
        <w:kinsoku/>
        <w:wordWrap/>
        <w:overflowPunct/>
        <w:topLinePunct w:val="0"/>
        <w:bidi w:val="0"/>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lang w:val="en-US" w:eastAsia="zh-CN"/>
        </w:rPr>
        <w:t>北京市学校思想政治工作中心</w:t>
      </w:r>
      <w:r>
        <w:rPr>
          <w:rFonts w:hint="default" w:ascii="Times New Roman" w:hAnsi="Times New Roman" w:eastAsia="仿宋_GB2312" w:cs="Times New Roman"/>
          <w:color w:val="auto"/>
          <w:sz w:val="32"/>
          <w:szCs w:val="32"/>
        </w:rPr>
        <w:t>因公出国（境）费用、公务接待费、公务用车购置和运行维护费开支单位包括</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个所属单位。</w:t>
      </w:r>
    </w:p>
    <w:p>
      <w:pPr>
        <w:pageBreakBefore w:val="0"/>
        <w:widowControl w:val="0"/>
        <w:kinsoku/>
        <w:wordWrap/>
        <w:overflowPunct/>
        <w:topLinePunct w:val="0"/>
        <w:bidi w:val="0"/>
        <w:snapToGrid/>
        <w:spacing w:line="560" w:lineRule="exact"/>
        <w:ind w:left="0" w:leftChars="0" w:firstLine="640" w:firstLineChars="200"/>
        <w:textAlignment w:val="auto"/>
        <w:rPr>
          <w:rFonts w:hint="default" w:ascii="Times New Roman" w:hAnsi="Times New Roman" w:eastAsia="楷体_GB2312" w:cs="Times New Roman"/>
          <w:color w:val="auto"/>
          <w:sz w:val="32"/>
          <w:szCs w:val="32"/>
          <w:u w:val="none"/>
        </w:rPr>
      </w:pPr>
      <w:r>
        <w:rPr>
          <w:rFonts w:hint="default" w:ascii="Times New Roman" w:hAnsi="Times New Roman" w:eastAsia="楷体_GB2312" w:cs="Times New Roman"/>
          <w:color w:val="auto"/>
          <w:sz w:val="32"/>
          <w:szCs w:val="32"/>
          <w:u w:val="none"/>
        </w:rPr>
        <w:t>（二）财政拨款“三公”经费预算情况说明</w:t>
      </w:r>
    </w:p>
    <w:p>
      <w:pPr>
        <w:pageBreakBefore w:val="0"/>
        <w:widowControl w:val="0"/>
        <w:kinsoku/>
        <w:wordWrap/>
        <w:overflowPunct/>
        <w:topLinePunct w:val="0"/>
        <w:bidi w:val="0"/>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sz w:val="32"/>
          <w:szCs w:val="32"/>
        </w:rPr>
        <w:t>本单位2024年无财政拨款安排的“三公”经费预算</w:t>
      </w:r>
      <w:r>
        <w:rPr>
          <w:rFonts w:hint="default" w:ascii="Times New Roman" w:hAnsi="Times New Roman" w:eastAsia="仿宋_GB2312" w:cs="Times New Roman"/>
          <w:sz w:val="32"/>
          <w:szCs w:val="32"/>
          <w:lang w:eastAsia="zh-CN"/>
        </w:rPr>
        <w:t>。</w:t>
      </w:r>
    </w:p>
    <w:p>
      <w:pPr>
        <w:pageBreakBefore w:val="0"/>
        <w:widowControl w:val="0"/>
        <w:kinsoku/>
        <w:wordWrap/>
        <w:overflowPunct/>
        <w:topLinePunct w:val="0"/>
        <w:bidi w:val="0"/>
        <w:snapToGrid/>
        <w:spacing w:line="560" w:lineRule="exact"/>
        <w:ind w:left="0" w:leftChars="0" w:firstLine="640" w:firstLineChars="200"/>
        <w:textAlignment w:val="auto"/>
        <w:rPr>
          <w:rFonts w:hint="default" w:ascii="Times New Roman" w:hAnsi="Times New Roman" w:eastAsia="黑体" w:cs="Times New Roman"/>
          <w:color w:val="auto"/>
          <w:sz w:val="32"/>
          <w:szCs w:val="32"/>
          <w:u w:val="none"/>
        </w:rPr>
      </w:pPr>
      <w:r>
        <w:rPr>
          <w:rFonts w:hint="default" w:ascii="Times New Roman" w:hAnsi="Times New Roman" w:eastAsia="黑体" w:cs="Times New Roman"/>
          <w:color w:val="auto"/>
          <w:sz w:val="32"/>
          <w:szCs w:val="32"/>
          <w:u w:val="none"/>
          <w:lang w:eastAsia="zh-CN"/>
        </w:rPr>
        <w:t>五</w:t>
      </w:r>
      <w:r>
        <w:rPr>
          <w:rFonts w:hint="default" w:ascii="Times New Roman" w:hAnsi="Times New Roman" w:eastAsia="黑体" w:cs="Times New Roman"/>
          <w:color w:val="auto"/>
          <w:sz w:val="32"/>
          <w:szCs w:val="32"/>
          <w:u w:val="none"/>
        </w:rPr>
        <w:t>、其他情况说明</w:t>
      </w:r>
    </w:p>
    <w:p>
      <w:pPr>
        <w:pageBreakBefore w:val="0"/>
        <w:widowControl w:val="0"/>
        <w:kinsoku/>
        <w:wordWrap/>
        <w:overflowPunct/>
        <w:topLinePunct w:val="0"/>
        <w:bidi w:val="0"/>
        <w:snapToGrid/>
        <w:spacing w:line="560" w:lineRule="exact"/>
        <w:ind w:left="0" w:leftChars="0" w:firstLine="640" w:firstLineChars="200"/>
        <w:textAlignment w:val="auto"/>
        <w:rPr>
          <w:rFonts w:hint="default" w:ascii="Times New Roman" w:hAnsi="Times New Roman" w:eastAsia="楷体_GB2312" w:cs="Times New Roman"/>
          <w:color w:val="auto"/>
          <w:sz w:val="32"/>
          <w:szCs w:val="32"/>
          <w:u w:val="none"/>
        </w:rPr>
      </w:pPr>
      <w:r>
        <w:rPr>
          <w:rFonts w:hint="default" w:ascii="Times New Roman" w:hAnsi="Times New Roman" w:eastAsia="楷体_GB2312" w:cs="Times New Roman"/>
          <w:color w:val="auto"/>
          <w:sz w:val="32"/>
          <w:szCs w:val="32"/>
          <w:u w:val="none"/>
        </w:rPr>
        <w:t>（一）政府采购预算说明</w:t>
      </w:r>
    </w:p>
    <w:p>
      <w:pPr>
        <w:pageBreakBefore w:val="0"/>
        <w:widowControl w:val="0"/>
        <w:kinsoku/>
        <w:wordWrap/>
        <w:overflowPunct/>
        <w:topLinePunct w:val="0"/>
        <w:bidi w:val="0"/>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lang w:eastAsia="zh-CN"/>
        </w:rPr>
        <w:t>2024年</w:t>
      </w:r>
      <w:r>
        <w:rPr>
          <w:rFonts w:hint="default" w:ascii="Times New Roman" w:hAnsi="Times New Roman" w:eastAsia="仿宋_GB2312" w:cs="Times New Roman"/>
          <w:color w:val="auto"/>
          <w:sz w:val="32"/>
          <w:szCs w:val="32"/>
          <w:lang w:val="en-US" w:eastAsia="zh-CN"/>
        </w:rPr>
        <w:t>北京市学校思想政治工作中心</w:t>
      </w:r>
      <w:r>
        <w:rPr>
          <w:rFonts w:hint="default" w:ascii="Times New Roman" w:hAnsi="Times New Roman" w:eastAsia="仿宋_GB2312" w:cs="Times New Roman"/>
          <w:color w:val="auto"/>
          <w:sz w:val="32"/>
          <w:szCs w:val="32"/>
          <w:u w:val="none"/>
        </w:rPr>
        <w:t>政府采购预算总额</w:t>
      </w:r>
      <w:r>
        <w:rPr>
          <w:rFonts w:hint="default" w:ascii="Times New Roman" w:hAnsi="Times New Roman" w:eastAsia="仿宋_GB2312" w:cs="Times New Roman"/>
          <w:sz w:val="32"/>
          <w:szCs w:val="32"/>
        </w:rPr>
        <w:t>162</w:t>
      </w:r>
      <w:r>
        <w:rPr>
          <w:rFonts w:hint="default" w:ascii="Times New Roman" w:hAnsi="Times New Roman" w:eastAsia="仿宋_GB2312" w:cs="Times New Roman"/>
          <w:sz w:val="32"/>
          <w:szCs w:val="32"/>
          <w:lang w:eastAsia="zh-Hans"/>
        </w:rPr>
        <w:t>.15</w:t>
      </w:r>
      <w:r>
        <w:rPr>
          <w:rFonts w:hint="default" w:ascii="Times New Roman" w:hAnsi="Times New Roman" w:eastAsia="仿宋_GB2312" w:cs="Times New Roman"/>
          <w:color w:val="auto"/>
          <w:sz w:val="32"/>
          <w:szCs w:val="32"/>
          <w:u w:val="none"/>
        </w:rPr>
        <w:t>万元，其中：</w:t>
      </w:r>
      <w:r>
        <w:rPr>
          <w:rFonts w:hint="default" w:ascii="Times New Roman" w:hAnsi="Times New Roman" w:eastAsia="仿宋_GB2312" w:cs="Times New Roman"/>
          <w:color w:val="auto"/>
          <w:sz w:val="32"/>
          <w:szCs w:val="32"/>
          <w:highlight w:val="none"/>
          <w:u w:val="none"/>
        </w:rPr>
        <w:t>政府采购货物预算</w:t>
      </w:r>
      <w:r>
        <w:rPr>
          <w:rFonts w:hint="default" w:ascii="Times New Roman" w:hAnsi="Times New Roman" w:eastAsia="仿宋_GB2312" w:cs="Times New Roman"/>
          <w:color w:val="auto"/>
          <w:sz w:val="32"/>
          <w:szCs w:val="32"/>
          <w:highlight w:val="none"/>
          <w:u w:val="none"/>
          <w:lang w:val="en-US" w:eastAsia="zh-CN"/>
        </w:rPr>
        <w:t>2.80</w:t>
      </w:r>
      <w:r>
        <w:rPr>
          <w:rFonts w:hint="default" w:ascii="Times New Roman" w:hAnsi="Times New Roman" w:eastAsia="仿宋_GB2312" w:cs="Times New Roman"/>
          <w:color w:val="auto"/>
          <w:sz w:val="32"/>
          <w:szCs w:val="32"/>
          <w:highlight w:val="none"/>
          <w:u w:val="none"/>
        </w:rPr>
        <w:t>万元</w:t>
      </w:r>
      <w:r>
        <w:rPr>
          <w:rFonts w:hint="default" w:ascii="Times New Roman" w:hAnsi="Times New Roman" w:eastAsia="仿宋_GB2312" w:cs="Times New Roman"/>
          <w:color w:val="auto"/>
          <w:sz w:val="32"/>
          <w:szCs w:val="32"/>
          <w:u w:val="none"/>
        </w:rPr>
        <w:t>，政府采购工程预算</w:t>
      </w:r>
      <w:r>
        <w:rPr>
          <w:rFonts w:hint="default" w:ascii="Times New Roman" w:hAnsi="Times New Roman" w:eastAsia="仿宋_GB2312" w:cs="Times New Roman"/>
          <w:color w:val="auto"/>
          <w:sz w:val="32"/>
          <w:szCs w:val="32"/>
          <w:u w:val="none"/>
          <w:lang w:val="en-US" w:eastAsia="zh-CN"/>
        </w:rPr>
        <w:t>0</w:t>
      </w:r>
      <w:r>
        <w:rPr>
          <w:rFonts w:hint="default" w:ascii="Times New Roman" w:hAnsi="Times New Roman" w:eastAsia="仿宋_GB2312" w:cs="Times New Roman"/>
          <w:color w:val="auto"/>
          <w:sz w:val="32"/>
          <w:szCs w:val="32"/>
          <w:u w:val="none"/>
        </w:rPr>
        <w:t>万元，</w:t>
      </w:r>
      <w:r>
        <w:rPr>
          <w:rFonts w:hint="default" w:ascii="Times New Roman" w:hAnsi="Times New Roman" w:eastAsia="仿宋_GB2312" w:cs="Times New Roman"/>
          <w:color w:val="auto"/>
          <w:sz w:val="32"/>
          <w:szCs w:val="32"/>
          <w:highlight w:val="none"/>
          <w:u w:val="none"/>
        </w:rPr>
        <w:t>政府采购服务预算</w:t>
      </w:r>
      <w:r>
        <w:rPr>
          <w:rFonts w:hint="default" w:ascii="Times New Roman" w:hAnsi="Times New Roman" w:eastAsia="仿宋_GB2312" w:cs="Times New Roman"/>
          <w:color w:val="auto"/>
          <w:sz w:val="32"/>
          <w:szCs w:val="32"/>
          <w:highlight w:val="none"/>
          <w:u w:val="none"/>
          <w:lang w:val="en-US" w:eastAsia="zh-CN"/>
        </w:rPr>
        <w:t>159.35</w:t>
      </w:r>
      <w:r>
        <w:rPr>
          <w:rFonts w:hint="default" w:ascii="Times New Roman" w:hAnsi="Times New Roman" w:eastAsia="仿宋_GB2312" w:cs="Times New Roman"/>
          <w:color w:val="auto"/>
          <w:sz w:val="32"/>
          <w:szCs w:val="32"/>
          <w:highlight w:val="none"/>
          <w:u w:val="none"/>
        </w:rPr>
        <w:t>万元。</w:t>
      </w:r>
    </w:p>
    <w:p>
      <w:pPr>
        <w:pageBreakBefore w:val="0"/>
        <w:widowControl w:val="0"/>
        <w:kinsoku/>
        <w:wordWrap/>
        <w:overflowPunct/>
        <w:topLinePunct w:val="0"/>
        <w:bidi w:val="0"/>
        <w:snapToGrid/>
        <w:spacing w:line="560" w:lineRule="exact"/>
        <w:ind w:left="0" w:leftChars="0" w:firstLine="640" w:firstLineChars="200"/>
        <w:textAlignment w:val="auto"/>
        <w:rPr>
          <w:rFonts w:hint="default" w:ascii="Times New Roman" w:hAnsi="Times New Roman" w:eastAsia="楷体_GB2312" w:cs="Times New Roman"/>
          <w:color w:val="auto"/>
          <w:sz w:val="32"/>
          <w:szCs w:val="32"/>
          <w:u w:val="none"/>
        </w:rPr>
      </w:pPr>
      <w:r>
        <w:rPr>
          <w:rFonts w:hint="default" w:ascii="Times New Roman" w:hAnsi="Times New Roman" w:eastAsia="楷体_GB2312" w:cs="Times New Roman"/>
          <w:color w:val="auto"/>
          <w:sz w:val="32"/>
          <w:szCs w:val="32"/>
          <w:u w:val="none"/>
        </w:rPr>
        <w:t>（二）政府购买服务预算说明</w:t>
      </w:r>
    </w:p>
    <w:p>
      <w:pPr>
        <w:pageBreakBefore w:val="0"/>
        <w:widowControl w:val="0"/>
        <w:kinsoku/>
        <w:wordWrap/>
        <w:overflowPunct/>
        <w:topLinePunct w:val="0"/>
        <w:bidi w:val="0"/>
        <w:snapToGrid/>
        <w:spacing w:line="560" w:lineRule="exact"/>
        <w:ind w:left="0" w:leftChars="0" w:firstLine="6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2024年北京市学校思想政治工作中心政府购买服务预算总额0万元。</w:t>
      </w:r>
    </w:p>
    <w:p>
      <w:pPr>
        <w:pageBreakBefore w:val="0"/>
        <w:widowControl w:val="0"/>
        <w:kinsoku/>
        <w:wordWrap/>
        <w:overflowPunct/>
        <w:topLinePunct w:val="0"/>
        <w:bidi w:val="0"/>
        <w:snapToGrid/>
        <w:spacing w:line="560" w:lineRule="exact"/>
        <w:ind w:left="0" w:leftChars="0" w:firstLine="640" w:firstLineChars="200"/>
        <w:textAlignment w:val="auto"/>
        <w:rPr>
          <w:rFonts w:hint="default" w:ascii="Times New Roman" w:hAnsi="Times New Roman" w:eastAsia="楷体_GB2312" w:cs="Times New Roman"/>
          <w:color w:val="auto"/>
          <w:sz w:val="32"/>
          <w:szCs w:val="32"/>
          <w:u w:val="none"/>
        </w:rPr>
      </w:pPr>
      <w:r>
        <w:rPr>
          <w:rFonts w:hint="default" w:ascii="Times New Roman" w:hAnsi="Times New Roman" w:eastAsia="楷体_GB2312" w:cs="Times New Roman"/>
          <w:color w:val="auto"/>
          <w:sz w:val="32"/>
          <w:szCs w:val="32"/>
          <w:u w:val="none"/>
        </w:rPr>
        <w:t>（三）机关运行经费说明</w:t>
      </w:r>
    </w:p>
    <w:p>
      <w:pPr>
        <w:pageBreakBefore w:val="0"/>
        <w:widowControl w:val="0"/>
        <w:kinsoku/>
        <w:wordWrap/>
        <w:overflowPunct/>
        <w:topLinePunct w:val="0"/>
        <w:bidi w:val="0"/>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sz w:val="32"/>
          <w:szCs w:val="32"/>
        </w:rPr>
        <w:t>本单位不涉及此项预算。</w:t>
      </w:r>
    </w:p>
    <w:p>
      <w:pPr>
        <w:pageBreakBefore w:val="0"/>
        <w:widowControl w:val="0"/>
        <w:kinsoku/>
        <w:wordWrap/>
        <w:overflowPunct/>
        <w:topLinePunct w:val="0"/>
        <w:bidi w:val="0"/>
        <w:snapToGrid/>
        <w:spacing w:line="560" w:lineRule="exact"/>
        <w:ind w:left="0" w:leftChars="0" w:firstLine="640" w:firstLineChars="200"/>
        <w:textAlignment w:val="auto"/>
        <w:rPr>
          <w:rFonts w:hint="default" w:ascii="Times New Roman" w:hAnsi="Times New Roman" w:eastAsia="楷体_GB2312" w:cs="Times New Roman"/>
          <w:color w:val="auto"/>
          <w:sz w:val="32"/>
          <w:szCs w:val="32"/>
          <w:u w:val="none"/>
        </w:rPr>
      </w:pPr>
      <w:r>
        <w:rPr>
          <w:rFonts w:hint="default" w:ascii="Times New Roman" w:hAnsi="Times New Roman" w:eastAsia="楷体_GB2312" w:cs="Times New Roman"/>
          <w:color w:val="auto"/>
          <w:sz w:val="32"/>
          <w:szCs w:val="32"/>
          <w:u w:val="none"/>
        </w:rPr>
        <w:t>（四）项目支出绩效目标情况说明</w:t>
      </w:r>
    </w:p>
    <w:p>
      <w:pPr>
        <w:pageBreakBefore w:val="0"/>
        <w:widowControl w:val="0"/>
        <w:kinsoku/>
        <w:wordWrap/>
        <w:overflowPunct/>
        <w:topLinePunct w:val="0"/>
        <w:bidi w:val="0"/>
        <w:snapToGrid/>
        <w:spacing w:line="560" w:lineRule="exact"/>
        <w:ind w:left="0" w:leftChars="0" w:firstLine="6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auto"/>
          <w:sz w:val="32"/>
          <w:szCs w:val="32"/>
          <w:u w:val="none"/>
          <w:lang w:eastAsia="zh-CN"/>
        </w:rPr>
        <w:t>2024年</w:t>
      </w:r>
      <w:r>
        <w:rPr>
          <w:rFonts w:hint="default" w:ascii="Times New Roman" w:hAnsi="Times New Roman" w:eastAsia="仿宋_GB2312" w:cs="Times New Roman"/>
          <w:color w:val="auto"/>
          <w:sz w:val="32"/>
          <w:szCs w:val="32"/>
          <w:u w:val="none"/>
        </w:rPr>
        <w:t>，</w:t>
      </w:r>
      <w:r>
        <w:rPr>
          <w:rFonts w:hint="default" w:ascii="Times New Roman" w:hAnsi="Times New Roman" w:eastAsia="仿宋_GB2312" w:cs="Times New Roman"/>
          <w:sz w:val="32"/>
          <w:szCs w:val="32"/>
        </w:rPr>
        <w:t>北京市学校思想政治工作中心填报绩效目标的预算项目6个，占全部预算项目6个的100%。填报绩效目标的项目支出预算48</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eastAsia="zh-Hans"/>
        </w:rPr>
        <w:t>.</w:t>
      </w:r>
      <w:r>
        <w:rPr>
          <w:rFonts w:hint="default" w:ascii="Times New Roman" w:hAnsi="Times New Roman" w:eastAsia="仿宋_GB2312" w:cs="Times New Roman"/>
          <w:sz w:val="32"/>
          <w:szCs w:val="32"/>
          <w:lang w:val="en-US" w:eastAsia="zh-CN"/>
        </w:rPr>
        <w:t>92</w:t>
      </w:r>
      <w:r>
        <w:rPr>
          <w:rFonts w:hint="default" w:ascii="Times New Roman" w:hAnsi="Times New Roman" w:eastAsia="仿宋_GB2312" w:cs="Times New Roman"/>
          <w:sz w:val="32"/>
          <w:szCs w:val="32"/>
        </w:rPr>
        <w:t>万元，占本部门全部项目支出预算的100%。</w:t>
      </w:r>
    </w:p>
    <w:p>
      <w:pPr>
        <w:pageBreakBefore w:val="0"/>
        <w:widowControl w:val="0"/>
        <w:kinsoku/>
        <w:wordWrap/>
        <w:overflowPunct/>
        <w:topLinePunct w:val="0"/>
        <w:bidi w:val="0"/>
        <w:snapToGrid/>
        <w:spacing w:line="560" w:lineRule="exact"/>
        <w:ind w:left="0" w:leftChars="0" w:firstLine="640" w:firstLineChars="200"/>
        <w:textAlignment w:val="auto"/>
        <w:rPr>
          <w:rFonts w:hint="default" w:ascii="Times New Roman" w:hAnsi="Times New Roman" w:eastAsia="楷体_GB2312" w:cs="Times New Roman"/>
          <w:color w:val="auto"/>
          <w:sz w:val="32"/>
          <w:szCs w:val="32"/>
          <w:u w:val="none"/>
        </w:rPr>
      </w:pPr>
      <w:r>
        <w:rPr>
          <w:rFonts w:hint="default" w:ascii="Times New Roman" w:hAnsi="Times New Roman" w:eastAsia="楷体_GB2312" w:cs="Times New Roman"/>
          <w:color w:val="auto"/>
          <w:sz w:val="32"/>
          <w:szCs w:val="32"/>
          <w:u w:val="none"/>
        </w:rPr>
        <w:t>（五）重点行政事业性收费情况说明</w:t>
      </w:r>
    </w:p>
    <w:p>
      <w:pPr>
        <w:pageBreakBefore w:val="0"/>
        <w:widowControl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rPr>
        <w:t>本单位</w:t>
      </w:r>
      <w:r>
        <w:rPr>
          <w:rFonts w:hint="default" w:ascii="Times New Roman" w:hAnsi="Times New Roman" w:eastAsia="仿宋_GB2312" w:cs="Times New Roman"/>
          <w:color w:val="auto"/>
          <w:sz w:val="32"/>
          <w:szCs w:val="32"/>
          <w:u w:val="none"/>
          <w:lang w:eastAsia="zh-CN"/>
        </w:rPr>
        <w:t>2024年</w:t>
      </w:r>
      <w:r>
        <w:rPr>
          <w:rFonts w:hint="default" w:ascii="Times New Roman" w:hAnsi="Times New Roman" w:eastAsia="仿宋_GB2312" w:cs="Times New Roman"/>
          <w:color w:val="auto"/>
          <w:sz w:val="32"/>
          <w:szCs w:val="32"/>
          <w:u w:val="none"/>
        </w:rPr>
        <w:t>无重点行政事业性收费</w:t>
      </w:r>
      <w:r>
        <w:rPr>
          <w:rFonts w:hint="default" w:ascii="Times New Roman" w:hAnsi="Times New Roman" w:eastAsia="仿宋_GB2312" w:cs="Times New Roman"/>
          <w:color w:val="auto"/>
          <w:sz w:val="32"/>
          <w:szCs w:val="32"/>
          <w:u w:val="none"/>
          <w:lang w:eastAsia="zh-CN"/>
        </w:rPr>
        <w:t>。</w:t>
      </w:r>
    </w:p>
    <w:p>
      <w:pPr>
        <w:pageBreakBefore w:val="0"/>
        <w:widowControl w:val="0"/>
        <w:kinsoku/>
        <w:wordWrap/>
        <w:overflowPunct/>
        <w:topLinePunct w:val="0"/>
        <w:bidi w:val="0"/>
        <w:snapToGrid/>
        <w:spacing w:line="560" w:lineRule="exact"/>
        <w:ind w:left="0" w:leftChars="0" w:firstLine="640" w:firstLineChars="200"/>
        <w:textAlignment w:val="auto"/>
        <w:rPr>
          <w:rFonts w:hint="default" w:ascii="Times New Roman" w:hAnsi="Times New Roman" w:eastAsia="楷体_GB2312" w:cs="Times New Roman"/>
          <w:color w:val="auto"/>
          <w:sz w:val="32"/>
          <w:szCs w:val="32"/>
          <w:u w:val="none"/>
        </w:rPr>
      </w:pPr>
      <w:r>
        <w:rPr>
          <w:rFonts w:hint="default" w:ascii="Times New Roman" w:hAnsi="Times New Roman" w:eastAsia="楷体_GB2312" w:cs="Times New Roman"/>
          <w:color w:val="auto"/>
          <w:sz w:val="32"/>
          <w:szCs w:val="32"/>
          <w:u w:val="none"/>
        </w:rPr>
        <w:t>（六）国有资本经营预算财</w:t>
      </w:r>
      <w:bookmarkStart w:id="0" w:name="_GoBack"/>
      <w:bookmarkEnd w:id="0"/>
      <w:r>
        <w:rPr>
          <w:rFonts w:hint="default" w:ascii="Times New Roman" w:hAnsi="Times New Roman" w:eastAsia="楷体_GB2312" w:cs="Times New Roman"/>
          <w:color w:val="auto"/>
          <w:sz w:val="32"/>
          <w:szCs w:val="32"/>
          <w:u w:val="none"/>
        </w:rPr>
        <w:t>政拨款情况说明</w:t>
      </w:r>
    </w:p>
    <w:p>
      <w:pPr>
        <w:pageBreakBefore w:val="0"/>
        <w:widowControl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color w:val="000000"/>
          <w:sz w:val="32"/>
          <w:szCs w:val="32"/>
          <w:u w:val="none"/>
          <w:lang w:eastAsia="zh-CN"/>
        </w:rPr>
      </w:pPr>
      <w:r>
        <w:rPr>
          <w:rFonts w:hint="default" w:ascii="Times New Roman" w:hAnsi="Times New Roman" w:eastAsia="仿宋_GB2312" w:cs="Times New Roman"/>
          <w:color w:val="auto"/>
          <w:sz w:val="32"/>
          <w:szCs w:val="32"/>
          <w:u w:val="none"/>
        </w:rPr>
        <w:t>本单位</w:t>
      </w:r>
      <w:r>
        <w:rPr>
          <w:rFonts w:hint="default" w:ascii="Times New Roman" w:hAnsi="Times New Roman" w:eastAsia="仿宋_GB2312" w:cs="Times New Roman"/>
          <w:color w:val="auto"/>
          <w:sz w:val="32"/>
          <w:szCs w:val="32"/>
          <w:u w:val="none"/>
          <w:lang w:eastAsia="zh-CN"/>
        </w:rPr>
        <w:t>2024</w:t>
      </w:r>
      <w:r>
        <w:rPr>
          <w:rFonts w:hint="default" w:ascii="Times New Roman" w:hAnsi="Times New Roman" w:eastAsia="仿宋_GB2312" w:cs="Times New Roman"/>
          <w:color w:val="000000"/>
          <w:sz w:val="32"/>
          <w:szCs w:val="32"/>
          <w:u w:val="none"/>
          <w:lang w:eastAsia="zh-CN"/>
        </w:rPr>
        <w:t>年</w:t>
      </w:r>
      <w:r>
        <w:rPr>
          <w:rFonts w:hint="default" w:ascii="Times New Roman" w:hAnsi="Times New Roman" w:eastAsia="仿宋_GB2312" w:cs="Times New Roman"/>
          <w:color w:val="000000"/>
          <w:sz w:val="32"/>
          <w:szCs w:val="32"/>
          <w:u w:val="none"/>
        </w:rPr>
        <w:t>无国有资本经营预算财政拨款安排的预算</w:t>
      </w:r>
      <w:r>
        <w:rPr>
          <w:rFonts w:hint="default" w:ascii="Times New Roman" w:hAnsi="Times New Roman" w:eastAsia="仿宋_GB2312" w:cs="Times New Roman"/>
          <w:color w:val="000000"/>
          <w:sz w:val="32"/>
          <w:szCs w:val="32"/>
          <w:u w:val="none"/>
          <w:lang w:eastAsia="zh-CN"/>
        </w:rPr>
        <w:t>。</w:t>
      </w:r>
    </w:p>
    <w:p>
      <w:pPr>
        <w:pageBreakBefore w:val="0"/>
        <w:widowControl w:val="0"/>
        <w:kinsoku/>
        <w:wordWrap/>
        <w:overflowPunct/>
        <w:topLinePunct w:val="0"/>
        <w:bidi w:val="0"/>
        <w:snapToGrid/>
        <w:spacing w:line="560" w:lineRule="exact"/>
        <w:ind w:left="0" w:leftChars="0" w:firstLine="640" w:firstLineChars="200"/>
        <w:textAlignment w:val="auto"/>
        <w:rPr>
          <w:rFonts w:hint="default" w:ascii="Times New Roman" w:hAnsi="Times New Roman" w:eastAsia="楷体_GB2312" w:cs="Times New Roman"/>
          <w:color w:val="000000"/>
          <w:sz w:val="32"/>
          <w:szCs w:val="32"/>
          <w:u w:val="none"/>
        </w:rPr>
      </w:pPr>
      <w:r>
        <w:rPr>
          <w:rFonts w:hint="default" w:ascii="Times New Roman" w:hAnsi="Times New Roman" w:eastAsia="楷体_GB2312" w:cs="Times New Roman"/>
          <w:color w:val="000000"/>
          <w:sz w:val="32"/>
          <w:szCs w:val="32"/>
          <w:u w:val="none"/>
        </w:rPr>
        <w:t>（七）国有资产占用情况说明</w:t>
      </w:r>
    </w:p>
    <w:p>
      <w:pPr>
        <w:pageBreakBefore w:val="0"/>
        <w:widowControl w:val="0"/>
        <w:kinsoku/>
        <w:wordWrap/>
        <w:overflowPunct/>
        <w:topLinePunct w:val="0"/>
        <w:bidi w:val="0"/>
        <w:snapToGrid/>
        <w:spacing w:line="560" w:lineRule="exact"/>
        <w:ind w:left="0" w:leftChars="0" w:firstLine="640" w:firstLineChars="200"/>
        <w:textAlignment w:val="auto"/>
        <w:rPr>
          <w:rFonts w:hint="default" w:ascii="Times New Roman" w:hAnsi="Times New Roman" w:eastAsia="仿宋_GB2312" w:cs="Times New Roman"/>
          <w:color w:val="000000"/>
          <w:sz w:val="32"/>
          <w:szCs w:val="32"/>
          <w:u w:val="none"/>
        </w:rPr>
      </w:pPr>
      <w:r>
        <w:rPr>
          <w:rFonts w:hint="default" w:ascii="Times New Roman" w:hAnsi="Times New Roman" w:eastAsia="仿宋_GB2312" w:cs="Times New Roman"/>
          <w:color w:val="000000"/>
          <w:sz w:val="32"/>
          <w:szCs w:val="32"/>
          <w:u w:val="none"/>
        </w:rPr>
        <w:t>截至</w:t>
      </w:r>
      <w:r>
        <w:rPr>
          <w:rFonts w:hint="default" w:ascii="Times New Roman" w:hAnsi="Times New Roman" w:eastAsia="仿宋_GB2312" w:cs="Times New Roman"/>
          <w:color w:val="000000"/>
          <w:sz w:val="32"/>
          <w:szCs w:val="32"/>
          <w:highlight w:val="none"/>
          <w:u w:val="none"/>
        </w:rPr>
        <w:t>2023</w:t>
      </w:r>
      <w:r>
        <w:rPr>
          <w:rFonts w:hint="default" w:ascii="Times New Roman" w:hAnsi="Times New Roman" w:eastAsia="仿宋_GB2312" w:cs="Times New Roman"/>
          <w:color w:val="000000"/>
          <w:sz w:val="32"/>
          <w:szCs w:val="32"/>
          <w:u w:val="none"/>
        </w:rPr>
        <w:t>年底，</w:t>
      </w:r>
      <w:r>
        <w:rPr>
          <w:rFonts w:hint="default" w:ascii="Times New Roman" w:hAnsi="Times New Roman" w:eastAsia="仿宋_GB2312" w:cs="Times New Roman"/>
          <w:color w:val="auto"/>
          <w:sz w:val="32"/>
          <w:szCs w:val="32"/>
          <w:lang w:val="en-US" w:eastAsia="zh-CN"/>
        </w:rPr>
        <w:t>北京市学校思想政治工作中心</w:t>
      </w:r>
      <w:r>
        <w:rPr>
          <w:rFonts w:hint="default" w:ascii="Times New Roman" w:hAnsi="Times New Roman" w:eastAsia="仿宋_GB2312" w:cs="Times New Roman"/>
          <w:color w:val="000000"/>
          <w:sz w:val="32"/>
          <w:szCs w:val="32"/>
          <w:u w:val="none"/>
        </w:rPr>
        <w:t>共有车辆</w:t>
      </w:r>
      <w:r>
        <w:rPr>
          <w:rFonts w:hint="default" w:ascii="Times New Roman" w:hAnsi="Times New Roman" w:eastAsia="仿宋_GB2312" w:cs="Times New Roman"/>
          <w:color w:val="000000"/>
          <w:sz w:val="32"/>
          <w:szCs w:val="32"/>
          <w:u w:val="none"/>
          <w:lang w:val="en-US" w:eastAsia="zh-CN"/>
        </w:rPr>
        <w:t>0</w:t>
      </w:r>
      <w:r>
        <w:rPr>
          <w:rFonts w:hint="default" w:ascii="Times New Roman" w:hAnsi="Times New Roman" w:eastAsia="仿宋_GB2312" w:cs="Times New Roman"/>
          <w:color w:val="000000"/>
          <w:sz w:val="32"/>
          <w:szCs w:val="32"/>
          <w:u w:val="none"/>
        </w:rPr>
        <w:t>台，共计</w:t>
      </w:r>
      <w:r>
        <w:rPr>
          <w:rFonts w:hint="default" w:ascii="Times New Roman" w:hAnsi="Times New Roman" w:eastAsia="仿宋_GB2312" w:cs="Times New Roman"/>
          <w:color w:val="000000"/>
          <w:sz w:val="32"/>
          <w:szCs w:val="32"/>
          <w:u w:val="none"/>
          <w:lang w:val="en-US" w:eastAsia="zh-CN"/>
        </w:rPr>
        <w:t>0</w:t>
      </w:r>
      <w:r>
        <w:rPr>
          <w:rFonts w:hint="default" w:ascii="Times New Roman" w:hAnsi="Times New Roman" w:eastAsia="仿宋_GB2312" w:cs="Times New Roman"/>
          <w:color w:val="000000"/>
          <w:sz w:val="32"/>
          <w:szCs w:val="32"/>
          <w:u w:val="none"/>
        </w:rPr>
        <w:t>万元；单位价值50万元以上的设备</w:t>
      </w:r>
      <w:r>
        <w:rPr>
          <w:rFonts w:hint="default" w:ascii="Times New Roman" w:hAnsi="Times New Roman" w:eastAsia="仿宋_GB2312" w:cs="Times New Roman"/>
          <w:color w:val="000000"/>
          <w:sz w:val="32"/>
          <w:szCs w:val="32"/>
          <w:u w:val="none"/>
          <w:lang w:val="en-US" w:eastAsia="zh-CN"/>
        </w:rPr>
        <w:t>0</w:t>
      </w:r>
      <w:r>
        <w:rPr>
          <w:rFonts w:hint="default" w:ascii="Times New Roman" w:hAnsi="Times New Roman" w:eastAsia="仿宋_GB2312" w:cs="Times New Roman"/>
          <w:color w:val="000000"/>
          <w:sz w:val="32"/>
          <w:szCs w:val="32"/>
          <w:u w:val="none"/>
        </w:rPr>
        <w:t>台（套）、共计</w:t>
      </w:r>
      <w:r>
        <w:rPr>
          <w:rFonts w:hint="default" w:ascii="Times New Roman" w:hAnsi="Times New Roman" w:eastAsia="仿宋_GB2312" w:cs="Times New Roman"/>
          <w:color w:val="000000"/>
          <w:sz w:val="32"/>
          <w:szCs w:val="32"/>
          <w:u w:val="none"/>
          <w:lang w:val="en-US" w:eastAsia="zh-CN"/>
        </w:rPr>
        <w:t>0</w:t>
      </w:r>
      <w:r>
        <w:rPr>
          <w:rFonts w:hint="default" w:ascii="Times New Roman" w:hAnsi="Times New Roman" w:eastAsia="仿宋_GB2312" w:cs="Times New Roman"/>
          <w:color w:val="000000"/>
          <w:sz w:val="32"/>
          <w:szCs w:val="32"/>
          <w:u w:val="none"/>
        </w:rPr>
        <w:t>万元。</w:t>
      </w:r>
      <w:r>
        <w:rPr>
          <w:rFonts w:hint="default" w:ascii="Times New Roman" w:hAnsi="Times New Roman" w:eastAsia="仿宋_GB2312" w:cs="Times New Roman"/>
          <w:color w:val="000000"/>
          <w:sz w:val="32"/>
          <w:szCs w:val="32"/>
          <w:u w:val="none"/>
          <w:lang w:val="en-US" w:eastAsia="zh-CN"/>
        </w:rPr>
        <w:t>2024年预算安排中，购置单位价值50万元以上的设备0台（套），共计0万元。</w:t>
      </w:r>
    </w:p>
    <w:p>
      <w:pPr>
        <w:pageBreakBefore w:val="0"/>
        <w:widowControl w:val="0"/>
        <w:kinsoku/>
        <w:wordWrap/>
        <w:overflowPunct/>
        <w:topLinePunct w:val="0"/>
        <w:bidi w:val="0"/>
        <w:snapToGrid/>
        <w:spacing w:line="560" w:lineRule="exact"/>
        <w:ind w:left="0" w:leftChars="0" w:firstLine="640" w:firstLineChars="200"/>
        <w:textAlignment w:val="auto"/>
        <w:rPr>
          <w:rFonts w:hint="default" w:ascii="Times New Roman" w:hAnsi="Times New Roman" w:eastAsia="黑体" w:cs="Times New Roman"/>
          <w:color w:val="000000"/>
          <w:sz w:val="32"/>
          <w:szCs w:val="32"/>
          <w:u w:val="none"/>
        </w:rPr>
      </w:pPr>
      <w:r>
        <w:rPr>
          <w:rFonts w:hint="default" w:ascii="Times New Roman" w:hAnsi="Times New Roman" w:eastAsia="黑体" w:cs="Times New Roman"/>
          <w:color w:val="000000"/>
          <w:sz w:val="32"/>
          <w:szCs w:val="32"/>
          <w:u w:val="none"/>
        </w:rPr>
        <w:t>六、名词解释</w:t>
      </w:r>
    </w:p>
    <w:p>
      <w:pPr>
        <w:pageBreakBefore w:val="0"/>
        <w:widowControl w:val="0"/>
        <w:kinsoku/>
        <w:wordWrap/>
        <w:overflowPunct/>
        <w:topLinePunct w:val="0"/>
        <w:bidi w:val="0"/>
        <w:snapToGrid/>
        <w:spacing w:line="560" w:lineRule="exact"/>
        <w:ind w:left="0" w:leftChars="0" w:firstLine="640" w:firstLineChars="200"/>
        <w:textAlignment w:val="auto"/>
        <w:rPr>
          <w:rFonts w:hint="default" w:ascii="Times New Roman" w:hAnsi="Times New Roman" w:eastAsia="仿宋_GB2312" w:cs="Times New Roman"/>
          <w:color w:val="000000"/>
          <w:sz w:val="32"/>
          <w:szCs w:val="32"/>
          <w:u w:val="none"/>
        </w:rPr>
      </w:pPr>
      <w:r>
        <w:rPr>
          <w:rFonts w:hint="default" w:ascii="Times New Roman" w:hAnsi="Times New Roman" w:eastAsia="仿宋_GB2312" w:cs="Times New Roman"/>
          <w:color w:val="000000"/>
          <w:sz w:val="32"/>
          <w:szCs w:val="32"/>
          <w:u w:val="none"/>
        </w:rPr>
        <w:t>基本支出：指为保障机构正常运转、完成日常工作任务而发生的人员支出和公用支出。</w:t>
      </w:r>
    </w:p>
    <w:p>
      <w:pPr>
        <w:pageBreakBefore w:val="0"/>
        <w:widowControl w:val="0"/>
        <w:kinsoku/>
        <w:wordWrap/>
        <w:overflowPunct/>
        <w:topLinePunct w:val="0"/>
        <w:bidi w:val="0"/>
        <w:snapToGrid/>
        <w:spacing w:line="560" w:lineRule="exact"/>
        <w:ind w:left="0" w:leftChars="0" w:firstLine="640" w:firstLineChars="200"/>
        <w:textAlignment w:val="auto"/>
        <w:rPr>
          <w:rFonts w:hint="default" w:ascii="Times New Roman" w:hAnsi="Times New Roman" w:eastAsia="仿宋_GB2312" w:cs="Times New Roman"/>
          <w:color w:val="000000"/>
          <w:sz w:val="32"/>
          <w:szCs w:val="32"/>
          <w:u w:val="none"/>
        </w:rPr>
      </w:pPr>
      <w:r>
        <w:rPr>
          <w:rFonts w:hint="default" w:ascii="Times New Roman" w:hAnsi="Times New Roman" w:eastAsia="仿宋_GB2312" w:cs="Times New Roman"/>
          <w:color w:val="000000"/>
          <w:sz w:val="32"/>
          <w:szCs w:val="32"/>
          <w:u w:val="none"/>
        </w:rPr>
        <w:t>项目支出：指在基本支出之外为完成特定行政任务或事业发展目标所发生的支出。</w:t>
      </w:r>
    </w:p>
    <w:p>
      <w:pPr>
        <w:pageBreakBefore w:val="0"/>
        <w:widowControl w:val="0"/>
        <w:kinsoku/>
        <w:wordWrap/>
        <w:overflowPunct/>
        <w:topLinePunct w:val="0"/>
        <w:bidi w:val="0"/>
        <w:snapToGrid/>
        <w:spacing w:line="560" w:lineRule="exact"/>
        <w:ind w:left="0" w:leftChars="0" w:firstLine="640" w:firstLineChars="200"/>
        <w:textAlignment w:val="auto"/>
        <w:rPr>
          <w:rFonts w:hint="default" w:ascii="Times New Roman" w:hAnsi="Times New Roman" w:eastAsia="仿宋_GB2312" w:cs="Times New Roman"/>
          <w:color w:val="000000"/>
          <w:sz w:val="32"/>
          <w:szCs w:val="32"/>
          <w:u w:val="none"/>
        </w:rPr>
      </w:pPr>
      <w:r>
        <w:rPr>
          <w:rFonts w:hint="default" w:ascii="Times New Roman" w:hAnsi="Times New Roman" w:eastAsia="仿宋_GB2312" w:cs="Times New Roman"/>
          <w:color w:val="000000"/>
          <w:sz w:val="32"/>
          <w:szCs w:val="32"/>
          <w:u w:val="none"/>
        </w:rPr>
        <w:t>“三公”经费财政拨款预算数：指本单位当年单位预算安排的因公出国（境）费用、公务接待费、公务用车购置和运行维护费预算数。</w:t>
      </w:r>
    </w:p>
    <w:p>
      <w:pPr>
        <w:pageBreakBefore w:val="0"/>
        <w:widowControl w:val="0"/>
        <w:kinsoku/>
        <w:wordWrap/>
        <w:overflowPunct/>
        <w:topLinePunct w:val="0"/>
        <w:bidi w:val="0"/>
        <w:snapToGrid/>
        <w:spacing w:line="560" w:lineRule="exact"/>
        <w:ind w:left="0" w:leftChars="0" w:firstLine="640" w:firstLineChars="200"/>
        <w:textAlignment w:val="auto"/>
        <w:rPr>
          <w:rFonts w:hint="default" w:ascii="Times New Roman" w:hAnsi="Times New Roman" w:eastAsia="仿宋_GB2312" w:cs="Times New Roman"/>
          <w:color w:val="000000"/>
          <w:sz w:val="32"/>
          <w:szCs w:val="32"/>
          <w:u w:val="none"/>
        </w:rPr>
      </w:pPr>
      <w:r>
        <w:rPr>
          <w:rFonts w:hint="default" w:ascii="Times New Roman" w:hAnsi="Times New Roman" w:eastAsia="仿宋_GB2312" w:cs="Times New Roman"/>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pPr>
        <w:pageBreakBefore w:val="0"/>
        <w:widowControl w:val="0"/>
        <w:kinsoku/>
        <w:wordWrap/>
        <w:overflowPunct/>
        <w:topLinePunct w:val="0"/>
        <w:bidi w:val="0"/>
        <w:snapToGrid/>
        <w:spacing w:line="560" w:lineRule="exact"/>
        <w:ind w:left="0" w:leftChars="0"/>
        <w:textAlignment w:val="auto"/>
        <w:rPr>
          <w:rFonts w:hint="default" w:ascii="Times New Roman" w:hAnsi="Times New Roman" w:cs="Times New Roman"/>
        </w:rPr>
      </w:pPr>
    </w:p>
    <w:p>
      <w:pPr>
        <w:pageBreakBefore w:val="0"/>
        <w:widowControl w:val="0"/>
        <w:kinsoku/>
        <w:wordWrap/>
        <w:overflowPunct/>
        <w:topLinePunct w:val="0"/>
        <w:autoSpaceDE/>
        <w:autoSpaceDN/>
        <w:bidi w:val="0"/>
        <w:adjustRightInd/>
        <w:snapToGrid/>
        <w:spacing w:beforeAutospacing="0" w:afterAutospacing="0" w:line="560" w:lineRule="exact"/>
        <w:ind w:left="0" w:leftChars="0"/>
        <w:jc w:val="center"/>
        <w:textAlignment w:val="auto"/>
        <w:rPr>
          <w:rFonts w:hint="default" w:ascii="Times New Roman" w:hAnsi="Times New Roman" w:eastAsia="方正小标宋简体" w:cs="Times New Roman"/>
          <w:color w:val="000000"/>
          <w:sz w:val="36"/>
          <w:szCs w:val="36"/>
          <w:u w:val="none"/>
        </w:rPr>
      </w:pPr>
      <w:r>
        <w:rPr>
          <w:rFonts w:hint="default" w:ascii="Times New Roman" w:hAnsi="Times New Roman" w:eastAsia="方正小标宋简体" w:cs="Times New Roman"/>
          <w:color w:val="000000"/>
          <w:sz w:val="36"/>
          <w:szCs w:val="36"/>
          <w:u w:val="none"/>
        </w:rPr>
        <w:t xml:space="preserve">第二部分  </w:t>
      </w:r>
      <w:r>
        <w:rPr>
          <w:rFonts w:hint="default" w:ascii="Times New Roman" w:hAnsi="Times New Roman" w:eastAsia="方正小标宋简体" w:cs="Times New Roman"/>
          <w:color w:val="000000"/>
          <w:sz w:val="36"/>
          <w:szCs w:val="36"/>
          <w:u w:val="none"/>
          <w:lang w:eastAsia="zh-CN"/>
        </w:rPr>
        <w:t>2024年度</w:t>
      </w:r>
      <w:r>
        <w:rPr>
          <w:rFonts w:hint="default" w:ascii="Times New Roman" w:hAnsi="Times New Roman" w:eastAsia="方正小标宋简体" w:cs="Times New Roman"/>
          <w:color w:val="000000"/>
          <w:sz w:val="36"/>
          <w:szCs w:val="36"/>
          <w:u w:val="none"/>
        </w:rPr>
        <w:t>单位预算报表</w:t>
      </w:r>
    </w:p>
    <w:p>
      <w:pPr>
        <w:pageBreakBefore w:val="0"/>
        <w:widowControl w:val="0"/>
        <w:kinsoku/>
        <w:wordWrap/>
        <w:overflowPunct/>
        <w:topLinePunct w:val="0"/>
        <w:autoSpaceDE w:val="0"/>
        <w:autoSpaceDN w:val="0"/>
        <w:bidi w:val="0"/>
        <w:adjustRightInd w:val="0"/>
        <w:snapToGrid/>
        <w:spacing w:line="560" w:lineRule="exact"/>
        <w:ind w:left="0" w:leftChars="0"/>
        <w:jc w:val="left"/>
        <w:textAlignment w:val="auto"/>
        <w:rPr>
          <w:rFonts w:hint="default" w:ascii="Times New Roman" w:hAnsi="Times New Roman" w:eastAsia="方正小标宋简体" w:cs="Times New Roman"/>
          <w:color w:val="000000"/>
          <w:sz w:val="36"/>
          <w:szCs w:val="36"/>
          <w:u w:val="none"/>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000000"/>
          <w:sz w:val="32"/>
          <w:szCs w:val="32"/>
          <w:u w:val="none"/>
        </w:rPr>
      </w:pPr>
      <w:r>
        <w:rPr>
          <w:rFonts w:hint="default" w:ascii="Times New Roman" w:hAnsi="Times New Roman" w:eastAsia="仿宋_GB2312" w:cs="Times New Roman"/>
          <w:color w:val="000000"/>
          <w:sz w:val="32"/>
          <w:szCs w:val="32"/>
          <w:u w:val="none"/>
        </w:rPr>
        <w:t>附件：</w:t>
      </w:r>
      <w:r>
        <w:rPr>
          <w:rFonts w:hint="default" w:ascii="Times New Roman" w:hAnsi="Times New Roman" w:eastAsia="仿宋_GB2312" w:cs="Times New Roman"/>
          <w:color w:val="auto"/>
          <w:sz w:val="32"/>
          <w:szCs w:val="32"/>
          <w:lang w:val="en-US" w:eastAsia="zh-CN"/>
        </w:rPr>
        <w:t>北京市学校思想政治工作中心</w:t>
      </w:r>
      <w:r>
        <w:rPr>
          <w:rFonts w:hint="default" w:ascii="Times New Roman" w:hAnsi="Times New Roman" w:eastAsia="仿宋_GB2312" w:cs="Times New Roman"/>
          <w:color w:val="000000"/>
          <w:sz w:val="32"/>
          <w:szCs w:val="32"/>
          <w:u w:val="none"/>
          <w:lang w:eastAsia="zh-CN"/>
        </w:rPr>
        <w:t>2024年</w:t>
      </w:r>
      <w:r>
        <w:rPr>
          <w:rFonts w:hint="default" w:ascii="Times New Roman" w:hAnsi="Times New Roman" w:eastAsia="仿宋_GB2312" w:cs="Times New Roman"/>
          <w:color w:val="000000"/>
          <w:sz w:val="32"/>
          <w:szCs w:val="32"/>
          <w:u w:val="none"/>
        </w:rPr>
        <w:t>度单位预</w:t>
      </w:r>
      <w:r>
        <w:rPr>
          <w:rFonts w:hint="default" w:ascii="Times New Roman" w:hAnsi="Times New Roman" w:eastAsia="仿宋_GB2312" w:cs="Times New Roman"/>
          <w:color w:val="000000"/>
          <w:sz w:val="32"/>
          <w:szCs w:val="32"/>
          <w:u w:val="none"/>
        </w:rPr>
        <w:br w:type="textWrapping"/>
      </w:r>
      <w:r>
        <w:rPr>
          <w:rFonts w:hint="default" w:ascii="Times New Roman" w:hAnsi="Times New Roman" w:eastAsia="仿宋_GB2312" w:cs="Times New Roman"/>
          <w:color w:val="000000"/>
          <w:sz w:val="32"/>
          <w:szCs w:val="32"/>
          <w:u w:val="none"/>
          <w:lang w:val="en-US" w:eastAsia="zh-CN"/>
        </w:rPr>
        <w:t xml:space="preserve">          </w:t>
      </w:r>
      <w:r>
        <w:rPr>
          <w:rFonts w:hint="default" w:ascii="Times New Roman" w:hAnsi="Times New Roman" w:eastAsia="仿宋_GB2312" w:cs="Times New Roman"/>
          <w:color w:val="000000"/>
          <w:sz w:val="32"/>
          <w:szCs w:val="32"/>
          <w:u w:val="none"/>
        </w:rPr>
        <w:t>算报表</w:t>
      </w:r>
      <w:r>
        <w:rPr>
          <w:rFonts w:hint="default" w:ascii="Times New Roman" w:hAnsi="Times New Roman" w:eastAsia="仿宋_GB2312" w:cs="Times New Roman"/>
          <w:color w:val="000000"/>
          <w:kern w:val="0"/>
          <w:sz w:val="32"/>
          <w:szCs w:val="32"/>
          <w:u w:val="none"/>
          <w:lang w:val="zh-CN"/>
        </w:rPr>
        <w:t xml:space="preserve"> </w:t>
      </w:r>
    </w:p>
    <w:p>
      <w:pPr>
        <w:rPr>
          <w:rFonts w:hint="default" w:ascii="Times New Roman" w:hAnsi="Times New Roman" w:cs="Times New Roma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roid Sans">
    <w:altName w:val="Noto Serif CJK JP"/>
    <w:panose1 w:val="00000000000000000000"/>
    <w:charset w:val="00"/>
    <w:family w:val="auto"/>
    <w:pitch w:val="default"/>
    <w:sig w:usb0="00000000" w:usb1="00000000" w:usb2="00000000" w:usb3="00000000" w:csb0="00040001" w:csb1="00000000"/>
  </w:font>
  <w:font w:name="Cambria">
    <w:altName w:val="Noto Sans Syriac Eastern"/>
    <w:panose1 w:val="02040503050406030204"/>
    <w:charset w:val="00"/>
    <w:family w:val="roman"/>
    <w:pitch w:val="default"/>
    <w:sig w:usb0="00000000" w:usb1="00000000"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Noto Serif CJK JP">
    <w:panose1 w:val="02020400000000000000"/>
    <w:charset w:val="86"/>
    <w:family w:val="auto"/>
    <w:pitch w:val="default"/>
    <w:sig w:usb0="3000008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4ZGEzN2ZjYTRhNWEzZThlNWYxZTU2ZmJmOWU5NjEifQ=="/>
  </w:docVars>
  <w:rsids>
    <w:rsidRoot w:val="0F506A86"/>
    <w:rsid w:val="091A7377"/>
    <w:rsid w:val="09F705FA"/>
    <w:rsid w:val="0F506A86"/>
    <w:rsid w:val="14C73A06"/>
    <w:rsid w:val="1A3F6DFB"/>
    <w:rsid w:val="1AE120AF"/>
    <w:rsid w:val="1B394F94"/>
    <w:rsid w:val="200A3A07"/>
    <w:rsid w:val="2A2655B6"/>
    <w:rsid w:val="2E3031D3"/>
    <w:rsid w:val="37710FF7"/>
    <w:rsid w:val="443A225E"/>
    <w:rsid w:val="452D435A"/>
    <w:rsid w:val="4D411502"/>
    <w:rsid w:val="543A42B8"/>
    <w:rsid w:val="5816612A"/>
    <w:rsid w:val="6DF2039B"/>
    <w:rsid w:val="728E6697"/>
    <w:rsid w:val="DEF6B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Indent"/>
    <w:basedOn w:val="1"/>
    <w:next w:val="1"/>
    <w:unhideWhenUsed/>
    <w:qFormat/>
    <w:uiPriority w:val="99"/>
    <w:pPr>
      <w:spacing w:after="120"/>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2"/>
    <w:basedOn w:val="3"/>
    <w:unhideWhenUsed/>
    <w:qFormat/>
    <w:uiPriority w:val="99"/>
    <w:pPr>
      <w:spacing w:line="240" w:lineRule="auto"/>
      <w:ind w:firstLine="42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manualLayout>
          <c:layoutTarget val="inner"/>
          <c:xMode val="edge"/>
          <c:yMode val="edge"/>
          <c:x val="0.166805555555556"/>
          <c:y val="0.106011474183088"/>
          <c:w val="0.432361111111111"/>
          <c:h val="0.776502868545772"/>
        </c:manualLayout>
      </c:layout>
      <c:pieChart>
        <c:varyColors val="true"/>
        <c:ser>
          <c:idx val="0"/>
          <c:order val="0"/>
          <c:tx>
            <c:strRef>
              <c:f>[工作簿1]Sheet1!$A$1</c:f>
              <c:strCache>
                <c:ptCount val="1"/>
                <c:pt idx="0">
                  <c:v>收入类型</c:v>
                </c:pt>
              </c:strCache>
            </c:strRef>
          </c:tx>
          <c:spPr/>
          <c:explosion val="0"/>
          <c:dPt>
            <c:idx val="0"/>
            <c:bubble3D val="false"/>
            <c:spPr>
              <a:solidFill>
                <a:schemeClr val="accent1"/>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[工作簿1]Sheet1!$A$2</c:f>
              <c:strCache>
                <c:ptCount val="1"/>
                <c:pt idx="0">
                  <c:v>一般公共预算拨款收入</c:v>
                </c:pt>
              </c:strCache>
            </c:strRef>
          </c:cat>
          <c:val>
            <c:numRef>
              <c:f>[工作簿1]Sheet1!$B$2</c:f>
              <c:numCache>
                <c:formatCode>General</c:formatCode>
                <c:ptCount val="1"/>
                <c:pt idx="0">
                  <c:v>1031.62</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r"/>
      <c:layout>
        <c:manualLayout>
          <c:xMode val="edge"/>
          <c:yMode val="edge"/>
          <c:x val="0.641805555555555"/>
          <c:y val="0.452309358341879"/>
        </c:manualLayout>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pieChart>
        <c:varyColors val="true"/>
        <c:ser>
          <c:idx val="0"/>
          <c:order val="0"/>
          <c:tx>
            <c:strRef>
              <c:f>Sheet1!$B$1</c:f>
              <c:strCache>
                <c:ptCount val="1"/>
                <c:pt idx="0">
                  <c:v>列1</c:v>
                </c:pt>
              </c:strCache>
            </c:strRef>
          </c:tx>
          <c:spPr/>
          <c:explosion val="0"/>
          <c:dPt>
            <c:idx val="0"/>
            <c:bubble3D val="false"/>
            <c:spPr>
              <a:solidFill>
                <a:schemeClr val="accent1"/>
              </a:solidFill>
              <a:ln>
                <a:solidFill>
                  <a:schemeClr val="bg1"/>
                </a:solidFill>
              </a:ln>
              <a:effectLst/>
            </c:spPr>
          </c:dPt>
          <c:dPt>
            <c:idx val="1"/>
            <c:bubble3D val="false"/>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719</c:v>
                </c:pt>
                <c:pt idx="1">
                  <c:v>485</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r"/>
      <c:layout>
        <c:manualLayout>
          <c:xMode val="edge"/>
          <c:yMode val="edge"/>
          <c:x val="0.74418730738626"/>
          <c:y val="0.387590310242244"/>
        </c:manualLayout>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true">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2024-02-26T16:13:00Z</dcterms:created>
  <dc:creator>彭莹莹</dc:creator>
  <cp:lastModifiedBy>jgw1</cp:lastModifiedBy>
  <cp:lastPrinted>2024-02-28T16:32:00Z</cp:lastPrinted>
  <dcterms:modified xsi:type="dcterms:W3CDTF">2024-03-12T10:36:49Z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9E875C1657344464BC804BD3E1D607AA_11</vt:lpwstr>
  </property>
</Properties>
</file>