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napToGrid w:val="0"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2022年度中央对北京市彩票公益金</w:t>
      </w:r>
    </w:p>
    <w:p>
      <w:pPr>
        <w:snapToGrid w:val="0"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转移支付预算执行情况自评报告</w:t>
      </w:r>
    </w:p>
    <w:p>
      <w:pPr>
        <w:jc w:val="center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一、转移支付基本情况</w:t>
      </w:r>
    </w:p>
    <w:p>
      <w:pPr>
        <w:spacing w:line="560" w:lineRule="exact"/>
        <w:ind w:firstLine="640" w:firstLineChars="200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（一）彩票公益金转移支付概况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学校申报，市教委组织专家评审推荐，教育部审核批准，北京大学、北京邮电大学、北京理工大学、北京航空航天大学、北京科技大学、北京工业大学6所高校作为国家级创新创业学院建设单位，清华大学、北京交通大学、北京建筑大学、北京信息科技大学4所高校作为国家级创新创业教育实践基地。财政部下达北京市“中央专项彩票公益金大学生创新创业教育项目”资金500万元，用于支持双创学院、实践基地建设，资金于7月下达市教委本级。</w:t>
      </w:r>
    </w:p>
    <w:p>
      <w:pPr>
        <w:spacing w:line="560" w:lineRule="exact"/>
        <w:ind w:firstLine="640" w:firstLineChars="200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（二）资金投入情况分析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6所创新创业学院和4所创新创业教育实践基地,通过中央下拨和自筹资金等方式共投入资金2375.012万元,执行2309.512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，执行率97.24%。</w:t>
      </w:r>
    </w:p>
    <w:p>
      <w:pPr>
        <w:spacing w:line="560" w:lineRule="exact"/>
        <w:ind w:firstLine="640" w:firstLineChars="200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（三）资金管理情况分析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中央专项彩票公益金大学生创新创业教育项目”资金500万元，按每个项目5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0万拨付。7所中央在京高校拨付到校，3所市属高校按预算经费申报程序拨付。按照教育部要求制定了绩效指标，要求各高校根据实际情况，对资金进行使用并履行支出责任。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二、绩效目标实现情况</w:t>
      </w:r>
    </w:p>
    <w:p>
      <w:pPr>
        <w:spacing w:line="560" w:lineRule="exact"/>
        <w:ind w:firstLine="640" w:firstLineChars="200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（一）总体目标完成情况分析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双创教育学院建设主要完成课题研究、课程教材建设、双创教育师资培训等建设任务。6个建设单位开展课题研究161项，完成课程建设199门，开发教材22种，培训师资6920人次，新建课程选课人数18039人次，服务院校11所。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2.双创教育实践基地项目主要完成组织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创新创业训练项目、组织“青年红色筑梦之旅”团队、孵化落地项目、带动就业等任务。4个建设单位完成982项创新创业训练项目，组织"青年红色筑梦之旅"团队163个，孵化落地项目9项，服务其他院校26所。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除此之外，各校结合自身优势特色，按照建设任务书的建设目标和任务，完成了其他特色工作。</w:t>
      </w:r>
    </w:p>
    <w:p>
      <w:pPr>
        <w:spacing w:line="560" w:lineRule="exact"/>
        <w:ind w:firstLine="640" w:firstLineChars="200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（二）绩效指标完成情况分析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产出指标：开展课题研究161项，完成课程建设199门，开发教材22种，培训师资6920人次，新建课程选课人数18039人次，服务院校11所。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效益指标：完成实践基地孵化落地项目9个，带动就业岗位数85人，服务其他院校数37。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满意度指标：10个建设单位学生满意度均超过95%。</w:t>
      </w:r>
    </w:p>
    <w:p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三、绩效自评结论</w:t>
      </w:r>
    </w:p>
    <w:p>
      <w:pPr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经费足额拨付，基本完成年度工作任务，达到年度绩效目标。绩效自评分数为95，等级为优。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971DC8"/>
    <w:rsid w:val="00070B2D"/>
    <w:rsid w:val="001766DD"/>
    <w:rsid w:val="00196918"/>
    <w:rsid w:val="00431052"/>
    <w:rsid w:val="00697DAE"/>
    <w:rsid w:val="00836B4F"/>
    <w:rsid w:val="00870BAB"/>
    <w:rsid w:val="008A3475"/>
    <w:rsid w:val="008B3FD6"/>
    <w:rsid w:val="00971DC8"/>
    <w:rsid w:val="009934AA"/>
    <w:rsid w:val="00A31D65"/>
    <w:rsid w:val="00AB4951"/>
    <w:rsid w:val="00C122A6"/>
    <w:rsid w:val="00E22BF0"/>
    <w:rsid w:val="01514187"/>
    <w:rsid w:val="0B1C3A38"/>
    <w:rsid w:val="1174460E"/>
    <w:rsid w:val="15303644"/>
    <w:rsid w:val="39BC572F"/>
    <w:rsid w:val="52B70F1D"/>
    <w:rsid w:val="60CB1BE6"/>
    <w:rsid w:val="6FC426D4"/>
    <w:rsid w:val="7D3D1E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next w:val="1"/>
    <w:qFormat/>
    <w:uiPriority w:val="0"/>
    <w:pPr>
      <w:keepNext/>
      <w:keepLines/>
      <w:spacing w:before="260" w:after="260" w:line="416" w:lineRule="auto"/>
      <w:textAlignment w:val="baseline"/>
    </w:pPr>
    <w:rPr>
      <w:rFonts w:ascii="Cambria" w:hAnsi="Cambria" w:cs="宋体"/>
      <w:b/>
      <w:bCs/>
      <w:sz w:val="32"/>
      <w:szCs w:val="32"/>
    </w:rPr>
  </w:style>
  <w:style w:type="paragraph" w:styleId="3">
    <w:name w:val="annotation text"/>
    <w:basedOn w:val="1"/>
    <w:link w:val="12"/>
    <w:uiPriority w:val="0"/>
    <w:pPr>
      <w:jc w:val="left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批注文字 字符"/>
    <w:basedOn w:val="8"/>
    <w:link w:val="3"/>
    <w:qFormat/>
    <w:uiPriority w:val="0"/>
    <w:rPr>
      <w:rFonts w:ascii="Times New Roman" w:hAnsi="Times New Roman" w:eastAsia="仿宋_GB2312" w:cs="Times New Roman"/>
      <w:kern w:val="2"/>
      <w:sz w:val="30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rFonts w:ascii="Times New Roman" w:hAnsi="Times New Roman" w:eastAsia="仿宋_GB2312" w:cs="Times New Roman"/>
      <w:b/>
      <w:bCs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891</Words>
  <Characters>957</Characters>
  <Lines>6</Lines>
  <Paragraphs>1</Paragraphs>
  <TotalTime>1</TotalTime>
  <ScaleCrop>false</ScaleCrop>
  <LinksUpToDate>false</LinksUpToDate>
  <CharactersWithSpaces>957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2023-06-09T23:47:00Z</dcterms:created>
  <dc:creator>jxd</dc:creator>
  <cp:lastModifiedBy>晓爽</cp:lastModifiedBy>
  <dcterms:modified xsi:type="dcterms:W3CDTF">2023-06-12T00:42:17Z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C50295B983A14869993BD4883C4C1C04_12</vt:lpwstr>
  </property>
</Properties>
</file>