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10" w:type="dxa"/>
        <w:tblLayout w:type="autofit"/>
        <w:tblCellMar>
          <w:top w:w="0" w:type="dxa"/>
          <w:left w:w="108" w:type="dxa"/>
          <w:bottom w:w="0" w:type="dxa"/>
          <w:right w:w="108" w:type="dxa"/>
        </w:tblCellMar>
      </w:tblPr>
      <w:tblGrid>
        <w:gridCol w:w="528"/>
        <w:gridCol w:w="530"/>
        <w:gridCol w:w="1020"/>
        <w:gridCol w:w="1104"/>
        <w:gridCol w:w="975"/>
        <w:gridCol w:w="1370"/>
        <w:gridCol w:w="1233"/>
        <w:gridCol w:w="1233"/>
        <w:gridCol w:w="450"/>
        <w:gridCol w:w="860"/>
        <w:gridCol w:w="649"/>
      </w:tblGrid>
      <w:tr>
        <w:tblPrEx>
          <w:tblCellMar>
            <w:top w:w="0" w:type="dxa"/>
            <w:left w:w="108" w:type="dxa"/>
            <w:bottom w:w="0" w:type="dxa"/>
            <w:right w:w="108" w:type="dxa"/>
          </w:tblCellMar>
        </w:tblPrEx>
        <w:trPr>
          <w:trHeight w:val="408" w:hRule="atLeast"/>
        </w:trPr>
        <w:tc>
          <w:tcPr>
            <w:tcW w:w="0" w:type="auto"/>
            <w:gridSpan w:val="11"/>
            <w:tcBorders>
              <w:top w:val="nil"/>
              <w:left w:val="nil"/>
              <w:bottom w:val="nil"/>
              <w:right w:val="nil"/>
            </w:tcBorders>
            <w:shd w:val="clear" w:color="auto" w:fill="auto"/>
            <w:vAlign w:val="center"/>
          </w:tcPr>
          <w:p>
            <w:pPr>
              <w:widowControl/>
              <w:jc w:val="center"/>
              <w:rPr>
                <w:rFonts w:ascii="宋体" w:hAnsi="宋体" w:eastAsia="宋体" w:cs="宋体"/>
                <w:b/>
                <w:bCs/>
                <w:color w:val="000000"/>
                <w:kern w:val="0"/>
                <w:sz w:val="32"/>
                <w:szCs w:val="32"/>
              </w:rPr>
            </w:pPr>
            <w:r>
              <w:rPr>
                <w:rFonts w:hint="eastAsia" w:ascii="宋体" w:hAnsi="宋体" w:eastAsia="宋体" w:cs="宋体"/>
                <w:b/>
                <w:bCs/>
                <w:color w:val="000000"/>
                <w:kern w:val="0"/>
                <w:sz w:val="32"/>
                <w:szCs w:val="32"/>
              </w:rPr>
              <w:t>项目支出绩效自评表</w:t>
            </w:r>
            <w:r>
              <w:rPr>
                <w:rFonts w:hint="eastAsia" w:ascii="宋体" w:hAnsi="宋体" w:eastAsia="宋体" w:cs="宋体"/>
                <w:color w:val="000000"/>
                <w:kern w:val="0"/>
                <w:sz w:val="32"/>
                <w:szCs w:val="32"/>
              </w:rPr>
              <w:t xml:space="preserve"> </w:t>
            </w:r>
          </w:p>
        </w:tc>
      </w:tr>
      <w:tr>
        <w:tblPrEx>
          <w:tblCellMar>
            <w:top w:w="0" w:type="dxa"/>
            <w:left w:w="108" w:type="dxa"/>
            <w:bottom w:w="0" w:type="dxa"/>
            <w:right w:w="108" w:type="dxa"/>
          </w:tblCellMar>
        </w:tblPrEx>
        <w:trPr>
          <w:trHeight w:val="279" w:hRule="atLeast"/>
        </w:trPr>
        <w:tc>
          <w:tcPr>
            <w:tcW w:w="0" w:type="auto"/>
            <w:gridSpan w:val="11"/>
            <w:tcBorders>
              <w:top w:val="nil"/>
              <w:left w:val="nil"/>
              <w:bottom w:val="nil"/>
              <w:right w:val="nil"/>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（2021年度）</w:t>
            </w:r>
          </w:p>
        </w:tc>
      </w:tr>
      <w:tr>
        <w:tblPrEx>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vAlign w:val="center"/>
          </w:tcPr>
          <w:p>
            <w:pPr>
              <w:widowControl/>
              <w:jc w:val="center"/>
              <w:rPr>
                <w:rFonts w:ascii="宋体" w:hAnsi="宋体" w:eastAsia="宋体" w:cs="宋体"/>
                <w:color w:val="000000"/>
                <w:kern w:val="0"/>
                <w:sz w:val="22"/>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center"/>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288" w:hRule="atLeast"/>
        </w:trPr>
        <w:tc>
          <w:tcPr>
            <w:tcW w:w="0" w:type="auto"/>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项目名称</w:t>
            </w:r>
          </w:p>
        </w:tc>
        <w:tc>
          <w:tcPr>
            <w:tcW w:w="0" w:type="auto"/>
            <w:gridSpan w:val="8"/>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科技创新服务能力建设-前沿医学研究院建设经费（科研类）</w:t>
            </w:r>
          </w:p>
        </w:tc>
      </w:tr>
      <w:tr>
        <w:tblPrEx>
          <w:tblCellMar>
            <w:top w:w="0" w:type="dxa"/>
            <w:left w:w="108" w:type="dxa"/>
            <w:bottom w:w="0" w:type="dxa"/>
            <w:right w:w="108" w:type="dxa"/>
          </w:tblCellMar>
        </w:tblPrEx>
        <w:trPr>
          <w:trHeight w:val="288" w:hRule="atLeast"/>
        </w:trPr>
        <w:tc>
          <w:tcPr>
            <w:tcW w:w="0" w:type="auto"/>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主管部门</w:t>
            </w:r>
          </w:p>
        </w:tc>
        <w:tc>
          <w:tcPr>
            <w:tcW w:w="0" w:type="auto"/>
            <w:gridSpan w:val="3"/>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北京市教育委员会</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实施单位</w:t>
            </w:r>
          </w:p>
        </w:tc>
        <w:tc>
          <w:tcPr>
            <w:tcW w:w="0" w:type="auto"/>
            <w:gridSpan w:val="4"/>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首都医科大学</w:t>
            </w:r>
          </w:p>
        </w:tc>
      </w:tr>
      <w:tr>
        <w:tblPrEx>
          <w:tblCellMar>
            <w:top w:w="0" w:type="dxa"/>
            <w:left w:w="108" w:type="dxa"/>
            <w:bottom w:w="0" w:type="dxa"/>
            <w:right w:w="108" w:type="dxa"/>
          </w:tblCellMar>
        </w:tblPrEx>
        <w:trPr>
          <w:trHeight w:val="288" w:hRule="atLeast"/>
        </w:trPr>
        <w:tc>
          <w:tcPr>
            <w:tcW w:w="0" w:type="auto"/>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项目负责人</w:t>
            </w:r>
          </w:p>
        </w:tc>
        <w:tc>
          <w:tcPr>
            <w:tcW w:w="0" w:type="auto"/>
            <w:gridSpan w:val="3"/>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联系电话</w:t>
            </w:r>
          </w:p>
        </w:tc>
        <w:tc>
          <w:tcPr>
            <w:tcW w:w="0" w:type="auto"/>
            <w:gridSpan w:val="4"/>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288" w:hRule="atLeast"/>
        </w:trPr>
        <w:tc>
          <w:tcPr>
            <w:tcW w:w="0" w:type="auto"/>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项目资金</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(万元）</w:t>
            </w:r>
          </w:p>
        </w:tc>
        <w:tc>
          <w:tcPr>
            <w:tcW w:w="0" w:type="auto"/>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年初预算数</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全年预算数</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全年执行数</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分值</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执行率</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得分</w:t>
            </w:r>
          </w:p>
        </w:tc>
      </w:tr>
      <w:tr>
        <w:tblPrEx>
          <w:tblCellMar>
            <w:top w:w="0" w:type="dxa"/>
            <w:left w:w="108" w:type="dxa"/>
            <w:bottom w:w="0" w:type="dxa"/>
            <w:right w:w="108" w:type="dxa"/>
          </w:tblCellMar>
        </w:tblPrEx>
        <w:trPr>
          <w:trHeight w:val="288" w:hRule="atLeast"/>
        </w:trPr>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年度资金总额：</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0.000000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18"/>
                <w:szCs w:val="20"/>
              </w:rPr>
            </w:pPr>
            <w:r>
              <w:rPr>
                <w:rFonts w:hint="eastAsia" w:ascii="宋体" w:hAnsi="宋体" w:eastAsia="宋体" w:cs="宋体"/>
                <w:color w:val="000000"/>
                <w:kern w:val="0"/>
                <w:sz w:val="18"/>
                <w:szCs w:val="20"/>
              </w:rPr>
              <w:t>3274.000000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18"/>
                <w:szCs w:val="20"/>
              </w:rPr>
            </w:pPr>
            <w:r>
              <w:rPr>
                <w:rFonts w:hint="eastAsia" w:ascii="宋体" w:hAnsi="宋体" w:eastAsia="宋体" w:cs="宋体"/>
                <w:color w:val="000000"/>
                <w:kern w:val="0"/>
                <w:sz w:val="18"/>
                <w:szCs w:val="20"/>
              </w:rPr>
              <w:t>1400.000000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42.76%</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xml:space="preserve">4.28 </w:t>
            </w:r>
          </w:p>
        </w:tc>
      </w:tr>
      <w:tr>
        <w:tblPrEx>
          <w:tblCellMar>
            <w:top w:w="0" w:type="dxa"/>
            <w:left w:w="108" w:type="dxa"/>
            <w:bottom w:w="0" w:type="dxa"/>
            <w:right w:w="108" w:type="dxa"/>
          </w:tblCellMar>
        </w:tblPrEx>
        <w:trPr>
          <w:trHeight w:val="288" w:hRule="atLeast"/>
        </w:trPr>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其中：当年财政拨款</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0.000000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18"/>
                <w:szCs w:val="20"/>
              </w:rPr>
            </w:pPr>
            <w:r>
              <w:rPr>
                <w:rFonts w:hint="eastAsia" w:ascii="宋体" w:hAnsi="宋体" w:eastAsia="宋体" w:cs="宋体"/>
                <w:color w:val="000000"/>
                <w:kern w:val="0"/>
                <w:sz w:val="18"/>
                <w:szCs w:val="20"/>
              </w:rPr>
              <w:t>3274.000000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18"/>
                <w:szCs w:val="20"/>
              </w:rPr>
            </w:pPr>
            <w:r>
              <w:rPr>
                <w:rFonts w:hint="eastAsia" w:ascii="宋体" w:hAnsi="宋体" w:eastAsia="宋体" w:cs="宋体"/>
                <w:color w:val="000000"/>
                <w:kern w:val="0"/>
                <w:sz w:val="18"/>
                <w:szCs w:val="20"/>
              </w:rPr>
              <w:t>1400.000000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42.76%</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w:t>
            </w:r>
          </w:p>
        </w:tc>
      </w:tr>
      <w:tr>
        <w:tblPrEx>
          <w:tblCellMar>
            <w:top w:w="0" w:type="dxa"/>
            <w:left w:w="108" w:type="dxa"/>
            <w:bottom w:w="0" w:type="dxa"/>
            <w:right w:w="108" w:type="dxa"/>
          </w:tblCellMar>
        </w:tblPrEx>
        <w:trPr>
          <w:trHeight w:val="288" w:hRule="atLeast"/>
        </w:trPr>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gridSpan w:val="2"/>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xml:space="preserve">     上年结转资金</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w:t>
            </w:r>
          </w:p>
        </w:tc>
      </w:tr>
      <w:tr>
        <w:tblPrEx>
          <w:tblCellMar>
            <w:top w:w="0" w:type="dxa"/>
            <w:left w:w="108" w:type="dxa"/>
            <w:bottom w:w="0" w:type="dxa"/>
            <w:right w:w="108" w:type="dxa"/>
          </w:tblCellMar>
        </w:tblPrEx>
        <w:trPr>
          <w:trHeight w:val="288" w:hRule="atLeast"/>
        </w:trPr>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gridSpan w:val="2"/>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xml:space="preserve">          其他资金</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w:t>
            </w:r>
          </w:p>
        </w:tc>
      </w:tr>
      <w:tr>
        <w:tblPrEx>
          <w:tblCellMar>
            <w:top w:w="0" w:type="dxa"/>
            <w:left w:w="108" w:type="dxa"/>
            <w:bottom w:w="0" w:type="dxa"/>
            <w:right w:w="108" w:type="dxa"/>
          </w:tblCellMar>
        </w:tblPrEx>
        <w:trPr>
          <w:trHeight w:val="288" w:hRule="atLeast"/>
        </w:trPr>
        <w:tc>
          <w:tcPr>
            <w:tcW w:w="0" w:type="auto"/>
            <w:vMerge w:val="restart"/>
            <w:tcBorders>
              <w:top w:val="nil"/>
              <w:left w:val="single" w:color="auto" w:sz="4" w:space="0"/>
              <w:bottom w:val="single" w:color="000000" w:sz="4" w:space="0"/>
              <w:right w:val="single" w:color="auto" w:sz="4" w:space="0"/>
            </w:tcBorders>
            <w:shd w:val="clear" w:color="auto" w:fill="auto"/>
            <w:noWrap/>
            <w:textDirection w:val="tbRlV"/>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年度总体目标</w:t>
            </w:r>
          </w:p>
        </w:tc>
        <w:tc>
          <w:tcPr>
            <w:tcW w:w="0" w:type="auto"/>
            <w:gridSpan w:val="5"/>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预期目标</w:t>
            </w:r>
          </w:p>
        </w:tc>
        <w:tc>
          <w:tcPr>
            <w:tcW w:w="0" w:type="auto"/>
            <w:gridSpan w:val="5"/>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实际完成情况</w:t>
            </w:r>
          </w:p>
        </w:tc>
      </w:tr>
      <w:tr>
        <w:tblPrEx>
          <w:tblCellMar>
            <w:top w:w="0" w:type="dxa"/>
            <w:left w:w="108" w:type="dxa"/>
            <w:bottom w:w="0" w:type="dxa"/>
            <w:right w:w="108" w:type="dxa"/>
          </w:tblCellMar>
        </w:tblPrEx>
        <w:trPr>
          <w:trHeight w:val="5139"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gridSpan w:val="5"/>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xml:space="preserve">    为贯彻落实健康中国战略，加快建设创新型国家，服务首都“科创中心”建设，汇聚一批世界范围内高水平华人专家学者在生命科学和医学领域进行原创性研究，并在此基础上加快实现创新成果转化及产业化发展。学校拟建设首都医科大学前沿医学研究院。前沿医学研究院作为学校新型研发平台和学校的科技特区和人才特区，“搭平台、聚人才、出成果”，结合附属医院的临床优势，依托独立运行的研究团队，着力推进新体制新机制建设，破除体制机制障碍，尽可能为北京医学研究机构体制机制的探索提供基础，前沿医学研究院先期建设，是首都医学科学中心的前身。</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    研究院根据科学研究、技术创新和人才培养的实际需求，以临床专科院系优势领域为核心下设研究中心，灵活配置人员、组织团队。并在全球视野下加快吸纳、集聚、培养一批国内外顶尖高层次创新人才，着力打造高水平创新团队；鼓励学科交叉，推动学科发展，着力推动现代科学前沿技术在医学领域的应用，产生一批有影响的成果，促进核心竞争力提升，为北京乃至国家贡献原创性技术，促进解决人类健康领域的重大疑难问题和健康产业的发展，并在此基础上加快实现创新成果转化及产业化发展。该研究院在首都医科大学新校址建设完成前，需租用中关村医疗器械园一期12-3号楼（规证13号楼），一共五层，单栋面积3919.12平方米，5年租金合计约3274万元。</w:t>
            </w:r>
          </w:p>
        </w:tc>
        <w:tc>
          <w:tcPr>
            <w:tcW w:w="0" w:type="auto"/>
            <w:gridSpan w:val="5"/>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2021年6月与中关村器械园签署租赁合同，租用中关村医疗器械园一期12-3号楼（规证13号楼），一共五层，单栋面积3919.12平方米，共租用5年，租金费用为326</w:t>
            </w:r>
            <w:bookmarkStart w:id="0" w:name="_GoBack"/>
            <w:bookmarkEnd w:id="0"/>
            <w:r>
              <w:rPr>
                <w:rFonts w:hint="eastAsia" w:ascii="宋体" w:hAnsi="宋体" w:eastAsia="宋体" w:cs="宋体"/>
                <w:kern w:val="0"/>
                <w:sz w:val="20"/>
                <w:szCs w:val="20"/>
              </w:rPr>
              <w:t>8.644058万元。2021年9月18日至2021年12月20日为房屋装修期按照租赁合同免交租金，在此期间按照租赁合同租金支付约定时间分2批共支付1400万元。2021年12月15日通过建委验收，2021年12月28日和2022年1月11日首都医科大学相关部门对租用房屋进行两次验收，根据图纸及实际使用需求提出整改意见，同时启动环评程序，撰写环评报告、专项报告。2022年2月底器械园方完成初步整改，环评报告已提交至大兴区</w:t>
            </w:r>
            <w:r>
              <w:rPr>
                <w:rFonts w:hint="eastAsia" w:ascii="宋体" w:hAnsi="宋体" w:eastAsia="宋体" w:cs="宋体"/>
                <w:kern w:val="0"/>
                <w:sz w:val="20"/>
                <w:szCs w:val="20"/>
                <w:lang w:eastAsia="zh-CN"/>
              </w:rPr>
              <w:t>生态环境局</w:t>
            </w:r>
            <w:r>
              <w:rPr>
                <w:rFonts w:hint="eastAsia" w:ascii="宋体" w:hAnsi="宋体" w:eastAsia="宋体" w:cs="宋体"/>
                <w:kern w:val="0"/>
                <w:sz w:val="20"/>
                <w:szCs w:val="20"/>
              </w:rPr>
              <w:t>进行审批。针对环评事项在租赁合同中未明确说明，首都医科大学与中关村器械园经商讨起草且预签署租赁合同之补充协议，涉及环境影响评价、租用起租日期、交付标准等，明确待大兴区生态环境局对提交的环境影响报告做出批复且器械园方按照批复要求完成环保设施安装后10个工作日内，向器械园方支付第三期租金1818.644058万元，待环评验收合格后10个工作日内，向器械园方支付租金尾款50万元。对北京市新型研发机构和国家实验室进行多次调研学习，着力推进新体制新机制建设，破除体制机制障碍，为北京医学研究机构体制机制的探索提供基础。</w:t>
            </w:r>
          </w:p>
        </w:tc>
      </w:tr>
      <w:tr>
        <w:tblPrEx>
          <w:tblCellMar>
            <w:top w:w="0" w:type="dxa"/>
            <w:left w:w="108" w:type="dxa"/>
            <w:bottom w:w="0" w:type="dxa"/>
            <w:right w:w="108" w:type="dxa"/>
          </w:tblCellMar>
        </w:tblPrEx>
        <w:trPr>
          <w:trHeight w:val="741" w:hRule="atLeast"/>
        </w:trPr>
        <w:tc>
          <w:tcPr>
            <w:tcW w:w="0" w:type="auto"/>
            <w:vMerge w:val="restart"/>
            <w:tcBorders>
              <w:top w:val="nil"/>
              <w:left w:val="single" w:color="auto" w:sz="4" w:space="0"/>
              <w:bottom w:val="single" w:color="auto" w:sz="4" w:space="0"/>
              <w:right w:val="single" w:color="auto" w:sz="4" w:space="0"/>
            </w:tcBorders>
            <w:shd w:val="clear" w:color="auto" w:fill="auto"/>
            <w:noWrap/>
            <w:textDirection w:val="tbRlV"/>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绩效指标</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一级指标</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二级指标</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三级指标</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年度指标值</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实际完成值</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分值</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得分</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偏差原因分析及改进</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措施</w:t>
            </w:r>
          </w:p>
        </w:tc>
      </w:tr>
      <w:tr>
        <w:tblPrEx>
          <w:tblCellMar>
            <w:top w:w="0" w:type="dxa"/>
            <w:left w:w="108" w:type="dxa"/>
            <w:bottom w:w="0" w:type="dxa"/>
            <w:right w:w="108" w:type="dxa"/>
          </w:tblCellMar>
        </w:tblPrEx>
        <w:trPr>
          <w:trHeight w:val="681"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restart"/>
            <w:tcBorders>
              <w:top w:val="nil"/>
              <w:left w:val="single" w:color="auto" w:sz="4" w:space="0"/>
              <w:bottom w:val="single" w:color="auto" w:sz="4" w:space="0"/>
              <w:right w:val="single" w:color="auto" w:sz="4" w:space="0"/>
            </w:tcBorders>
            <w:shd w:val="clear" w:color="auto" w:fill="auto"/>
            <w:textDirection w:val="tbRlV"/>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产出指标（50分）</w:t>
            </w:r>
          </w:p>
        </w:tc>
        <w:tc>
          <w:tcPr>
            <w:tcW w:w="0" w:type="auto"/>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数量指标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人才引进</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组建分中心，引进人才</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3个团队</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7.5</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7.1</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未设置量化指标，指标制定合理性和准确性有待进一步提升　</w:t>
            </w:r>
          </w:p>
        </w:tc>
      </w:tr>
      <w:tr>
        <w:tblPrEx>
          <w:tblCellMar>
            <w:top w:w="0" w:type="dxa"/>
            <w:left w:w="108" w:type="dxa"/>
            <w:bottom w:w="0" w:type="dxa"/>
            <w:right w:w="108" w:type="dxa"/>
          </w:tblCellMar>
        </w:tblPrEx>
        <w:trPr>
          <w:trHeight w:val="720"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成果产出</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完成场地租用；遴选优势学科；组建分中心，引进人才</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完成场地租用，实验室装修，进行环评；完成3个团队引进</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7.5</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7</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未设置量化指标，指标制定合理性和准确性有待进一步提升　</w:t>
            </w:r>
          </w:p>
        </w:tc>
      </w:tr>
      <w:tr>
        <w:tblPrEx>
          <w:tblCellMar>
            <w:top w:w="0" w:type="dxa"/>
            <w:left w:w="108" w:type="dxa"/>
            <w:bottom w:w="0" w:type="dxa"/>
            <w:right w:w="108" w:type="dxa"/>
          </w:tblCellMar>
        </w:tblPrEx>
        <w:trPr>
          <w:trHeight w:val="681"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质量指标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人才引进</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组建分中心，引进国际顶尖人才</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成功引进高水平人才</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5</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4.3</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指标制定准确性有待进一步提升　</w:t>
            </w:r>
          </w:p>
        </w:tc>
      </w:tr>
      <w:tr>
        <w:tblPrEx>
          <w:tblCellMar>
            <w:top w:w="0" w:type="dxa"/>
            <w:left w:w="108" w:type="dxa"/>
            <w:bottom w:w="0" w:type="dxa"/>
            <w:right w:w="108" w:type="dxa"/>
          </w:tblCellMar>
        </w:tblPrEx>
        <w:trPr>
          <w:trHeight w:val="960"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成果产出</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完成场地租用；遴选优势学科；组建分中心，引进人才</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顺利完成场地租用，实验室装修，启动环评程序；成功引进高水平人才</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5</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4.3</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指标制定准确性有待进一步提升　</w:t>
            </w:r>
          </w:p>
        </w:tc>
      </w:tr>
      <w:tr>
        <w:tblPrEx>
          <w:tblCellMar>
            <w:top w:w="0" w:type="dxa"/>
            <w:left w:w="108" w:type="dxa"/>
            <w:bottom w:w="0" w:type="dxa"/>
            <w:right w:w="108" w:type="dxa"/>
          </w:tblCellMar>
        </w:tblPrEx>
        <w:trPr>
          <w:trHeight w:val="1350"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服务平台</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研究院将开放公共研究平台</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对北京市新型研发机构进行多次调研学习，建章立制，根据科研团队需求，调研仪器参数及预算</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5</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4.3</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指标制定准确性有待进一步提升　</w:t>
            </w:r>
          </w:p>
        </w:tc>
      </w:tr>
      <w:tr>
        <w:tblPrEx>
          <w:tblCellMar>
            <w:top w:w="0" w:type="dxa"/>
            <w:left w:w="108" w:type="dxa"/>
            <w:bottom w:w="0" w:type="dxa"/>
            <w:right w:w="108" w:type="dxa"/>
          </w:tblCellMar>
        </w:tblPrEx>
        <w:trPr>
          <w:trHeight w:val="720"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nil"/>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时效指标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项目进展进度</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2021年完成预期产出目标</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签署房屋租赁合同，完成房屋装修、验收及整改</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10</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8</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指标制定准确性及细化程度有待进一步提升　</w:t>
            </w:r>
          </w:p>
        </w:tc>
      </w:tr>
      <w:tr>
        <w:tblPrEx>
          <w:tblCellMar>
            <w:top w:w="0" w:type="dxa"/>
            <w:left w:w="108" w:type="dxa"/>
            <w:bottom w:w="0" w:type="dxa"/>
            <w:right w:w="108" w:type="dxa"/>
          </w:tblCellMar>
        </w:tblPrEx>
        <w:trPr>
          <w:trHeight w:val="4230"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single" w:color="auto" w:sz="4" w:space="0"/>
              <w:left w:val="nil"/>
              <w:bottom w:val="nil"/>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成本指标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项目预算控制数</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总成本控制在批复预算额度以内</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批复预算额度为3274万元，签署租赁合同5年租金共3268.644058万元，总额控制在批复预算额度以内，已支出2期租金1400万元，余下租金按租赁合同之补充协议规定支付</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10</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8</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该项目预算经费3274万主要为房屋租用费用，租赁合同规定“交付的房屋验收合格（即通过建委验收且我方按图纸验收合格）后，支付第3期租金即全部尾款。”，而租赁合同中环评事项未明确提出，首都医科大学与中关村器械园经商讨起草、预签署租赁合同之补充协议，约定“乙方于大兴区生态环境局对提交的环境影响报告做出批复且甲方按照批复要求完成环保设施安装后【10】个工作日内，向甲方支付第三期租金18186440.58元，待环评验收合格后【10】个工作日内，向甲方支付租金尾款50万元。”目前，环评申请已提交至大兴</w:t>
            </w:r>
            <w:r>
              <w:rPr>
                <w:rFonts w:hint="eastAsia" w:ascii="宋体" w:hAnsi="宋体" w:eastAsia="宋体" w:cs="宋体"/>
                <w:color w:val="000000"/>
                <w:kern w:val="0"/>
                <w:sz w:val="18"/>
                <w:szCs w:val="18"/>
                <w:lang w:eastAsia="zh-CN"/>
              </w:rPr>
              <w:t>生态环境局</w:t>
            </w:r>
            <w:r>
              <w:rPr>
                <w:rFonts w:hint="eastAsia" w:ascii="宋体" w:hAnsi="宋体" w:eastAsia="宋体" w:cs="宋体"/>
                <w:color w:val="000000"/>
                <w:kern w:val="0"/>
                <w:sz w:val="18"/>
                <w:szCs w:val="18"/>
              </w:rPr>
              <w:t>进行环评审批，预计5月支付第三期租金。</w:t>
            </w:r>
          </w:p>
        </w:tc>
      </w:tr>
      <w:tr>
        <w:tblPrEx>
          <w:tblCellMar>
            <w:top w:w="0" w:type="dxa"/>
            <w:left w:w="108" w:type="dxa"/>
            <w:bottom w:w="0" w:type="dxa"/>
            <w:right w:w="108" w:type="dxa"/>
          </w:tblCellMar>
        </w:tblPrEx>
        <w:trPr>
          <w:trHeight w:val="1680"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restart"/>
            <w:tcBorders>
              <w:top w:val="nil"/>
              <w:left w:val="single" w:color="auto" w:sz="4" w:space="0"/>
              <w:bottom w:val="nil"/>
              <w:right w:val="single" w:color="auto" w:sz="4" w:space="0"/>
            </w:tcBorders>
            <w:shd w:val="clear" w:color="auto" w:fill="auto"/>
            <w:textDirection w:val="tbRlV"/>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效益指标（30分）</w:t>
            </w:r>
          </w:p>
        </w:tc>
        <w:tc>
          <w:tcPr>
            <w:tcW w:w="0" w:type="auto"/>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社会效益指标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学科建设</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鼓励学科交叉，推动学科发展，着力推动现代科学前沿技术在医学领域的应用，成为学校新型研发平台和学校的科技特区和人才特区</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按照项目要求，成功引进3个团队</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10</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8</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基本完成既定目标，效益发挥有待更进一步提升　</w:t>
            </w:r>
          </w:p>
        </w:tc>
      </w:tr>
      <w:tr>
        <w:tblPrEx>
          <w:tblCellMar>
            <w:top w:w="0" w:type="dxa"/>
            <w:left w:w="108" w:type="dxa"/>
            <w:bottom w:w="0" w:type="dxa"/>
            <w:right w:w="108" w:type="dxa"/>
          </w:tblCellMar>
        </w:tblPrEx>
        <w:trPr>
          <w:trHeight w:val="2400"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社会效益</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产生一批有影响的成果，促进核心竞争力提升，为北京乃至国家贡献原创性技术，促进解决人类健康领域的重大疑难问题和健康产业的发展，并在此基础上加快实现创新成果转化及产业化发展。</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为首都医疗机构和企业培养生物医药转化和临床研究的复合型人才；促进原创性医学科技成果产出与转化；支撑首都生物医药产业创新性发展，助力北京“国际科技创新中心”建设</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10</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8</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基本完成既定目标，效益发挥有待更进一步提升　</w:t>
            </w:r>
          </w:p>
        </w:tc>
      </w:tr>
      <w:tr>
        <w:tblPrEx>
          <w:tblCellMar>
            <w:top w:w="0" w:type="dxa"/>
            <w:left w:w="108" w:type="dxa"/>
            <w:bottom w:w="0" w:type="dxa"/>
            <w:right w:w="108" w:type="dxa"/>
          </w:tblCellMar>
        </w:tblPrEx>
        <w:trPr>
          <w:trHeight w:val="1680"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nil"/>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可持续影响指标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可持续影响</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汇聚一批世界范围内高水平华人专家学者在生命科学和医学领域进行原创性研究，并在此基础上加快实现创新成果转化及产业化发展</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汇聚高水平专家，开展临床基础与转化原创性前沿研究，为生物医药产业的可持续发展奠定基础</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10</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8</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基本完成既定目标，效益发挥有待更进一步提升　　</w:t>
            </w:r>
          </w:p>
        </w:tc>
      </w:tr>
      <w:tr>
        <w:tblPrEx>
          <w:tblCellMar>
            <w:top w:w="0" w:type="dxa"/>
            <w:left w:w="108" w:type="dxa"/>
            <w:bottom w:w="0" w:type="dxa"/>
            <w:right w:w="108" w:type="dxa"/>
          </w:tblCellMar>
        </w:tblPrEx>
        <w:trPr>
          <w:trHeight w:val="480"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restart"/>
            <w:tcBorders>
              <w:top w:val="single" w:color="auto" w:sz="4" w:space="0"/>
              <w:left w:val="single" w:color="auto" w:sz="4" w:space="0"/>
              <w:bottom w:val="single" w:color="000000" w:sz="4" w:space="0"/>
              <w:right w:val="single" w:color="auto" w:sz="4" w:space="0"/>
            </w:tcBorders>
            <w:shd w:val="clear" w:color="auto" w:fill="auto"/>
            <w:textDirection w:val="tbRlV"/>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满意度指标（10分）</w:t>
            </w:r>
          </w:p>
        </w:tc>
        <w:tc>
          <w:tcPr>
            <w:tcW w:w="0" w:type="auto"/>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服务对象满意度指标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引进人才满意度</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完善服务体系，满意度达90%</w:t>
            </w:r>
          </w:p>
        </w:tc>
        <w:tc>
          <w:tcPr>
            <w:tcW w:w="0" w:type="auto"/>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引进3个团队，满意度95%</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3</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2.5</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完成既定指标，但满意度调查资料有待进一步完善　　</w:t>
            </w:r>
          </w:p>
        </w:tc>
      </w:tr>
      <w:tr>
        <w:tblPrEx>
          <w:tblCellMar>
            <w:top w:w="0" w:type="dxa"/>
            <w:left w:w="108" w:type="dxa"/>
            <w:bottom w:w="0" w:type="dxa"/>
            <w:right w:w="108" w:type="dxa"/>
          </w:tblCellMar>
        </w:tblPrEx>
        <w:trPr>
          <w:trHeight w:val="744"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中心管理人员满意度</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建立信息化平台建设，提高办事效率，满意度达90%</w:t>
            </w:r>
          </w:p>
        </w:tc>
        <w:tc>
          <w:tcPr>
            <w:tcW w:w="0" w:type="auto"/>
            <w:tcBorders>
              <w:top w:val="nil"/>
              <w:left w:val="nil"/>
              <w:bottom w:val="single" w:color="auto" w:sz="4" w:space="0"/>
              <w:right w:val="single" w:color="auto" w:sz="4" w:space="0"/>
            </w:tcBorders>
            <w:shd w:val="clear" w:color="000000" w:fill="FFFFFF"/>
            <w:vAlign w:val="center"/>
          </w:tcPr>
          <w:p>
            <w:pPr>
              <w:widowControl/>
              <w:jc w:val="center"/>
              <w:rPr>
                <w:rFonts w:ascii="Times New Roman" w:hAnsi="Times New Roman" w:eastAsia="宋体" w:cs="Times New Roman"/>
                <w:color w:val="000000"/>
                <w:kern w:val="0"/>
                <w:sz w:val="20"/>
                <w:szCs w:val="20"/>
              </w:rPr>
            </w:pPr>
            <w:r>
              <w:rPr>
                <w:rFonts w:hint="eastAsia" w:ascii="宋体" w:hAnsi="宋体" w:eastAsia="宋体" w:cs="Times New Roman"/>
                <w:color w:val="000000"/>
                <w:kern w:val="0"/>
                <w:sz w:val="20"/>
                <w:szCs w:val="20"/>
              </w:rPr>
              <w:t>组建人员队伍，构建管理体系，提高办事效率，满意度97</w:t>
            </w:r>
            <w:r>
              <w:rPr>
                <w:rFonts w:ascii="Times New Roman" w:hAnsi="Times New Roman" w:eastAsia="宋体" w:cs="Times New Roman"/>
                <w:color w:val="000000"/>
                <w:kern w:val="0"/>
                <w:sz w:val="20"/>
                <w:szCs w:val="20"/>
              </w:rPr>
              <w:t>%</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3</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2.7</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完成既定指标，但满意度调查资料有待进一步完善　</w:t>
            </w:r>
          </w:p>
        </w:tc>
      </w:tr>
      <w:tr>
        <w:tblPrEx>
          <w:tblCellMar>
            <w:top w:w="0" w:type="dxa"/>
            <w:left w:w="108" w:type="dxa"/>
            <w:bottom w:w="0" w:type="dxa"/>
            <w:right w:w="108" w:type="dxa"/>
          </w:tblCellMar>
        </w:tblPrEx>
        <w:trPr>
          <w:trHeight w:val="720"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中心科研人员满意度</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促进学术交流与合作，满意度达90%</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按照科研人员实际需求调研、服务，满意度95%</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4</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3.6</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完成既定指标，但满意度调查资料有待进一步完善　</w:t>
            </w:r>
          </w:p>
        </w:tc>
      </w:tr>
      <w:tr>
        <w:tblPrEx>
          <w:tblCellMar>
            <w:top w:w="0" w:type="dxa"/>
            <w:left w:w="108" w:type="dxa"/>
            <w:bottom w:w="0" w:type="dxa"/>
            <w:right w:w="108" w:type="dxa"/>
          </w:tblCellMar>
        </w:tblPrEx>
        <w:trPr>
          <w:trHeight w:val="471" w:hRule="atLeast"/>
        </w:trPr>
        <w:tc>
          <w:tcPr>
            <w:tcW w:w="0" w:type="auto"/>
            <w:gridSpan w:val="6"/>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总分</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100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 xml:space="preserve">80.08 </w:t>
            </w:r>
          </w:p>
        </w:tc>
        <w:tc>
          <w:tcPr>
            <w:tcW w:w="0" w:type="auto"/>
            <w:gridSpan w:val="3"/>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　</w:t>
            </w:r>
          </w:p>
        </w:tc>
      </w:tr>
    </w:tbl>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IyYTFhY2FhY2RjN2E2ZjE5YjM5MTEwYTMzNTI3ZmUifQ=="/>
  </w:docVars>
  <w:rsids>
    <w:rsidRoot w:val="003F038E"/>
    <w:rsid w:val="00247490"/>
    <w:rsid w:val="003C35F7"/>
    <w:rsid w:val="003F038E"/>
    <w:rsid w:val="0057552C"/>
    <w:rsid w:val="0099003F"/>
    <w:rsid w:val="00BC5288"/>
    <w:rsid w:val="00DD2DC2"/>
    <w:rsid w:val="00E41203"/>
    <w:rsid w:val="00E41B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472</Words>
  <Characters>2691</Characters>
  <Lines>22</Lines>
  <Paragraphs>6</Paragraphs>
  <TotalTime>5</TotalTime>
  <ScaleCrop>false</ScaleCrop>
  <LinksUpToDate>false</LinksUpToDate>
  <CharactersWithSpaces>3157</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2022-04-25T13:34:00Z</dcterms:created>
  <dc:creator>CQP03郭丰</dc:creator>
  <cp:lastModifiedBy>苏坡云☁️</cp:lastModifiedBy>
  <dcterms:modified xsi:type="dcterms:W3CDTF">2024-03-15T06:09:09Z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97B813758AD744D8A0AF65DBA6BA8F8D_12</vt:lpwstr>
  </property>
</Properties>
</file>