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50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866"/>
        <w:gridCol w:w="1031"/>
        <w:gridCol w:w="5"/>
        <w:gridCol w:w="1733"/>
        <w:gridCol w:w="2745"/>
        <w:gridCol w:w="3"/>
        <w:gridCol w:w="2165"/>
        <w:gridCol w:w="6"/>
        <w:gridCol w:w="1234"/>
        <w:gridCol w:w="3"/>
        <w:gridCol w:w="1234"/>
        <w:gridCol w:w="3"/>
        <w:gridCol w:w="954"/>
        <w:gridCol w:w="3"/>
        <w:gridCol w:w="954"/>
        <w:gridCol w:w="3"/>
        <w:gridCol w:w="963"/>
        <w:gridCol w:w="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4153" w:type="pct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人才培养质量建设—一流专业建设（分类发展专项）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30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424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230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席阳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424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13810018035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7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155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3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3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33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7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200.000000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200.000000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157.522628</w:t>
            </w:r>
          </w:p>
        </w:tc>
        <w:tc>
          <w:tcPr>
            <w:tcW w:w="3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3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78.76%</w:t>
            </w:r>
          </w:p>
        </w:tc>
        <w:tc>
          <w:tcPr>
            <w:tcW w:w="33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7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200.000000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200.000000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157.522628</w:t>
            </w:r>
          </w:p>
        </w:tc>
        <w:tc>
          <w:tcPr>
            <w:tcW w:w="3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3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7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7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2961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1852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61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1）支持2个教学团队建设，形成艺工融合、结构合理的师资梯队。2）建设并逐步完善设计资源库，扩展产业资源，提高实习基地的质量，加强与企业的合作并与产业进一步融合；建设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1个教学研究平台。3）以课程群为单位，进行服装与服饰设计（服装设计）专业教材的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“十四五”规划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设，编写高质量的服装与服饰设计专业教材和部分核心课程双语教材。积极推进精品课程、网络课程的建设工作。4）以专业建设为契机，加强传统服饰文化、科技创新等方面的学术研究与创作，形成一批高质量的、具有国际影响力的学术论文、专著及作品。5）更新教学研究平台实验设备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服饰艺术与工程学院：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项目期目标：2021年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论文发表5篇，实用新型以上专利8项，实验样片10件，产品样品或模型10件，课程录制4门以上。</w:t>
            </w:r>
          </w:p>
        </w:tc>
        <w:tc>
          <w:tcPr>
            <w:tcW w:w="1852" w:type="pct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）支持了2个教学团队建设，进一步完善艺工融合、结构合理的师资梯队。2）建设并逐步完善设计资源库，扩展产业资源，提高实习基地的质量，加强与企业的合作并与产业进一步融合；进一步建设了1个教学研究平台。3）以课程群为单位，进行服装与服饰设计（服装设计）专业教材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“十四五”规划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设，编写了两部一流课程专业教材，1部双语教材正在建设中。积极推进精品课程、网络课程的建设工作，申报国家一流课程2门，建设网络课程2门。4）以专业建设为契机，加强传统服饰文化、科技创新等方面的学术研究与创作，形成一批高质量的、具有国际影响力的学术论文、专著及作品。5）购置了花型设计软件，采购了高低温试验箱，部分设备在采购中。服饰艺术与工程学院：论文已接收1篇，已投稿1篇，共2篇；课程总结报告4册，实用新型专利7项，设计工具著作权2项，软件著作权1项，实验样片15件，产品样品或模型15件，课程录制4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3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3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支持教学团队建设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2个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继续建设设计资源库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继续完善教学研究平台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支持专业教材或专著、网络课程建设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2部、1门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2部、2门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学术论文、申请专利数量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20篇、4个、实用新型以上8项以上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19篇、专利4个，实用新型8个，外观21项，设计工具著作权2项，软件著作权1项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1.6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已接收1篇，已投稿1篇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实验样片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10件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实验样片15件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产品样品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10件以上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产品样品15件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课程录制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4门以上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课程录制4门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设计资源库服务学生人次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≥300人次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设计资源库服务学生300人次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2.7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学术论文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高水平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学术论文达到高水平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研究成果验收通过率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研究成果验收通过率90%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专利通过率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专利通过率90%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论文发表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业内重要期刊2篇以上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论文发表业内重要期刊2篇以上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项目完成进度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严格按照计划进行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研究成果发布时间2021年12月之前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按计划时间完成相关工作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和社会平均成本的比较持平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199.936929万元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实际支出157.52万元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已按调整金额执行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产生国家级、市级优秀成果数量</w:t>
            </w: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产生国家级、市级优秀成果数量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产生国家级或市级优秀成果数量1项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产生省部级3项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提出有效绿色方式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提出有效绿色方式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提出生物材料方案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提出生物材料方案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结合高新科技提出适应现代生活的时尚产品设计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结合高新科技提出适应现代生活的时尚产品设计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3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教师对支持/培养的满意度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教师对支持/培养的满意度90%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2.7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基本完成满意度指标，培养满意度可再提高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社会公众投诉率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降低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社会公众投诉率降低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2.7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基本完成满意度指标，社会公众投诉率可再降低。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7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群众比较满意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3.6</w:t>
            </w:r>
          </w:p>
        </w:tc>
        <w:tc>
          <w:tcPr>
            <w:tcW w:w="99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基本完成满意度指标，群众满意度有待提高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48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4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84.88</w:t>
            </w:r>
          </w:p>
        </w:tc>
        <w:tc>
          <w:tcPr>
            <w:tcW w:w="995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yYTFhY2FhY2RjN2E2ZjE5YjM5MTEwYTMzNTI3ZmUifQ=="/>
  </w:docVars>
  <w:rsids>
    <w:rsidRoot w:val="00BF0CB9"/>
    <w:rsid w:val="00287AE1"/>
    <w:rsid w:val="003A0A8D"/>
    <w:rsid w:val="00470831"/>
    <w:rsid w:val="005E3FB2"/>
    <w:rsid w:val="009B73F2"/>
    <w:rsid w:val="00BF0CB9"/>
    <w:rsid w:val="00C272DF"/>
    <w:rsid w:val="00E36B3A"/>
    <w:rsid w:val="00F927EE"/>
    <w:rsid w:val="00FA0A63"/>
    <w:rsid w:val="5297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353</Words>
  <Characters>2015</Characters>
  <Lines>16</Lines>
  <Paragraphs>4</Paragraphs>
  <TotalTime>5</TotalTime>
  <ScaleCrop>false</ScaleCrop>
  <LinksUpToDate>false</LinksUpToDate>
  <CharactersWithSpaces>2364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2022-04-25T12:35:00Z</dcterms:created>
  <dc:creator>雪</dc:creator>
  <cp:lastModifiedBy>苏坡云☁️</cp:lastModifiedBy>
  <dcterms:modified xsi:type="dcterms:W3CDTF">2024-03-15T06:10:28Z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509D9E03B180408B89EB9E296B008FF5_12</vt:lpwstr>
  </property>
</Properties>
</file>