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Layout w:type="autofit"/>
        <w:tblCellMar>
          <w:top w:w="0" w:type="dxa"/>
          <w:left w:w="108" w:type="dxa"/>
          <w:bottom w:w="0" w:type="dxa"/>
          <w:right w:w="108" w:type="dxa"/>
        </w:tblCellMar>
      </w:tblPr>
      <w:tblGrid>
        <w:gridCol w:w="528"/>
        <w:gridCol w:w="559"/>
        <w:gridCol w:w="1081"/>
        <w:gridCol w:w="1284"/>
        <w:gridCol w:w="3184"/>
        <w:gridCol w:w="2182"/>
        <w:gridCol w:w="1421"/>
        <w:gridCol w:w="1421"/>
        <w:gridCol w:w="640"/>
        <w:gridCol w:w="1072"/>
        <w:gridCol w:w="802"/>
      </w:tblGrid>
      <w:tr>
        <w:tblPrEx>
          <w:tblCellMar>
            <w:top w:w="0" w:type="dxa"/>
            <w:left w:w="108" w:type="dxa"/>
            <w:bottom w:w="0" w:type="dxa"/>
            <w:right w:w="108" w:type="dxa"/>
          </w:tblCellMar>
        </w:tblPrEx>
        <w:trPr>
          <w:trHeight w:val="307" w:hRule="atLeast"/>
        </w:trPr>
        <w:tc>
          <w:tcPr>
            <w:tcW w:w="0" w:type="auto"/>
            <w:gridSpan w:val="4"/>
            <w:tcBorders>
              <w:top w:val="nil"/>
              <w:left w:val="nil"/>
              <w:bottom w:val="nil"/>
              <w:right w:val="nil"/>
            </w:tcBorders>
            <w:shd w:val="clear" w:color="auto" w:fill="auto"/>
            <w:noWrap/>
            <w:vAlign w:val="center"/>
          </w:tcPr>
          <w:p>
            <w:pPr>
              <w:widowControl/>
              <w:jc w:val="left"/>
              <w:rPr>
                <w:rFonts w:ascii="宋体" w:hAnsi="宋体" w:eastAsia="宋体" w:cs="宋体"/>
                <w:kern w:val="0"/>
                <w:sz w:val="24"/>
                <w:szCs w:val="24"/>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420"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4"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（2021年度）</w:t>
            </w:r>
          </w:p>
        </w:tc>
      </w:tr>
      <w:tr>
        <w:tblPrEx>
          <w:tblCellMar>
            <w:top w:w="0" w:type="dxa"/>
            <w:left w:w="108" w:type="dxa"/>
            <w:bottom w:w="0" w:type="dxa"/>
            <w:right w:w="108" w:type="dxa"/>
          </w:tblCellMar>
        </w:tblPrEx>
        <w:trPr>
          <w:trHeight w:val="287" w:hRule="atLeast"/>
        </w:trPr>
        <w:tc>
          <w:tcPr>
            <w:tcW w:w="0" w:type="auto"/>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center"/>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改善办学保障条件—北京信息科技大学室内外信息发布系统及学术报告厅—校园文化阵地建设项目</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0" w:type="auto"/>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北京信息科技大学</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杜世智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010-82426843</w:t>
            </w:r>
          </w:p>
        </w:tc>
      </w:tr>
      <w:tr>
        <w:tblPrEx>
          <w:tblCellMar>
            <w:top w:w="0" w:type="dxa"/>
            <w:left w:w="108" w:type="dxa"/>
            <w:bottom w:w="0" w:type="dxa"/>
            <w:right w:w="108" w:type="dxa"/>
          </w:tblCellMar>
        </w:tblPrEx>
        <w:trPr>
          <w:trHeight w:val="569" w:hRule="atLeast"/>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w:t>
            </w:r>
            <w:bookmarkStart w:id="0" w:name="_GoBack"/>
            <w:bookmarkEnd w:id="0"/>
            <w:r>
              <w:rPr>
                <w:rFonts w:hint="eastAsia" w:ascii="宋体" w:hAnsi="宋体" w:eastAsia="宋体" w:cs="宋体"/>
                <w:color w:val="000000"/>
                <w:kern w:val="0"/>
                <w:sz w:val="22"/>
              </w:rPr>
              <w:t>初预算数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294"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183.999480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180.834000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98.28%</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9.83 </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183.999480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180.834000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329"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569"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0" w:type="auto"/>
            <w:gridSpan w:val="5"/>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196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本项目的建设和使用，为学校教学、育人、管理和宣传提供平台，共享教育和文化信息资源，对信息化的可操控性、智能性和精准正确性也将有很大的提升。可增强学校竞争力和影响力。打造积极向上、和谐优美的办学环境和高效精准的办公条件，营造和谐温馨、激励向上向善的校园文化氛围，有利于学校落实育人目标、贯彻办学理念、传播社会主义精神文明。项目建设完成后，将各种信息化工作统一管理，增强学校竞争力和影响力。学术报告厅音视频会议系统，能够让广大师生更好的感受新校区的办公和学习环境同时能使教职工更快捷，</w:t>
            </w:r>
            <w:r>
              <w:rPr>
                <w:rFonts w:hint="eastAsia" w:ascii="宋体" w:hAnsi="宋体" w:eastAsia="宋体" w:cs="宋体"/>
                <w:color w:val="000000"/>
                <w:kern w:val="0"/>
                <w:sz w:val="20"/>
                <w:szCs w:val="20"/>
                <w:lang w:eastAsia="zh-CN"/>
              </w:rPr>
              <w:t>更好地为</w:t>
            </w:r>
            <w:r>
              <w:rPr>
                <w:rFonts w:hint="eastAsia" w:ascii="宋体" w:hAnsi="宋体" w:eastAsia="宋体" w:cs="宋体"/>
                <w:color w:val="000000"/>
                <w:kern w:val="0"/>
                <w:sz w:val="20"/>
                <w:szCs w:val="20"/>
              </w:rPr>
              <w:t>全校师生提供支持和服务。</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按照预期计划，全面完成了新校区报告厅音视频、灯光、录播系统的建设，为学校广大师生提供了优质服务。</w:t>
            </w:r>
          </w:p>
        </w:tc>
      </w:tr>
      <w:tr>
        <w:tblPrEx>
          <w:tblCellMar>
            <w:top w:w="0" w:type="dxa"/>
            <w:left w:w="108" w:type="dxa"/>
            <w:bottom w:w="0" w:type="dxa"/>
            <w:right w:w="108" w:type="dxa"/>
          </w:tblCellMar>
        </w:tblPrEx>
        <w:trPr>
          <w:trHeight w:val="570" w:hRule="atLeast"/>
        </w:trPr>
        <w:tc>
          <w:tcPr>
            <w:tcW w:w="0" w:type="auto"/>
            <w:vMerge w:val="restart"/>
            <w:tcBorders>
              <w:top w:val="nil"/>
              <w:left w:val="single" w:color="auto" w:sz="4" w:space="0"/>
              <w:bottom w:val="nil"/>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一级指标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年度指标值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实际完成值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偏差原因分析及改进</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措施</w:t>
            </w:r>
          </w:p>
        </w:tc>
      </w:tr>
      <w:tr>
        <w:tblPrEx>
          <w:tblCellMar>
            <w:top w:w="0" w:type="dxa"/>
            <w:left w:w="108" w:type="dxa"/>
            <w:bottom w:w="0" w:type="dxa"/>
            <w:right w:w="108" w:type="dxa"/>
          </w:tblCellMar>
        </w:tblPrEx>
        <w:trPr>
          <w:trHeight w:val="1887"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产出指标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（50分）</w:t>
            </w: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数量指标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学术报告厅音视频系统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专项设备35项，应用软件1项，材料费1项，LED屏48.2㎡，台式计算机1台，服务费1项</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专项设备103项，应用软件1项，材料费1项，LED屏1：35.3㎡，LED屏2：12.9㎡，服务费1项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14</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台式计算机预算评审时被核减</w:t>
            </w:r>
          </w:p>
        </w:tc>
      </w:tr>
      <w:tr>
        <w:tblPrEx>
          <w:tblCellMar>
            <w:top w:w="0" w:type="dxa"/>
            <w:left w:w="108" w:type="dxa"/>
            <w:bottom w:w="0" w:type="dxa"/>
            <w:right w:w="108" w:type="dxa"/>
          </w:tblCellMar>
        </w:tblPrEx>
        <w:trPr>
          <w:trHeight w:val="81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项目建设合格，达到使用要求</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质量合格，先进性，稳定性，简洁性，通用性。</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项目建设合格，　具有先进性，稳定性，简洁性，通用性</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完成质量指标，但仍有提升与改进空间</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时效指标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确定建设方案</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2021年3月完成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2021年3月完成</w:t>
            </w:r>
          </w:p>
        </w:tc>
        <w:tc>
          <w:tcPr>
            <w:tcW w:w="0" w:type="auto"/>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进行公开招标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2021年5月完成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2021年7月</w:t>
            </w:r>
          </w:p>
        </w:tc>
        <w:tc>
          <w:tcPr>
            <w:tcW w:w="0" w:type="auto"/>
            <w:tcBorders>
              <w:top w:val="single" w:color="auto" w:sz="4" w:space="0"/>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受招投标周期影响</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完成设备购置</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2021年6月完成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2021年7月</w:t>
            </w:r>
          </w:p>
        </w:tc>
        <w:tc>
          <w:tcPr>
            <w:tcW w:w="0" w:type="auto"/>
            <w:tcBorders>
              <w:top w:val="single" w:color="auto" w:sz="4" w:space="0"/>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受招投标周期影响</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完成设备安装调试</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2021年7-8月完成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2021年8月</w:t>
            </w:r>
          </w:p>
        </w:tc>
        <w:tc>
          <w:tcPr>
            <w:tcW w:w="0" w:type="auto"/>
            <w:tcBorders>
              <w:top w:val="single" w:color="auto" w:sz="4" w:space="0"/>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受招投标周期影响</w:t>
            </w:r>
          </w:p>
        </w:tc>
      </w:tr>
      <w:tr>
        <w:tblPrEx>
          <w:tblCellMar>
            <w:top w:w="0" w:type="dxa"/>
            <w:left w:w="108" w:type="dxa"/>
            <w:bottom w:w="0" w:type="dxa"/>
            <w:right w:w="108" w:type="dxa"/>
          </w:tblCellMar>
        </w:tblPrEx>
        <w:trPr>
          <w:trHeight w:val="767"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成本指标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项目预算控制金额</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控制在199.784550万元以内</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180.834万元</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已按调整金额执行</w:t>
            </w:r>
          </w:p>
        </w:tc>
      </w:tr>
      <w:tr>
        <w:tblPrEx>
          <w:tblCellMar>
            <w:top w:w="0" w:type="dxa"/>
            <w:left w:w="108" w:type="dxa"/>
            <w:bottom w:w="0" w:type="dxa"/>
            <w:right w:w="108" w:type="dxa"/>
          </w:tblCellMar>
        </w:tblPrEx>
        <w:trPr>
          <w:trHeight w:val="2395"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nil"/>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效益指标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（30分）</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经济效益指标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经济效益指标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建成后学术报告厅音视频会议系统使用率达到95％，学校统一管理，各部门申请授权使用，可为避免信息化重复建设。项目建成后的系统运行稳定，一次建设多年不需要更换采购，并做多年设备质保要求。重复建设率0％。</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使用率100%，学校统一管理，各部门申请使用，重复建设率0％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　</w:t>
            </w:r>
          </w:p>
        </w:tc>
      </w:tr>
      <w:tr>
        <w:tblPrEx>
          <w:tblCellMar>
            <w:top w:w="0" w:type="dxa"/>
            <w:left w:w="108" w:type="dxa"/>
            <w:bottom w:w="0" w:type="dxa"/>
            <w:right w:w="108" w:type="dxa"/>
          </w:tblCellMar>
        </w:tblPrEx>
        <w:trPr>
          <w:trHeight w:val="2267"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本项目能起到很好的宣传效益和学习兴趣效益，在高等学校中建设信息共享、浓厚、繁荣的校园文化对于建设社会主义文化强国和服务北京市“四个中心”建设具有积极的促进作用，全年可为全校师生服务。服务时间达到每年250天以上。</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作为学校唯一的学术报告厅，除寒暑假外，每年可服务保障学校学术报告、会议活动等250天以上。</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　</w:t>
            </w:r>
          </w:p>
        </w:tc>
      </w:tr>
      <w:tr>
        <w:tblPrEx>
          <w:tblCellMar>
            <w:top w:w="0" w:type="dxa"/>
            <w:left w:w="108" w:type="dxa"/>
            <w:bottom w:w="0" w:type="dxa"/>
            <w:right w:w="108" w:type="dxa"/>
          </w:tblCellMar>
        </w:tblPrEx>
        <w:trPr>
          <w:trHeight w:val="1075"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生态效益指标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环保效益指标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项目采购的设备采用了节能技术和环保设计，不含有害物质。满足国家节能、环保要求。</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满足国家节能、环保要求</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　</w:t>
            </w:r>
          </w:p>
        </w:tc>
      </w:tr>
      <w:tr>
        <w:tblPrEx>
          <w:tblCellMar>
            <w:top w:w="0" w:type="dxa"/>
            <w:left w:w="108" w:type="dxa"/>
            <w:bottom w:w="0" w:type="dxa"/>
            <w:right w:w="108" w:type="dxa"/>
          </w:tblCellMar>
        </w:tblPrEx>
        <w:trPr>
          <w:trHeight w:val="840"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项目建成后，可长期为全校师生提供优质服务，系统运行稳定6年以上。</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项目建成后，可为全校师生提供6年以上的优质服务，系统运行稳定。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基本完成可持续影响指标</w:t>
            </w:r>
            <w:r>
              <w:rPr>
                <w:rFonts w:hint="eastAsia" w:ascii="宋体" w:hAnsi="宋体" w:eastAsia="宋体" w:cs="宋体"/>
                <w:color w:val="000000"/>
                <w:kern w:val="0"/>
                <w:sz w:val="20"/>
                <w:szCs w:val="20"/>
              </w:rPr>
              <w:t>，效益发挥有待更进一步提升　</w:t>
            </w:r>
          </w:p>
        </w:tc>
      </w:tr>
      <w:tr>
        <w:tblPrEx>
          <w:tblCellMar>
            <w:top w:w="0" w:type="dxa"/>
            <w:left w:w="108" w:type="dxa"/>
            <w:bottom w:w="0" w:type="dxa"/>
            <w:right w:w="108" w:type="dxa"/>
          </w:tblCellMar>
        </w:tblPrEx>
        <w:trPr>
          <w:trHeight w:val="460"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single" w:color="auto" w:sz="4" w:space="0"/>
              <w:left w:val="single" w:color="auto" w:sz="4" w:space="0"/>
              <w:bottom w:val="nil"/>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满意度指标（10分）</w:t>
            </w:r>
          </w:p>
        </w:tc>
        <w:tc>
          <w:tcPr>
            <w:tcW w:w="0" w:type="auto"/>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服务对象满意度指标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教师对项目的使用满意度</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达到95%以上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97.00%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r>
              <w:rPr>
                <w:rFonts w:hint="eastAsia" w:ascii="宋体" w:hAnsi="宋体" w:eastAsia="宋体"/>
                <w:color w:val="000000"/>
                <w:sz w:val="20"/>
                <w:szCs w:val="20"/>
              </w:rPr>
              <w:t>基本完成满意度指标</w:t>
            </w:r>
            <w:r>
              <w:rPr>
                <w:rFonts w:hint="eastAsia" w:ascii="宋体" w:hAnsi="宋体" w:eastAsia="宋体" w:cs="宋体"/>
                <w:color w:val="000000"/>
                <w:kern w:val="0"/>
                <w:sz w:val="20"/>
                <w:szCs w:val="20"/>
              </w:rPr>
              <w:t>，但满意度调查资料有待进一步完善</w:t>
            </w:r>
          </w:p>
        </w:tc>
      </w:tr>
      <w:tr>
        <w:tblPrEx>
          <w:tblCellMar>
            <w:top w:w="0" w:type="dxa"/>
            <w:left w:w="108" w:type="dxa"/>
            <w:bottom w:w="0" w:type="dxa"/>
            <w:right w:w="108" w:type="dxa"/>
          </w:tblCellMar>
        </w:tblPrEx>
        <w:trPr>
          <w:trHeight w:val="715"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学生对项目的使用满意度</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达到95%以上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暂未统计</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学校于2021年12月18日首批搬迁，已至期末考试周，入住时间短；受疫情影响，学生春季学期尚未返校。待学生返校后进行问卷调查</w:t>
            </w:r>
          </w:p>
        </w:tc>
      </w:tr>
      <w:tr>
        <w:tblPrEx>
          <w:tblCellMar>
            <w:top w:w="0" w:type="dxa"/>
            <w:left w:w="108" w:type="dxa"/>
            <w:bottom w:w="0" w:type="dxa"/>
            <w:right w:w="108" w:type="dxa"/>
          </w:tblCellMar>
        </w:tblPrEx>
        <w:trPr>
          <w:trHeight w:val="540"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xml:space="preserve">85.33 </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E3OWQyYzlhZTQ3M2E2YmI3ODIyYmE2NzBkYjQ3MTkifQ=="/>
  </w:docVars>
  <w:rsids>
    <w:rsidRoot w:val="003533F2"/>
    <w:rsid w:val="000073D2"/>
    <w:rsid w:val="000154F6"/>
    <w:rsid w:val="0002280E"/>
    <w:rsid w:val="00145763"/>
    <w:rsid w:val="00190DFA"/>
    <w:rsid w:val="00307C8B"/>
    <w:rsid w:val="00321C6F"/>
    <w:rsid w:val="003533F2"/>
    <w:rsid w:val="003541F7"/>
    <w:rsid w:val="004338FA"/>
    <w:rsid w:val="00442A3B"/>
    <w:rsid w:val="0046097F"/>
    <w:rsid w:val="0051107B"/>
    <w:rsid w:val="00567210"/>
    <w:rsid w:val="005903B8"/>
    <w:rsid w:val="00634770"/>
    <w:rsid w:val="006902DD"/>
    <w:rsid w:val="00762F94"/>
    <w:rsid w:val="008C3434"/>
    <w:rsid w:val="00976343"/>
    <w:rsid w:val="009A1B90"/>
    <w:rsid w:val="00A40FF7"/>
    <w:rsid w:val="00AC06D2"/>
    <w:rsid w:val="00B052AE"/>
    <w:rsid w:val="00C1746E"/>
    <w:rsid w:val="00D22EF3"/>
    <w:rsid w:val="00D50ADD"/>
    <w:rsid w:val="00E136F4"/>
    <w:rsid w:val="00E94DB2"/>
    <w:rsid w:val="00EC5270"/>
    <w:rsid w:val="00EC67AD"/>
    <w:rsid w:val="00F70400"/>
    <w:rsid w:val="41FB0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302</Words>
  <Characters>1724</Characters>
  <Lines>14</Lines>
  <Paragraphs>4</Paragraphs>
  <TotalTime>4</TotalTime>
  <ScaleCrop>false</ScaleCrop>
  <LinksUpToDate>false</LinksUpToDate>
  <CharactersWithSpaces>2022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2022-04-25T13:48:00Z</dcterms:created>
  <dc:creator>雪</dc:creator>
  <cp:lastModifiedBy>苏坡云☁️</cp:lastModifiedBy>
  <dcterms:modified xsi:type="dcterms:W3CDTF">2023-11-28T02:42:14Z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611F4366E9A94BEB8D86E9988EF623AD_12</vt:lpwstr>
  </property>
</Properties>
</file>