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ascii="仿宋_GB2312" w:eastAsia="仿宋_GB2312"/>
          <w:sz w:val="32"/>
          <w:szCs w:val="32"/>
        </w:rPr>
      </w:pPr>
      <w:r>
        <w:rPr>
          <w:rFonts w:hint="eastAsia"/>
        </w:rPr>
        <w:t xml:space="preserve">                              </w:t>
      </w:r>
    </w:p>
    <w:p>
      <w:pPr>
        <w:pStyle w:val="3"/>
        <w:jc w:val="both"/>
      </w:pPr>
      <w:r>
        <w:rPr>
          <w:rFonts w:hint="eastAsia"/>
        </w:rPr>
        <w:t>北京信息科技大学新校区语言实验室建设项目</w:t>
      </w:r>
    </w:p>
    <w:p>
      <w:pPr>
        <w:pStyle w:val="3"/>
        <w:rPr>
          <w:rFonts w:cs="Arial"/>
        </w:rPr>
      </w:pPr>
      <w:r>
        <w:rPr>
          <w:rFonts w:hint="eastAsia" w:cs="Arial"/>
        </w:rPr>
        <w:t>绩效评价报告</w:t>
      </w:r>
    </w:p>
    <w:p>
      <w:pPr>
        <w:pStyle w:val="3"/>
        <w:jc w:val="both"/>
        <w:rPr>
          <w:rFonts w:ascii="仿宋" w:hAnsi="仿宋" w:eastAsia="仿宋" w:cs="仿宋_GB2312"/>
          <w:bCs w:val="0"/>
          <w:kern w:val="2"/>
          <w:sz w:val="32"/>
          <w:szCs w:val="32"/>
        </w:rPr>
      </w:pPr>
    </w:p>
    <w:p>
      <w:pPr>
        <w:pStyle w:val="3"/>
        <w:spacing w:line="360" w:lineRule="auto"/>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为提高财政资金使用效益，合理配置公共财政资源，根据《中华人民共和国预算法》、《北京市预算绩效管理办法》（京财绩效〔2019〕2129号）、《北京市项目支出绩效评价管理办法》（京财预〔2020〕2146号）、《北京市财政局关于开展2022年全面预算绩效管理工作的通知》（京财绩效〔2022〕669号）等相关文件要求，北京市教育委员会成立了绩效评价工作组，于2022年4月-5月对2021年度北京信息科技大学的“</w:t>
      </w:r>
      <w:r>
        <w:rPr>
          <w:rFonts w:hint="eastAsia" w:ascii="仿宋_GB2312" w:eastAsia="仿宋_GB2312"/>
          <w:sz w:val="32"/>
          <w:szCs w:val="32"/>
        </w:rPr>
        <w:t>改善办学保障条件-北京信息科技大学新校区语言实验室建设项目（新竣工楼配套）</w:t>
      </w:r>
      <w:r>
        <w:rPr>
          <w:rFonts w:hint="eastAsia" w:ascii="仿宋_GB2312" w:hAnsi="仿宋" w:eastAsia="仿宋_GB2312" w:cs="仿宋_GB2312"/>
          <w:sz w:val="32"/>
          <w:szCs w:val="32"/>
        </w:rPr>
        <w:t>”开展了绩效评价。该项目评价结果为92.84分。有关情况如下。</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一、基本情况</w:t>
      </w:r>
    </w:p>
    <w:p>
      <w:pPr>
        <w:spacing w:line="360" w:lineRule="auto"/>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（一）项目概况</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pPr>
        <w:spacing w:line="360" w:lineRule="auto"/>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实施中央和北京市疏解非首都核心功能的重大战略，北京市信息科技大学搬迁至沙河实行异址办学。按照北京信息科技大学新校区总体建设和搬迁规划，2021年9月秋季学期预计本科生约2300余人入住新校区，外国语学院将承担2173人64个教学班的大学英语必修课4个学分的教学任务，其中2个学分要求必须在语言实验室完成，语言实验室建设任务十分紧迫。作为多媒体和网络技术的集合体，语音室已经是高校英语教学必不可少的实验室之一。通过语言实验室建设，北京信息科技大学外国语学院计划依托云网络技术、大数据分析、教材和测试资源建设形成信息科技大学信息化外语教学特色。</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主要内容</w:t>
      </w:r>
    </w:p>
    <w:p>
      <w:pPr>
        <w:adjustRightInd w:val="0"/>
        <w:spacing w:line="360" w:lineRule="auto"/>
        <w:ind w:firstLine="560"/>
        <w:rPr>
          <w:rFonts w:ascii="仿宋_GB2312" w:eastAsia="仿宋_GB2312"/>
          <w:sz w:val="32"/>
          <w:szCs w:val="32"/>
        </w:rPr>
      </w:pPr>
      <w:r>
        <w:rPr>
          <w:rFonts w:hint="eastAsia" w:ascii="仿宋_GB2312" w:eastAsia="仿宋_GB2312" w:hAnsiTheme="minorEastAsia"/>
          <w:sz w:val="32"/>
          <w:szCs w:val="32"/>
        </w:rPr>
        <w:t>项目位于北京信息科技大学新校区文理楼C座的2层和3层，</w:t>
      </w:r>
      <w:r>
        <w:rPr>
          <w:rFonts w:hint="eastAsia" w:ascii="仿宋_GB2312" w:eastAsia="仿宋_GB2312"/>
          <w:sz w:val="32"/>
          <w:szCs w:val="32"/>
        </w:rPr>
        <w:t>项目</w:t>
      </w:r>
      <w:r>
        <w:rPr>
          <w:rFonts w:hint="eastAsia" w:ascii="仿宋_GB2312" w:eastAsia="仿宋_GB2312" w:hAnsiTheme="minorEastAsia"/>
          <w:sz w:val="32"/>
          <w:szCs w:val="32"/>
        </w:rPr>
        <w:t>的总体</w:t>
      </w:r>
      <w:r>
        <w:rPr>
          <w:rFonts w:ascii="仿宋_GB2312" w:eastAsia="仿宋_GB2312" w:hAnsiTheme="minorEastAsia"/>
          <w:sz w:val="32"/>
          <w:szCs w:val="32"/>
        </w:rPr>
        <w:t>设计</w:t>
      </w:r>
      <w:r>
        <w:rPr>
          <w:rFonts w:hint="eastAsia" w:ascii="仿宋_GB2312" w:eastAsia="仿宋_GB2312" w:hAnsiTheme="minorEastAsia"/>
          <w:sz w:val="32"/>
          <w:szCs w:val="32"/>
        </w:rPr>
        <w:t>是2021年和2022年共建成21间语言教学实验室，包括：18间语言实验室（其中2间带直播录播功能、1间带智慧黑板）、1间中控室、1间计算机辅助翻译实验室、1间同声传译实验室。</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2021年计划新建5间共180个座位终端型语言实验室（其中1间带直播录播、1间带智慧黑板），用于基础教学和自主学习；5间共200个座位终端型+学生电脑型语言实验室（1间带直播录播），该5间实验室除承担日常外语教学及自主学习外，还承担国家四、六级口语考试、专业四、八级考试等；1间中控室，用于实现中央集中控制，分层管理、远程监控、智能交互、时序到每间实验室，做到最大程度的资源共享。</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2022年计划新建4间终端型语言实验室（无学生电脑）、4间终端型+学生电脑型语言实验室、1间计算机辅助笔译实验室、1间口译实验室，用于满足5000余名学生146个大学英语教学班、8个翻译专业班级和29个研究生教学班的教学需求。并且建设翻译专业实验室，满足翻译专业高年级学生理论课和实践课的需求。</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考虑到设备的利旧问题，学校制定了利旧方案，计划在2021年度将老校区可用的语言实验室设备（学院部分）进行搬迁，2022年配合教务处完成可用的语言实验室设备（学校部分）的搬迁。</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3.项目组织实施情况</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2021年5月，项目预算经批准下达后，学校启动了项目的建设工作。为了规范有序、高效安全地开展项目建设工作，学校成立了新校区本科教学实验室建设领导小组和新校区语言实验室建设工作组。语言实验室建设工作组由外国语学院院长、副院长负责。</w:t>
      </w:r>
    </w:p>
    <w:p>
      <w:pPr>
        <w:adjustRightInd w:val="0"/>
        <w:snapToGrid w:val="0"/>
        <w:spacing w:line="360" w:lineRule="auto"/>
        <w:ind w:firstLine="560"/>
        <w:rPr>
          <w:rFonts w:ascii="仿宋_GB2312" w:eastAsia="仿宋_GB2312" w:cs="宋体" w:hAnsiTheme="minorHAnsi"/>
          <w:kern w:val="0"/>
          <w:sz w:val="32"/>
          <w:szCs w:val="32"/>
          <w:highlight w:val="yellow"/>
        </w:rPr>
      </w:pPr>
      <w:r>
        <w:rPr>
          <w:rFonts w:hint="eastAsia" w:ascii="仿宋_GB2312" w:eastAsia="仿宋_GB2312" w:hAnsiTheme="minorEastAsia"/>
          <w:sz w:val="32"/>
          <w:szCs w:val="32"/>
        </w:rPr>
        <w:t>2021年5月26日，学校资产处委托</w:t>
      </w:r>
      <w:r>
        <w:rPr>
          <w:rFonts w:hint="eastAsia" w:ascii="仿宋_GB2312" w:eastAsia="仿宋_GB2312" w:cs="宋体" w:hAnsiTheme="minorHAnsi"/>
          <w:kern w:val="0"/>
          <w:sz w:val="32"/>
          <w:szCs w:val="32"/>
        </w:rPr>
        <w:t>新华招标有限公司发布了“</w:t>
      </w:r>
      <w:r>
        <w:rPr>
          <w:rFonts w:hint="eastAsia" w:ascii="仿宋_GB2312" w:eastAsia="仿宋_GB2312" w:hAnsiTheme="minorEastAsia"/>
          <w:sz w:val="32"/>
          <w:szCs w:val="32"/>
        </w:rPr>
        <w:t>改善办学保障条件-北京信息科技大学新校区语言实验室建设项目（新竣工楼配套）-第一包公开招标公告</w:t>
      </w:r>
      <w:r>
        <w:rPr>
          <w:rFonts w:hint="eastAsia" w:ascii="仿宋_GB2312" w:eastAsia="仿宋_GB2312" w:cs="宋体" w:hAnsiTheme="minorHAnsi"/>
          <w:kern w:val="0"/>
          <w:sz w:val="32"/>
          <w:szCs w:val="32"/>
        </w:rPr>
        <w:t>”和“</w:t>
      </w:r>
      <w:r>
        <w:rPr>
          <w:rFonts w:hint="eastAsia" w:ascii="仿宋_GB2312" w:eastAsia="仿宋_GB2312" w:hAnsiTheme="minorEastAsia"/>
          <w:sz w:val="32"/>
          <w:szCs w:val="32"/>
        </w:rPr>
        <w:t>改善办学保障条件-北京信息科技大学新校区语言实验室建设项目（新竣工楼配套）-第二包公开招标公告</w:t>
      </w:r>
      <w:r>
        <w:rPr>
          <w:rFonts w:hint="eastAsia" w:ascii="仿宋_GB2312" w:eastAsia="仿宋_GB2312" w:cs="宋体" w:hAnsiTheme="minorHAnsi"/>
          <w:kern w:val="0"/>
          <w:sz w:val="32"/>
          <w:szCs w:val="32"/>
        </w:rPr>
        <w:t>”。</w:t>
      </w:r>
      <w:r>
        <w:rPr>
          <w:rFonts w:hint="eastAsia" w:ascii="仿宋_GB2312" w:eastAsia="仿宋_GB2312" w:hAnsiTheme="minorEastAsia"/>
          <w:sz w:val="32"/>
          <w:szCs w:val="32"/>
        </w:rPr>
        <w:t>2021年6月17日，项目第一包和第二包完成招标评审。2021年6</w:t>
      </w:r>
      <w:r>
        <w:rPr>
          <w:rFonts w:hint="eastAsia" w:ascii="仿宋_GB2312" w:eastAsia="仿宋_GB2312" w:cs="宋体" w:hAnsiTheme="minorHAnsi"/>
          <w:kern w:val="0"/>
          <w:sz w:val="32"/>
          <w:szCs w:val="32"/>
        </w:rPr>
        <w:t>月29日，资产处在学校官网发布了北京信息科技大学新校区语言实验室建设项目中标公告</w:t>
      </w:r>
      <w:r>
        <w:rPr>
          <w:rFonts w:hint="eastAsia" w:ascii="仿宋_GB2312" w:eastAsia="仿宋_GB2312" w:cs="宋体" w:hAnsiTheme="minorHAnsi"/>
          <w:kern w:val="0"/>
          <w:sz w:val="32"/>
          <w:szCs w:val="32"/>
          <w:lang w:eastAsia="zh-CN"/>
        </w:rPr>
        <w:t>，</w:t>
      </w:r>
      <w:r>
        <w:rPr>
          <w:rFonts w:hint="eastAsia" w:ascii="仿宋_GB2312" w:eastAsia="仿宋_GB2312" w:cs="宋体" w:hAnsiTheme="minorHAnsi"/>
          <w:kern w:val="0"/>
          <w:sz w:val="32"/>
          <w:szCs w:val="32"/>
        </w:rPr>
        <w:t>负责项目政采部分采购。</w:t>
      </w:r>
      <w:bookmarkStart w:id="8" w:name="_GoBack"/>
      <w:bookmarkEnd w:id="8"/>
    </w:p>
    <w:p>
      <w:pPr>
        <w:adjustRightInd w:val="0"/>
        <w:snapToGri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完成招标后，2021年7月，外国语学院副院长带领着语言实验室建设工作组成员及相关技术人员开始新校区语言实验室的具体建设工作。项目实施过程中每周向新校区本科教学实验室建设领导小组汇报工程进展和支出进展，向新校区管委办汇报工作进展和需要协调解决的问题。</w:t>
      </w:r>
    </w:p>
    <w:p>
      <w:pPr>
        <w:adjustRightInd w:val="0"/>
        <w:snapToGri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项目建设中，语言实验室建设工作小组多次组织一线教师召开现场会，对实验室桌椅摆放、学生位设备摆放空间、学生座椅颜色、学生屏幕角度、窗帘样式等细节向教师征求意见。对建设中出现的问题，小组及时向主管部门汇报，召开现场会和专家咨询会。分阶段组织隐蔽工程验收、货物清点、现场验收会。设备安装完毕，组织全体老师到语言实验室实地进行了测试和培训。最终验收后严格按照学校规定入库设备1962件，并严格按照学校财务制度完成项目支付。</w:t>
      </w:r>
    </w:p>
    <w:p>
      <w:pPr>
        <w:adjustRightInd w:val="0"/>
        <w:snapToGri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在项目建设过程中，项目具体财务和业务活动和流程，包括预算业务控制、政府采购业务控制、资产控制、项目施工控制、合同控制等接受学校各相关职能部门包括教务处、财务处、审计处、资产处、校区建设办和管理办的严格监管。</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4.项目资金情况</w:t>
      </w:r>
    </w:p>
    <w:p>
      <w:pPr>
        <w:adjustRightIn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2021年项目申请预算资金577.9076万元，经过北京市教委组织的项目预算评审，审定金额577.9076万元。下达项目2021年度预算控制数为577.9076万元，其中，中央财政资金367.03481万元，北京市财政资金210.87279万元。项目执行中，因在项目招投标过程中产生了结余，实际支付完成573.0798万元，执行率99.16%，结余资金4.8278万元已按照要求退回北京市财政。</w:t>
      </w:r>
    </w:p>
    <w:p>
      <w:pPr>
        <w:spacing w:line="360" w:lineRule="auto"/>
        <w:ind w:firstLine="643" w:firstLineChars="200"/>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（二）项目绩效</w:t>
      </w:r>
      <w:r>
        <w:rPr>
          <w:rFonts w:ascii="仿宋_GB2312" w:hAnsi="仿宋_GB2312" w:eastAsia="仿宋_GB2312" w:cs="仿宋_GB2312"/>
          <w:b/>
          <w:sz w:val="32"/>
          <w:szCs w:val="32"/>
        </w:rPr>
        <w:t>目标</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1.预期总目标</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（1）确保正常教学秩序。项目将根据搬迁进度逐步建设，满足不同的教学需求。2021年建设10间云网络语言实验室满足2021级73个班的大学英语需求。</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利用好现有条件资源。通过整合信息化资源，最大程度利用现有教学平台和教学设备。软件方面多个教学和测试平台可以进行有效整合，硬件方面计划在2021年搬迁外国语学院7教206室（96座语言实验室）部分设备，项目预算已经做了利旧删减。</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提升实验室管理水平。借助云平台，实现实验室统一管理，满足多种教学模式和个性化需求。新校区中控室将保障各个实验室的电源保障、资源存储、安全监控、学生自主学习以及语言实验室日常教学管理。</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支撑高水平教改和科研。在云教学平台产生的大量教学行为数据和语言评测活动产生的数据可以在后续建设的智能平台进行数据挖掘，为教学改革和科研提供数据支撑。其他高水平课程建设，如：慕课制作、外语教师课程资源的分享、面向学校各专业的教材开发和建设可以逐步开展。</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2.2021年度绩效目标</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（1）5间共180个座位终端型语言实验室（无学生电脑，其中1间带智慧黑板，1间带直播录播），用于基础教学和自主学习；</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（2）5间共200个座位终端型+学生电脑型语言实验室（该5间语言实验室除承担日常外语教学及自主学习外，还承担国家四、六级口语考试、专业四、八级考试等），其中1间带直播录播；</w:t>
      </w:r>
    </w:p>
    <w:p>
      <w:pPr>
        <w:spacing w:line="360" w:lineRule="auto"/>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（3）1间中控室（用于实现中央集中控制，分层管理、远程监控、智能交互、时序到每间实验室，做到最大程度的资源共享）。</w:t>
      </w:r>
    </w:p>
    <w:p>
      <w:pPr>
        <w:adjustRightInd w:val="0"/>
        <w:spacing w:line="360" w:lineRule="auto"/>
        <w:ind w:firstLine="640"/>
        <w:outlineLvl w:val="0"/>
        <w:rPr>
          <w:rFonts w:ascii="黑体" w:hAnsi="黑体" w:eastAsia="黑体"/>
          <w:sz w:val="32"/>
        </w:rPr>
      </w:pPr>
      <w:bookmarkStart w:id="0" w:name="_Toc468778994"/>
      <w:bookmarkStart w:id="1" w:name="_Toc14097447"/>
      <w:r>
        <w:rPr>
          <w:rFonts w:hint="eastAsia" w:ascii="黑体" w:hAnsi="黑体" w:eastAsia="黑体"/>
          <w:sz w:val="32"/>
        </w:rPr>
        <w:t>二、绩效评价</w:t>
      </w:r>
      <w:bookmarkEnd w:id="0"/>
      <w:bookmarkStart w:id="2" w:name="_Toc402873091"/>
      <w:bookmarkStart w:id="3" w:name="_Toc468778995"/>
      <w:r>
        <w:rPr>
          <w:rFonts w:hint="eastAsia" w:ascii="黑体" w:hAnsi="黑体" w:eastAsia="黑体"/>
          <w:sz w:val="32"/>
        </w:rPr>
        <w:t>工作</w:t>
      </w:r>
      <w:bookmarkEnd w:id="1"/>
      <w:r>
        <w:rPr>
          <w:rFonts w:hint="eastAsia" w:ascii="黑体" w:hAnsi="黑体" w:eastAsia="黑体"/>
          <w:sz w:val="32"/>
        </w:rPr>
        <w:t>开展情况</w:t>
      </w:r>
    </w:p>
    <w:bookmarkEnd w:id="2"/>
    <w:bookmarkEnd w:id="3"/>
    <w:p>
      <w:pPr>
        <w:pStyle w:val="18"/>
        <w:adjustRightInd w:val="0"/>
        <w:spacing w:line="360" w:lineRule="auto"/>
        <w:ind w:firstLine="643"/>
        <w:jc w:val="left"/>
        <w:outlineLvl w:val="1"/>
        <w:rPr>
          <w:rFonts w:hint="eastAsia" w:ascii="仿宋_GB2312" w:hAnsi="宋体" w:eastAsia="仿宋_GB2312"/>
          <w:bCs w:val="0"/>
          <w:lang w:val="en-US" w:eastAsia="zh-CN"/>
        </w:rPr>
      </w:pPr>
      <w:r>
        <w:rPr>
          <w:rFonts w:hint="eastAsia" w:ascii="仿宋_GB2312" w:hAnsi="宋体" w:eastAsia="仿宋_GB2312"/>
          <w:bCs w:val="0"/>
        </w:rPr>
        <w:t>（一）评价目的</w:t>
      </w:r>
      <w:r>
        <w:rPr>
          <w:rFonts w:hint="eastAsia" w:ascii="仿宋_GB2312" w:hAnsi="宋体" w:eastAsia="仿宋_GB2312"/>
          <w:bCs w:val="0"/>
          <w:lang w:eastAsia="zh-CN"/>
        </w:rPr>
        <w:t>、对象和范围</w:t>
      </w:r>
    </w:p>
    <w:p>
      <w:pPr>
        <w:spacing w:line="360" w:lineRule="auto"/>
        <w:ind w:firstLine="640"/>
        <w:rPr>
          <w:rFonts w:ascii="仿宋_GB2312" w:eastAsia="仿宋_GB2312"/>
          <w:sz w:val="32"/>
          <w:szCs w:val="32"/>
        </w:rPr>
      </w:pPr>
      <w:r>
        <w:rPr>
          <w:rFonts w:hint="eastAsia" w:ascii="仿宋_GB2312" w:eastAsia="仿宋_GB2312"/>
          <w:sz w:val="32"/>
          <w:szCs w:val="32"/>
        </w:rPr>
        <w:t>1.评价目的</w:t>
      </w:r>
    </w:p>
    <w:p>
      <w:pPr>
        <w:spacing w:line="360" w:lineRule="auto"/>
        <w:ind w:firstLine="640"/>
        <w:rPr>
          <w:rFonts w:ascii="仿宋_GB2312" w:eastAsia="仿宋_GB2312"/>
          <w:sz w:val="32"/>
          <w:szCs w:val="32"/>
        </w:rPr>
      </w:pPr>
      <w:r>
        <w:rPr>
          <w:rFonts w:hint="eastAsia" w:ascii="仿宋_GB2312" w:eastAsia="仿宋_GB2312"/>
          <w:sz w:val="32"/>
          <w:szCs w:val="32"/>
        </w:rPr>
        <w:t>通过对</w:t>
      </w:r>
      <w:r>
        <w:rPr>
          <w:rFonts w:hint="eastAsia" w:ascii="仿宋_GB2312" w:hAnsi="仿宋" w:eastAsia="仿宋_GB2312" w:cs="仿宋_GB2312"/>
          <w:sz w:val="32"/>
          <w:szCs w:val="32"/>
        </w:rPr>
        <w:t>“</w:t>
      </w:r>
      <w:r>
        <w:rPr>
          <w:rFonts w:hint="eastAsia" w:ascii="仿宋_GB2312" w:eastAsia="仿宋_GB2312"/>
          <w:sz w:val="32"/>
          <w:szCs w:val="32"/>
        </w:rPr>
        <w:t>改善办学保障条件-北京信息科技大学新校区语言实验室建设项目（新竣工楼配套）</w:t>
      </w:r>
      <w:r>
        <w:rPr>
          <w:rFonts w:hint="eastAsia" w:ascii="仿宋_GB2312" w:hAnsi="仿宋" w:eastAsia="仿宋_GB2312" w:cs="仿宋_GB2312"/>
          <w:sz w:val="32"/>
          <w:szCs w:val="32"/>
        </w:rPr>
        <w:t>”</w:t>
      </w:r>
      <w:r>
        <w:rPr>
          <w:rFonts w:hint="eastAsia" w:ascii="仿宋_GB2312" w:eastAsia="仿宋_GB2312"/>
          <w:sz w:val="32"/>
          <w:szCs w:val="32"/>
        </w:rPr>
        <w:t>的实施情况进行全面评价，反映该项目的决策、过程、产出、效益等方面情况，并针对评价过程发现的问题，提出项目决策、过程管理、绩效改善等方面的建议，进一步提升财政资金的使用效益。</w:t>
      </w:r>
    </w:p>
    <w:p>
      <w:pPr>
        <w:spacing w:line="360" w:lineRule="auto"/>
        <w:ind w:firstLine="640"/>
        <w:rPr>
          <w:rFonts w:ascii="仿宋_GB2312" w:eastAsia="仿宋_GB2312"/>
          <w:sz w:val="32"/>
          <w:szCs w:val="32"/>
        </w:rPr>
      </w:pPr>
      <w:r>
        <w:rPr>
          <w:rFonts w:hint="eastAsia" w:ascii="仿宋_GB2312" w:eastAsia="仿宋_GB2312"/>
          <w:sz w:val="32"/>
          <w:szCs w:val="32"/>
        </w:rPr>
        <w:t>2.评价重点</w:t>
      </w:r>
    </w:p>
    <w:p>
      <w:pPr>
        <w:spacing w:line="360" w:lineRule="auto"/>
        <w:ind w:firstLine="640"/>
        <w:rPr>
          <w:rFonts w:ascii="仿宋_GB2312" w:eastAsia="仿宋_GB2312"/>
          <w:sz w:val="32"/>
          <w:szCs w:val="32"/>
        </w:rPr>
      </w:pPr>
      <w:r>
        <w:rPr>
          <w:rFonts w:hint="eastAsia" w:ascii="仿宋_GB2312" w:eastAsia="仿宋_GB2312"/>
          <w:sz w:val="32"/>
          <w:szCs w:val="32"/>
        </w:rPr>
        <w:t>根据项目实施周期，本次绩效评价时段确定为2021年项目的建设情况，评价的资金为577.9076万元。评价重点为：一是根据项目的申报文件及建设方案，考核项目建设是否完成，实施内容是否与原设定的建设内容和建设目标以及批准的项目预算一致，其成效是否达到预期；二是关注项目实施过程的各环节，检验和考核项目实施过程管理的规范性和有效性。</w:t>
      </w:r>
      <w:r>
        <w:rPr>
          <w:rFonts w:ascii="仿宋_GB2312" w:eastAsia="仿宋_GB2312"/>
          <w:sz w:val="32"/>
          <w:szCs w:val="32"/>
        </w:rPr>
        <w:t xml:space="preserve"> </w:t>
      </w:r>
    </w:p>
    <w:p>
      <w:pPr>
        <w:adjustRightInd w:val="0"/>
        <w:spacing w:line="360" w:lineRule="auto"/>
        <w:ind w:firstLine="643"/>
        <w:outlineLvl w:val="1"/>
        <w:rPr>
          <w:rFonts w:ascii="仿宋_GB2312" w:hAnsi="宋体" w:eastAsia="仿宋_GB2312" w:cs="宋体"/>
          <w:b/>
          <w:kern w:val="0"/>
          <w:sz w:val="32"/>
          <w:szCs w:val="32"/>
        </w:rPr>
      </w:pPr>
      <w:bookmarkStart w:id="4" w:name="_Toc468778996"/>
      <w:bookmarkStart w:id="5" w:name="_Toc438629638"/>
      <w:bookmarkStart w:id="6" w:name="_Toc14097449"/>
      <w:r>
        <w:rPr>
          <w:rFonts w:hint="eastAsia" w:ascii="仿宋_GB2312" w:hAnsi="宋体" w:eastAsia="仿宋_GB2312" w:cs="宋体"/>
          <w:b/>
          <w:kern w:val="0"/>
          <w:sz w:val="32"/>
          <w:szCs w:val="32"/>
        </w:rPr>
        <w:t>（二）评价原则与方法</w:t>
      </w:r>
      <w:bookmarkEnd w:id="4"/>
      <w:bookmarkEnd w:id="5"/>
      <w:bookmarkEnd w:id="6"/>
    </w:p>
    <w:p>
      <w:pPr>
        <w:spacing w:line="360" w:lineRule="auto"/>
        <w:ind w:firstLine="640"/>
        <w:rPr>
          <w:rFonts w:ascii="仿宋_GB2312" w:hAnsi="Arial" w:eastAsia="仿宋_GB2312" w:cs="Arial"/>
          <w:kern w:val="0"/>
          <w:sz w:val="32"/>
          <w:szCs w:val="32"/>
        </w:rPr>
      </w:pPr>
      <w:r>
        <w:rPr>
          <w:rFonts w:hint="eastAsia" w:ascii="仿宋_GB2312" w:hAnsi="Arial" w:eastAsia="仿宋_GB2312" w:cs="Arial"/>
          <w:kern w:val="0"/>
          <w:sz w:val="32"/>
          <w:szCs w:val="32"/>
        </w:rPr>
        <w:t>本次绩效评价遵循“客观、公正、科学、规范”的原则，</w:t>
      </w:r>
      <w:r>
        <w:rPr>
          <w:rFonts w:hint="eastAsia" w:ascii="仿宋_GB2312" w:hAnsi="仿宋_GB2312" w:eastAsia="仿宋_GB2312" w:cs="仿宋_GB2312"/>
          <w:sz w:val="32"/>
          <w:szCs w:val="32"/>
        </w:rPr>
        <w:t>采取定性与定量相结合的方式，</w:t>
      </w:r>
      <w:r>
        <w:rPr>
          <w:rFonts w:hint="eastAsia" w:ascii="仿宋_GB2312" w:hAnsi="Arial" w:eastAsia="仿宋_GB2312" w:cs="Arial"/>
          <w:kern w:val="0"/>
          <w:sz w:val="32"/>
          <w:szCs w:val="32"/>
        </w:rPr>
        <w:t>结合项目的特点，采用</w:t>
      </w:r>
      <w:r>
        <w:rPr>
          <w:rFonts w:hint="eastAsia" w:ascii="仿宋_GB2312" w:hAnsi="仿宋_GB2312" w:eastAsia="仿宋_GB2312" w:cs="仿宋_GB2312"/>
          <w:sz w:val="32"/>
          <w:szCs w:val="32"/>
        </w:rPr>
        <w:t>案卷研究法、</w:t>
      </w:r>
      <w:r>
        <w:rPr>
          <w:rFonts w:hint="eastAsia" w:ascii="仿宋_GB2312" w:eastAsia="仿宋_GB2312"/>
          <w:sz w:val="32"/>
          <w:szCs w:val="32"/>
        </w:rPr>
        <w:t>目标预定与实施效果比较法、</w:t>
      </w:r>
      <w:r>
        <w:rPr>
          <w:rFonts w:hint="eastAsia" w:ascii="仿宋_GB2312" w:hAnsi="仿宋_GB2312" w:eastAsia="仿宋_GB2312" w:cs="仿宋_GB2312"/>
          <w:sz w:val="32"/>
          <w:szCs w:val="32"/>
        </w:rPr>
        <w:t>专家评议法等方法，</w:t>
      </w:r>
      <w:r>
        <w:rPr>
          <w:rFonts w:hint="eastAsia" w:ascii="仿宋_GB2312" w:hAnsi="宋体" w:eastAsia="仿宋_GB2312" w:cs="宋体"/>
          <w:kern w:val="0"/>
          <w:sz w:val="32"/>
          <w:szCs w:val="32"/>
        </w:rPr>
        <w:t>通过查阅资料、听取项目情况介绍、质询等方式了解项目实施情况，从项目决策、项目过程、项目产出、项目效益4个方面开展评价。</w:t>
      </w:r>
    </w:p>
    <w:p>
      <w:pPr>
        <w:adjustRightInd w:val="0"/>
        <w:spacing w:line="360" w:lineRule="auto"/>
        <w:ind w:firstLine="643"/>
        <w:outlineLvl w:val="1"/>
        <w:rPr>
          <w:rFonts w:ascii="仿宋_GB2312" w:hAnsi="宋体" w:eastAsia="仿宋_GB2312" w:cs="宋体"/>
          <w:b/>
          <w:kern w:val="0"/>
          <w:sz w:val="32"/>
          <w:szCs w:val="32"/>
        </w:rPr>
      </w:pPr>
      <w:bookmarkStart w:id="7" w:name="_Toc14097450"/>
      <w:r>
        <w:rPr>
          <w:rFonts w:hint="eastAsia" w:ascii="仿宋_GB2312" w:hAnsi="宋体" w:eastAsia="仿宋_GB2312" w:cs="宋体"/>
          <w:b/>
          <w:kern w:val="0"/>
          <w:sz w:val="32"/>
          <w:szCs w:val="32"/>
        </w:rPr>
        <w:t>（三）绩效评价指标体系及评分</w:t>
      </w:r>
      <w:bookmarkEnd w:id="7"/>
      <w:r>
        <w:rPr>
          <w:rFonts w:hint="eastAsia" w:ascii="仿宋_GB2312" w:hAnsi="宋体" w:eastAsia="仿宋_GB2312" w:cs="宋体"/>
          <w:b/>
          <w:kern w:val="0"/>
          <w:sz w:val="32"/>
          <w:szCs w:val="32"/>
        </w:rPr>
        <w:t>标准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 w:eastAsia="仿宋_GB2312" w:cs="仿宋_GB2312"/>
          <w:sz w:val="32"/>
          <w:szCs w:val="32"/>
        </w:rPr>
        <w:t>《北京市项目支出绩效评价管理办法》（京财预〔2020〕2146号），本次绩效评价指标体系的一级指标包括</w:t>
      </w:r>
      <w:r>
        <w:rPr>
          <w:rFonts w:hint="eastAsia" w:ascii="仿宋_GB2312" w:hAnsi="仿宋_GB2312" w:eastAsia="仿宋_GB2312" w:cs="仿宋_GB2312"/>
          <w:sz w:val="32"/>
          <w:szCs w:val="32"/>
        </w:rPr>
        <w:t>项目决策、项目过程、项目产出、项目效益4个方面，满分100分。项目决策指标（15分）主要评价</w:t>
      </w:r>
      <w:r>
        <w:rPr>
          <w:rFonts w:ascii="仿宋_GB2312" w:hAnsi="仿宋_GB2312" w:eastAsia="仿宋_GB2312" w:cs="仿宋_GB2312"/>
          <w:sz w:val="32"/>
          <w:szCs w:val="32"/>
        </w:rPr>
        <w:t>立项目项</w:t>
      </w:r>
      <w:r>
        <w:rPr>
          <w:rFonts w:hint="eastAsia" w:ascii="仿宋_GB2312" w:hAnsi="仿宋_GB2312" w:eastAsia="仿宋_GB2312" w:cs="仿宋_GB2312"/>
          <w:sz w:val="32"/>
          <w:szCs w:val="32"/>
        </w:rPr>
        <w:t>决策、项目绩效目标设定和资金投入等内容；项目过程指标（25分）主要评价资金到位和管理、组织实施等内容；项目产出指标（40分）主要评价项目产出的数量、质量、时效和成本4个方面内容；项目效益指标（20分），主要评价项目的社会效益、经济效益、可持续影响和服务对象满意度等内容。项目绩效</w:t>
      </w:r>
      <w:r>
        <w:rPr>
          <w:rFonts w:ascii="仿宋_GB2312" w:hAnsi="仿宋_GB2312" w:eastAsia="仿宋_GB2312" w:cs="仿宋_GB2312"/>
          <w:sz w:val="32"/>
          <w:szCs w:val="32"/>
        </w:rPr>
        <w:t>评价指标体系</w:t>
      </w:r>
      <w:r>
        <w:rPr>
          <w:rFonts w:hint="eastAsia" w:ascii="仿宋_GB2312" w:hAnsi="仿宋_GB2312" w:eastAsia="仿宋_GB2312" w:cs="仿宋_GB2312"/>
          <w:sz w:val="32"/>
          <w:szCs w:val="32"/>
        </w:rPr>
        <w:t>详见</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根据北京市财政局关于绩效评价相关文件精神，评价工作组结合项目特点，细化了绩效评价指标体系，在一、二级指标基础上，根据评价要点，设置三级指标。并根据各级指标的重要性赋予不同权重和分值。在具体评价过程中，评价专家组根据收集的证据和评级规则，凭借对项目的深入了解和在预算绩效管理领域的专业判断对项目绩效进行打分和评级。</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本次评价结果分为四个等级，分为优、良、中、差。</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综合得分在90-100分（含90分）为优；</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综合得分在80-90分（含80分）为良；</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综合得分在60-80分（含60分）为中；</w:t>
      </w:r>
    </w:p>
    <w:p>
      <w:pPr>
        <w:autoSpaceDE w:val="0"/>
        <w:autoSpaceDN w:val="0"/>
        <w:adjustRightInd w:val="0"/>
        <w:spacing w:line="360" w:lineRule="auto"/>
        <w:ind w:firstLine="640"/>
        <w:rPr>
          <w:rFonts w:ascii="仿宋_GB2312" w:hAnsi="宋体" w:eastAsia="仿宋_GB2312"/>
          <w:sz w:val="32"/>
          <w:szCs w:val="32"/>
        </w:rPr>
      </w:pPr>
      <w:r>
        <w:rPr>
          <w:rFonts w:hint="eastAsia" w:ascii="仿宋_GB2312" w:hAnsi="宋体" w:eastAsia="仿宋_GB2312"/>
          <w:sz w:val="32"/>
          <w:szCs w:val="32"/>
        </w:rPr>
        <w:t>综合得分在60分以下为差。</w:t>
      </w:r>
    </w:p>
    <w:p>
      <w:pPr>
        <w:autoSpaceDE w:val="0"/>
        <w:autoSpaceDN w:val="0"/>
        <w:adjustRightInd w:val="0"/>
        <w:spacing w:line="360" w:lineRule="auto"/>
        <w:ind w:firstLine="640"/>
        <w:rPr>
          <w:rFonts w:ascii="仿宋_GB2312" w:hAnsi="宋体" w:eastAsia="仿宋_GB2312"/>
          <w:b/>
          <w:sz w:val="32"/>
          <w:szCs w:val="32"/>
        </w:rPr>
      </w:pPr>
      <w:r>
        <w:rPr>
          <w:rFonts w:hint="eastAsia" w:ascii="仿宋_GB2312" w:hAnsi="宋体" w:eastAsia="仿宋_GB2312"/>
          <w:b/>
          <w:sz w:val="32"/>
          <w:szCs w:val="32"/>
        </w:rPr>
        <w:t>（四）绩效评价工作过程</w:t>
      </w:r>
    </w:p>
    <w:p>
      <w:pPr>
        <w:autoSpaceDE w:val="0"/>
        <w:autoSpaceDN w:val="0"/>
        <w:adjustRightInd w:val="0"/>
        <w:snapToGrid w:val="0"/>
        <w:spacing w:line="360" w:lineRule="auto"/>
        <w:ind w:firstLine="640"/>
        <w:rPr>
          <w:rFonts w:ascii="仿宋_GB2312" w:hAnsi="宋体" w:eastAsia="仿宋_GB2312"/>
          <w:sz w:val="32"/>
          <w:szCs w:val="32"/>
        </w:rPr>
      </w:pPr>
      <w:r>
        <w:rPr>
          <w:rFonts w:hint="eastAsia" w:ascii="仿宋_GB2312" w:hAnsi="宋体" w:eastAsia="仿宋_GB2312"/>
          <w:sz w:val="32"/>
          <w:szCs w:val="32"/>
        </w:rPr>
        <w:t>为保证绩效评价工作的客观公正，本次评价工作遵守严格、规范的工作程序，具体实施时间为2022年4月13日至2022年5月17日，包括准备、实施、总结及应用三个阶段。</w:t>
      </w:r>
    </w:p>
    <w:p>
      <w:pPr>
        <w:spacing w:line="360" w:lineRule="auto"/>
        <w:ind w:firstLine="480"/>
        <w:rPr>
          <w:rFonts w:ascii="仿宋_GB2312" w:eastAsia="仿宋_GB2312"/>
          <w:sz w:val="32"/>
          <w:szCs w:val="32"/>
        </w:rPr>
      </w:pPr>
      <w:r>
        <w:rPr>
          <w:rFonts w:hint="eastAsia" w:ascii="仿宋_GB2312" w:eastAsia="仿宋_GB2312"/>
          <w:sz w:val="32"/>
          <w:szCs w:val="32"/>
        </w:rPr>
        <w:t>1．准备阶段（2022年4月13日-4月19日）</w:t>
      </w:r>
    </w:p>
    <w:p>
      <w:pPr>
        <w:spacing w:line="360" w:lineRule="auto"/>
        <w:ind w:firstLine="480"/>
        <w:rPr>
          <w:rFonts w:ascii="仿宋_GB2312" w:eastAsia="仿宋_GB2312"/>
          <w:sz w:val="32"/>
          <w:szCs w:val="32"/>
        </w:rPr>
      </w:pPr>
      <w:r>
        <w:rPr>
          <w:rFonts w:hint="eastAsia" w:ascii="仿宋_GB2312" w:eastAsia="仿宋_GB2312"/>
          <w:sz w:val="32"/>
          <w:szCs w:val="32"/>
        </w:rPr>
        <w:t>（1）组建评价工作组。评价工作组由北京市教育委员会、北京工商大学绩效管理研究院共同组成。</w:t>
      </w:r>
    </w:p>
    <w:p>
      <w:pPr>
        <w:spacing w:line="360" w:lineRule="auto"/>
        <w:ind w:firstLine="480"/>
        <w:rPr>
          <w:rFonts w:ascii="仿宋_GB2312" w:eastAsia="仿宋_GB2312"/>
          <w:sz w:val="32"/>
          <w:szCs w:val="32"/>
        </w:rPr>
      </w:pPr>
      <w:r>
        <w:rPr>
          <w:rFonts w:hint="eastAsia" w:ascii="仿宋_GB2312" w:eastAsia="仿宋_GB2312"/>
          <w:sz w:val="32"/>
          <w:szCs w:val="32"/>
        </w:rPr>
        <w:t>（2）撰写工作方案。明确评价工作时间进度安排、方式方法、评价内容及保障机制等，并报北京市教育委员会审阅、同意。</w:t>
      </w:r>
    </w:p>
    <w:p>
      <w:pPr>
        <w:spacing w:line="360" w:lineRule="auto"/>
        <w:ind w:firstLine="480"/>
        <w:rPr>
          <w:rFonts w:ascii="仿宋_GB2312" w:eastAsia="仿宋_GB2312"/>
          <w:sz w:val="32"/>
          <w:szCs w:val="32"/>
        </w:rPr>
      </w:pPr>
      <w:r>
        <w:rPr>
          <w:rFonts w:hint="eastAsia" w:ascii="仿宋_GB2312" w:eastAsia="仿宋_GB2312"/>
          <w:sz w:val="32"/>
          <w:szCs w:val="32"/>
        </w:rPr>
        <w:t>（3）组建专家组。遴选相关业务专家2名、管理专家2名和财务专家1名，组成评价专家组，确定1人担任专家组组长。</w:t>
      </w:r>
    </w:p>
    <w:p>
      <w:pPr>
        <w:spacing w:line="360" w:lineRule="auto"/>
        <w:ind w:firstLine="480"/>
        <w:rPr>
          <w:rFonts w:ascii="仿宋_GB2312" w:eastAsia="仿宋_GB2312"/>
          <w:sz w:val="32"/>
          <w:szCs w:val="32"/>
        </w:rPr>
      </w:pPr>
      <w:r>
        <w:rPr>
          <w:rFonts w:hint="eastAsia" w:ascii="仿宋_GB2312" w:eastAsia="仿宋_GB2312"/>
          <w:sz w:val="32"/>
          <w:szCs w:val="32"/>
        </w:rPr>
        <w:t>（4）沟通收集资料。与项目单位—北京信息科技大学取得联系，了解项目的有关情况，明确应提交的资料及提交时间，并就提交材料中容易出现的问题、评价工作的安排及有关注意事项进行说明和指导。</w:t>
      </w:r>
    </w:p>
    <w:p>
      <w:pPr>
        <w:spacing w:line="360" w:lineRule="auto"/>
        <w:ind w:firstLine="480"/>
        <w:rPr>
          <w:rFonts w:ascii="仿宋_GB2312" w:eastAsia="仿宋_GB2312"/>
          <w:sz w:val="32"/>
          <w:szCs w:val="32"/>
        </w:rPr>
      </w:pPr>
      <w:r>
        <w:rPr>
          <w:rFonts w:hint="eastAsia" w:ascii="仿宋_GB2312" w:eastAsia="仿宋_GB2312"/>
          <w:sz w:val="32"/>
          <w:szCs w:val="32"/>
        </w:rPr>
        <w:t>2．实施阶段（2020年4月20日-5月7日）</w:t>
      </w:r>
    </w:p>
    <w:p>
      <w:pPr>
        <w:spacing w:line="360" w:lineRule="auto"/>
        <w:ind w:firstLine="480"/>
        <w:rPr>
          <w:rFonts w:ascii="仿宋_GB2312" w:eastAsia="仿宋_GB2312"/>
          <w:sz w:val="32"/>
          <w:szCs w:val="32"/>
        </w:rPr>
      </w:pPr>
      <w:r>
        <w:rPr>
          <w:rFonts w:hint="eastAsia" w:ascii="仿宋_GB2312" w:eastAsia="仿宋_GB2312"/>
          <w:sz w:val="32"/>
          <w:szCs w:val="32"/>
        </w:rPr>
        <w:t>（1）收集审核资料。工作组对北京信息科技大学提供的材料内容的完整性、数据的准确性及勾稽关系进行审核，及时将审核意见反馈项目单位，要求时限内补充资料。</w:t>
      </w:r>
    </w:p>
    <w:p>
      <w:pPr>
        <w:spacing w:line="360" w:lineRule="auto"/>
        <w:ind w:firstLine="480"/>
        <w:rPr>
          <w:rFonts w:ascii="仿宋_GB2312" w:eastAsia="仿宋_GB2312"/>
          <w:sz w:val="32"/>
          <w:szCs w:val="32"/>
        </w:rPr>
      </w:pPr>
      <w:r>
        <w:rPr>
          <w:rFonts w:hint="eastAsia" w:ascii="仿宋_GB2312" w:eastAsia="仿宋_GB2312"/>
          <w:sz w:val="32"/>
          <w:szCs w:val="32"/>
        </w:rPr>
        <w:t>（2）原计划4月28日组织专家到北京信息科技大学实地调研，检查设备的购置、安装、使用情况，了解项目实施的具体过程。后因疫情变化，无法进入学校进行实地调研，要求项目单位拍摄项目视频提供工作组及专家。</w:t>
      </w:r>
    </w:p>
    <w:p>
      <w:pPr>
        <w:spacing w:line="360" w:lineRule="auto"/>
        <w:ind w:firstLine="480"/>
        <w:rPr>
          <w:rFonts w:ascii="仿宋_GB2312" w:eastAsia="仿宋_GB2312"/>
          <w:sz w:val="32"/>
          <w:szCs w:val="32"/>
        </w:rPr>
      </w:pPr>
      <w:r>
        <w:rPr>
          <w:rFonts w:hint="eastAsia" w:ascii="仿宋_GB2312" w:eastAsia="仿宋_GB2312"/>
          <w:sz w:val="32"/>
          <w:szCs w:val="32"/>
        </w:rPr>
        <w:t>（3）原计划4月29日召开的绩效评价预备会，也因疫情冲击影响项目单位的资料准备和专家时间安排的变化未能召开。</w:t>
      </w:r>
    </w:p>
    <w:p>
      <w:pPr>
        <w:spacing w:line="360" w:lineRule="auto"/>
        <w:ind w:firstLine="480"/>
        <w:rPr>
          <w:rFonts w:ascii="仿宋_GB2312" w:eastAsia="仿宋_GB2312"/>
          <w:sz w:val="32"/>
          <w:szCs w:val="32"/>
        </w:rPr>
      </w:pPr>
      <w:r>
        <w:rPr>
          <w:rFonts w:hint="eastAsia" w:ascii="仿宋_GB2312" w:eastAsia="仿宋_GB2312"/>
          <w:sz w:val="32"/>
          <w:szCs w:val="32"/>
        </w:rPr>
        <w:t>（4）召开专家正式评价会议。5月6日晚召开专家组会前沟通会，5月7日召开正式评价会，由项目单位进行汇报，专家进行现场质询，通过双方充分交流沟通，专家出具个人意见及评分。</w:t>
      </w:r>
    </w:p>
    <w:p>
      <w:pPr>
        <w:spacing w:line="360" w:lineRule="auto"/>
        <w:ind w:firstLine="480"/>
        <w:rPr>
          <w:rFonts w:ascii="仿宋_GB2312" w:eastAsia="仿宋_GB2312"/>
          <w:sz w:val="32"/>
          <w:szCs w:val="32"/>
        </w:rPr>
      </w:pPr>
      <w:r>
        <w:rPr>
          <w:rFonts w:hint="eastAsia" w:ascii="仿宋_GB2312" w:eastAsia="仿宋_GB2312"/>
          <w:sz w:val="32"/>
          <w:szCs w:val="32"/>
        </w:rPr>
        <w:t>3.总结阶段（2020年5月7日-5月17日）</w:t>
      </w:r>
    </w:p>
    <w:p>
      <w:pPr>
        <w:spacing w:line="360" w:lineRule="auto"/>
        <w:ind w:firstLine="480"/>
        <w:rPr>
          <w:rFonts w:ascii="仿宋_GB2312" w:eastAsia="仿宋_GB2312"/>
          <w:sz w:val="32"/>
          <w:szCs w:val="32"/>
        </w:rPr>
      </w:pPr>
      <w:r>
        <w:rPr>
          <w:rFonts w:hint="eastAsia" w:ascii="仿宋_GB2312" w:eastAsia="仿宋_GB2312"/>
          <w:sz w:val="32"/>
          <w:szCs w:val="32"/>
        </w:rPr>
        <w:t>（1）撰写报告。工作组根据专家组最终评价结论，撰写评价报告初稿，上报北京市教育委员会。</w:t>
      </w:r>
    </w:p>
    <w:p>
      <w:pPr>
        <w:spacing w:line="360" w:lineRule="auto"/>
        <w:ind w:firstLine="480"/>
        <w:rPr>
          <w:rFonts w:ascii="仿宋_GB2312" w:eastAsia="仿宋_GB2312"/>
          <w:sz w:val="32"/>
          <w:szCs w:val="32"/>
        </w:rPr>
      </w:pPr>
      <w:r>
        <w:rPr>
          <w:rFonts w:hint="eastAsia" w:ascii="仿宋_GB2312" w:eastAsia="仿宋_GB2312"/>
          <w:sz w:val="32"/>
          <w:szCs w:val="32"/>
        </w:rPr>
        <w:t>（2）反馈绩效评价报告。依据北京市教育委员会及北京信息科技大学的意见，工作组修改完善评价报告后，将报告报送北京市教育委员会。</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三、综合绩效评价情况及评价结论</w:t>
      </w:r>
    </w:p>
    <w:p>
      <w:pPr>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经专家综合评价,</w:t>
      </w:r>
      <w:r>
        <w:rPr>
          <w:rFonts w:hint="eastAsia" w:ascii="仿宋_GB2312" w:eastAsia="仿宋_GB2312"/>
          <w:sz w:val="32"/>
          <w:szCs w:val="32"/>
        </w:rPr>
        <w:t>改善办学保障条件-北京信息科技大学新校区语言实验室建设项目（新竣工楼配套）</w:t>
      </w:r>
      <w:r>
        <w:rPr>
          <w:rFonts w:hint="eastAsia" w:ascii="仿宋_GB2312" w:hAnsi="Arial" w:eastAsia="仿宋_GB2312" w:cs="Arial"/>
          <w:kern w:val="0"/>
          <w:sz w:val="32"/>
          <w:szCs w:val="32"/>
        </w:rPr>
        <w:t>得分92.84分，绩效级别为“优”。其中，项目决策得分为14.38分、项目过程得分为23.18分、项目产出得分为37.4分、项目效益得分17.88分。</w:t>
      </w:r>
    </w:p>
    <w:p>
      <w:pPr>
        <w:spacing w:line="360" w:lineRule="auto"/>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评价结论：项目决策具有明确的政策依据，项目需求明确，与北京信息科技大学总体的发展定位以及年度工作计划相符。财政资金分配的依据充分，项目决策和管理流程规范。项目实施的主体责任清晰，项目既定的产出和效果指标基本实现。但是，绩效指标设置的科学性还有待进一步提高，项目在管理的精细化程度方面有待进一步加强。</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四、绩效评价指标分析</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（一）项目决策情况</w:t>
      </w:r>
    </w:p>
    <w:p>
      <w:pPr>
        <w:adjustRightInd w:val="0"/>
        <w:snapToGrid w:val="0"/>
        <w:spacing w:line="360" w:lineRule="auto"/>
        <w:ind w:firstLine="640" w:firstLineChars="200"/>
        <w:rPr>
          <w:rFonts w:ascii="仿宋_GB2312" w:eastAsia="仿宋_GB2312" w:hAnsiTheme="minorEastAsia"/>
          <w:bCs/>
          <w:color w:val="000000" w:themeColor="text1"/>
          <w:sz w:val="32"/>
          <w:szCs w:val="32"/>
        </w:rPr>
      </w:pPr>
      <w:r>
        <w:rPr>
          <w:rFonts w:hint="eastAsia" w:ascii="仿宋_GB2312" w:eastAsia="仿宋_GB2312" w:hAnsiTheme="minorEastAsia"/>
          <w:sz w:val="32"/>
          <w:szCs w:val="32"/>
        </w:rPr>
        <w:t>改善办学保障条件-北京信息科技大学新校区语言实验室建设项目（新竣工楼配套）是北京信息科技大学新校区建设项目的子项目。北京信息科技大学新校区建设项目是疏解非首都核心功能重大战略的需要，2017年被列为“疏解整治促提升”专项行动重点任务和北京市“调整布局，疏解功能”战略的重点项目，是“一会三函”办理项目。按照北京信息科技大学新校区总体建设和搬迁规划，2021年9月秋季学期预计本科生约2300余人入住新校区，外国语学院将承担2173人64个教学班的大学英语必修课4个学分的教学任务，其中2个学分要求必须在语言实验室完成，语言实验室建设任务十分紧迫。</w:t>
      </w:r>
      <w:r>
        <w:rPr>
          <w:rFonts w:hint="eastAsia" w:ascii="仿宋_GB2312" w:hAnsi="宋体" w:eastAsia="仿宋_GB2312"/>
          <w:sz w:val="32"/>
          <w:szCs w:val="32"/>
        </w:rPr>
        <w:t>项目实施具有政策相关性，符合信息科技大学功能定位，项目需求明确，立项依据充分。</w:t>
      </w:r>
      <w:r>
        <w:rPr>
          <w:rFonts w:hint="eastAsia" w:ascii="仿宋_GB2312" w:eastAsia="仿宋_GB2312" w:hAnsiTheme="minorEastAsia"/>
          <w:bCs/>
          <w:color w:val="000000" w:themeColor="text1"/>
          <w:sz w:val="32"/>
          <w:szCs w:val="32"/>
        </w:rPr>
        <w:t xml:space="preserve"> </w:t>
      </w:r>
    </w:p>
    <w:p>
      <w:pPr>
        <w:adjustRightInd w:val="0"/>
        <w:snapToGrid w:val="0"/>
        <w:spacing w:line="360" w:lineRule="auto"/>
        <w:ind w:firstLine="560"/>
        <w:rPr>
          <w:rFonts w:ascii="仿宋_GB2312" w:eastAsia="仿宋_GB2312" w:hAnsiTheme="minorEastAsia"/>
          <w:b/>
          <w:sz w:val="32"/>
          <w:szCs w:val="32"/>
        </w:rPr>
      </w:pPr>
      <w:r>
        <w:rPr>
          <w:rFonts w:hint="eastAsia" w:ascii="仿宋_GB2312" w:eastAsia="仿宋_GB2312" w:hAnsiTheme="minorEastAsia"/>
          <w:sz w:val="32"/>
          <w:szCs w:val="32"/>
        </w:rPr>
        <w:t>项目立项申请、设立规程较规范。项目单位对项目实施进行了较深入的考察和调研，项目建设方案和项目预算在校内进行了多次的论证和调整，并</w:t>
      </w:r>
      <w:r>
        <w:rPr>
          <w:rFonts w:hint="eastAsia" w:ascii="仿宋_GB2312" w:eastAsia="仿宋_GB2312" w:hAnsiTheme="minorEastAsia"/>
          <w:sz w:val="32"/>
          <w:szCs w:val="32"/>
          <w:lang w:eastAsia="zh-CN"/>
        </w:rPr>
        <w:t>对</w:t>
      </w:r>
      <w:r>
        <w:rPr>
          <w:rFonts w:hint="eastAsia" w:ascii="仿宋_GB2312" w:eastAsia="仿宋_GB2312" w:hAnsiTheme="minorEastAsia"/>
          <w:sz w:val="32"/>
          <w:szCs w:val="32"/>
        </w:rPr>
        <w:t>老校区现有语言实验室设备情况进行了摸底与利旧论证，单独制定了利旧实施方案，最大程度利用老校区现有教学平台和教学设备。预算测算依据较充分，预算编制较为严谨、规范，项目经过了北京市财政局组织的事前绩效评估。但绩效目标和指标设置的科学性还有提升的空间。</w:t>
      </w:r>
      <w:r>
        <w:rPr>
          <w:rFonts w:hint="eastAsia" w:ascii="仿宋_GB2312" w:eastAsia="仿宋_GB2312" w:hAnsiTheme="minorEastAsia"/>
          <w:b/>
          <w:sz w:val="32"/>
          <w:szCs w:val="32"/>
        </w:rPr>
        <w:t>该指标分值为15分，评价得分14.38分，得分率为95.87%。</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（二）项目过程情况</w:t>
      </w:r>
    </w:p>
    <w:p>
      <w:pPr>
        <w:adjustRightInd w:val="0"/>
        <w:snapToGrid w:val="0"/>
        <w:spacing w:line="360" w:lineRule="auto"/>
        <w:ind w:firstLine="560"/>
        <w:rPr>
          <w:rFonts w:ascii="仿宋_GB2312" w:eastAsia="仿宋_GB2312" w:hAnsiTheme="minorEastAsia"/>
          <w:sz w:val="32"/>
          <w:szCs w:val="32"/>
        </w:rPr>
      </w:pPr>
      <w:r>
        <w:rPr>
          <w:rFonts w:hint="eastAsia" w:ascii="仿宋_GB2312" w:hAnsi="宋体" w:eastAsia="仿宋_GB2312"/>
          <w:sz w:val="32"/>
          <w:szCs w:val="32"/>
        </w:rPr>
        <w:t>对整个项目实施的过程控制，包括预算资金的管理方面的控制较规范，资金到位率和预算执行率高，对项目的实施起了很好的保障作用。学校建立了较完善的内控制度，</w:t>
      </w:r>
      <w:r>
        <w:rPr>
          <w:rFonts w:hint="eastAsia" w:ascii="仿宋_GB2312" w:eastAsia="仿宋_GB2312" w:hAnsiTheme="minorEastAsia"/>
          <w:sz w:val="32"/>
          <w:szCs w:val="32"/>
        </w:rPr>
        <w:t>在项目的组织实施过程中，项目具体财务和业务活动和流程较规范，包括预算业务控制、政府采购业务控制、资产控制、项目过程控制、合同控制等接受学校各相关职能部门包括教务处、财务处、审计处、资产处、校区建设办和管理办的监管。</w:t>
      </w:r>
      <w:r>
        <w:rPr>
          <w:rFonts w:hint="eastAsia" w:ascii="仿宋_GB2312" w:hAnsi="宋体" w:eastAsia="仿宋_GB2312" w:cs="仿宋"/>
          <w:bCs/>
          <w:sz w:val="32"/>
          <w:szCs w:val="32"/>
        </w:rPr>
        <w:t>但</w:t>
      </w:r>
      <w:r>
        <w:rPr>
          <w:rFonts w:hint="eastAsia" w:ascii="仿宋_GB2312" w:hAnsi="Arial" w:eastAsia="仿宋_GB2312" w:cs="Arial"/>
          <w:kern w:val="0"/>
          <w:sz w:val="32"/>
          <w:szCs w:val="32"/>
        </w:rPr>
        <w:t>项目在管理的精细化程度方面有待进一步加强。</w:t>
      </w:r>
      <w:r>
        <w:rPr>
          <w:rFonts w:hint="eastAsia" w:ascii="仿宋_GB2312" w:hAnsi="宋体" w:eastAsia="仿宋_GB2312" w:cs="仿宋"/>
          <w:b/>
          <w:sz w:val="32"/>
          <w:szCs w:val="32"/>
        </w:rPr>
        <w:t>该指标分值25分，评价得分23.18分，得分率为92.68%。</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（三）项目产出情况</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2021年</w:t>
      </w:r>
      <w:r>
        <w:rPr>
          <w:rFonts w:hint="eastAsia" w:ascii="仿宋_GB2312" w:eastAsia="仿宋_GB2312" w:hAnsiTheme="minorEastAsia"/>
          <w:sz w:val="32"/>
          <w:szCs w:val="32"/>
          <w:lang w:eastAsia="zh-CN"/>
        </w:rPr>
        <w:t>阶段目标已经</w:t>
      </w:r>
      <w:r>
        <w:rPr>
          <w:rFonts w:hint="eastAsia" w:ascii="仿宋_GB2312" w:eastAsia="仿宋_GB2312" w:hAnsiTheme="minorEastAsia"/>
          <w:sz w:val="32"/>
          <w:szCs w:val="32"/>
        </w:rPr>
        <w:t>完成，共建成5间共180个座位的终端型语言实验室（无学生电脑），其中1间带智慧黑板，1间带直播录播，用于基础教学和自主学习；5间共200个座位的终端型+学生电脑型语言实验室，其中1间带直播录播；1间中控室，用于实现中央集中控制，分层管理、远程监控、智能交互等，做到最大程度的资源共享。</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2021年10月11日，按照学校搬迁要求，语言实验室建设工作小组完成小营校区教七楼206设备的搬迁</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搬迁后可利旧的设备充分利用到了新校区语言实验室建设中，具体利旧情况见表1。</w:t>
      </w:r>
    </w:p>
    <w:p>
      <w:pPr>
        <w:adjustRightInd w:val="0"/>
        <w:snapToGrid w:val="0"/>
        <w:spacing w:line="600" w:lineRule="exact"/>
        <w:ind w:firstLine="2650" w:firstLineChars="1100"/>
        <w:rPr>
          <w:rFonts w:asciiTheme="minorEastAsia" w:hAnsiTheme="minorEastAsia" w:eastAsiaTheme="minorEastAsia"/>
          <w:b/>
          <w:sz w:val="24"/>
        </w:rPr>
      </w:pPr>
      <w:r>
        <w:rPr>
          <w:rFonts w:hint="eastAsia" w:asciiTheme="minorEastAsia" w:hAnsiTheme="minorEastAsia" w:eastAsiaTheme="minorEastAsia"/>
          <w:b/>
          <w:sz w:val="24"/>
        </w:rPr>
        <w:t>表1  设备和软件实际利旧情况</w:t>
      </w:r>
    </w:p>
    <w:tbl>
      <w:tblPr>
        <w:tblStyle w:val="20"/>
        <w:tblW w:w="4657" w:type="pc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477"/>
        <w:gridCol w:w="20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序号</w:t>
            </w:r>
          </w:p>
        </w:tc>
        <w:tc>
          <w:tcPr>
            <w:tcW w:w="1978" w:type="pct"/>
            <w:vAlign w:val="center"/>
          </w:tcPr>
          <w:p>
            <w:pPr>
              <w:adjustRightInd w:val="0"/>
              <w:snapToGrid w:val="0"/>
              <w:spacing w:line="600" w:lineRule="exact"/>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利旧软件和设备</w:t>
            </w:r>
          </w:p>
        </w:tc>
        <w:tc>
          <w:tcPr>
            <w:tcW w:w="1167" w:type="pct"/>
            <w:vAlign w:val="center"/>
          </w:tcPr>
          <w:p>
            <w:pPr>
              <w:adjustRightInd w:val="0"/>
              <w:snapToGrid w:val="0"/>
              <w:spacing w:line="600" w:lineRule="exact"/>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利旧数量</w:t>
            </w:r>
          </w:p>
        </w:tc>
        <w:tc>
          <w:tcPr>
            <w:tcW w:w="1371" w:type="pct"/>
            <w:vAlign w:val="center"/>
          </w:tcPr>
          <w:p>
            <w:pPr>
              <w:adjustRightInd w:val="0"/>
              <w:snapToGrid w:val="0"/>
              <w:spacing w:line="600" w:lineRule="exact"/>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利旧教室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NewClass语言教学系统</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1套</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专用学生操作终端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0</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专用学生操作终端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0</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专用学生操作终端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asciiTheme="minorEastAsia" w:hAnsiTheme="minorEastAsia" w:eastAsiaTheme="minorEastAsia"/>
                <w:sz w:val="20"/>
                <w:szCs w:val="20"/>
              </w:rPr>
              <w:t>16</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5</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学生专用显示终端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0</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学生专用显示终端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0</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学生专用显示终端</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asciiTheme="minorEastAsia" w:hAnsiTheme="minorEastAsia" w:eastAsiaTheme="minorEastAsia"/>
                <w:sz w:val="20"/>
                <w:szCs w:val="20"/>
              </w:rPr>
              <w:t>16</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学生耳机</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4</w:t>
            </w:r>
            <w:r>
              <w:rPr>
                <w:rFonts w:asciiTheme="minorEastAsia" w:hAnsiTheme="minorEastAsia" w:eastAsiaTheme="minorEastAsia"/>
                <w:sz w:val="20"/>
                <w:szCs w:val="20"/>
              </w:rPr>
              <w:t>0</w:t>
            </w:r>
            <w:r>
              <w:rPr>
                <w:rFonts w:hint="eastAsia" w:asciiTheme="minorEastAsia" w:hAnsiTheme="minorEastAsia" w:eastAsiaTheme="minorEastAsia"/>
                <w:sz w:val="20"/>
                <w:szCs w:val="20"/>
              </w:rPr>
              <w:t>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交换机</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4"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r>
              <w:rPr>
                <w:rFonts w:asciiTheme="minorEastAsia" w:hAnsiTheme="minorEastAsia" w:eastAsiaTheme="minorEastAsia"/>
                <w:sz w:val="20"/>
                <w:szCs w:val="20"/>
              </w:rPr>
              <w:t>0</w:t>
            </w:r>
          </w:p>
        </w:tc>
        <w:tc>
          <w:tcPr>
            <w:tcW w:w="1978"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路由器</w:t>
            </w:r>
          </w:p>
        </w:tc>
        <w:tc>
          <w:tcPr>
            <w:tcW w:w="1167"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1台</w:t>
            </w:r>
          </w:p>
        </w:tc>
        <w:tc>
          <w:tcPr>
            <w:tcW w:w="1371" w:type="pct"/>
            <w:vAlign w:val="center"/>
          </w:tcPr>
          <w:p>
            <w:pPr>
              <w:adjustRightInd w:val="0"/>
              <w:snapToGrid w:val="0"/>
              <w:spacing w:line="60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WLC</w:t>
            </w:r>
            <w:r>
              <w:rPr>
                <w:rFonts w:asciiTheme="minorEastAsia" w:hAnsiTheme="minorEastAsia" w:eastAsiaTheme="minorEastAsia"/>
                <w:sz w:val="20"/>
                <w:szCs w:val="20"/>
              </w:rPr>
              <w:t>-303</w:t>
            </w:r>
          </w:p>
        </w:tc>
      </w:tr>
    </w:tbl>
    <w:p>
      <w:pPr>
        <w:adjustRightInd w:val="0"/>
        <w:snapToGrid w:val="0"/>
        <w:spacing w:line="600" w:lineRule="exact"/>
        <w:rPr>
          <w:rFonts w:asciiTheme="minorEastAsia" w:hAnsiTheme="minorEastAsia" w:eastAsiaTheme="minorEastAsia"/>
          <w:sz w:val="20"/>
          <w:szCs w:val="20"/>
        </w:rPr>
      </w:pP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此外，按照《北京信息科技大学货物验收管理办法》，“单价或批量100万元（含）以上，由招标代理机构组织监督验收”。2021年11月，北京新华招标有限公司组织了项目验收，经校内外共5名专家、财务处和资产处共2名监督人员对现场和资料两个阶段的严格验收，项目顺利通过验收，验收合格率为100%。但由于项目资金2021年6月才下达到位，比原定计划晚3个月，项目后续的招标采购、项目验收、投入使用（一期）均顺延3个月。</w:t>
      </w:r>
      <w:r>
        <w:rPr>
          <w:rFonts w:hint="eastAsia" w:ascii="仿宋_GB2312" w:hAnsi="宋体" w:eastAsia="仿宋_GB2312" w:cs="仿宋"/>
          <w:b/>
          <w:sz w:val="32"/>
          <w:szCs w:val="32"/>
        </w:rPr>
        <w:t>该指标分值40分，评价得分37.4分，得分率为93.5%。</w:t>
      </w:r>
    </w:p>
    <w:p>
      <w:pPr>
        <w:adjustRightInd w:val="0"/>
        <w:spacing w:line="360" w:lineRule="auto"/>
        <w:ind w:firstLine="561"/>
        <w:rPr>
          <w:rFonts w:ascii="仿宋_GB2312" w:eastAsia="仿宋_GB2312" w:hAnsiTheme="minorEastAsia"/>
          <w:sz w:val="32"/>
          <w:szCs w:val="32"/>
        </w:rPr>
      </w:pPr>
      <w:r>
        <w:rPr>
          <w:rFonts w:hint="eastAsia" w:ascii="仿宋_GB2312" w:eastAsia="仿宋_GB2312" w:hAnsiTheme="minorEastAsia"/>
          <w:sz w:val="32"/>
          <w:szCs w:val="32"/>
        </w:rPr>
        <w:t>（四）项目效益情况</w:t>
      </w:r>
    </w:p>
    <w:p>
      <w:pPr>
        <w:adjustRightInd w:val="0"/>
        <w:snapToGrid w:val="0"/>
        <w:spacing w:line="360" w:lineRule="auto"/>
        <w:ind w:firstLine="560"/>
        <w:rPr>
          <w:rFonts w:ascii="仿宋_GB2312" w:eastAsia="仿宋_GB2312" w:hAnsiTheme="minorEastAsia"/>
          <w:sz w:val="32"/>
          <w:szCs w:val="32"/>
        </w:rPr>
      </w:pPr>
      <w:r>
        <w:rPr>
          <w:rFonts w:hint="eastAsia" w:ascii="仿宋_GB2312" w:eastAsia="仿宋_GB2312" w:hAnsiTheme="minorEastAsia"/>
          <w:sz w:val="32"/>
          <w:szCs w:val="32"/>
        </w:rPr>
        <w:t>2021年12月，语言实验室正式投入教学。在2021-22第二学期的教学周和集中考试周，系统正常运行率到达100%，系统故障率为0%。同时，在施工单位驻场人员的技术支持保障下，故障响应率和故障排除率为100%。语言实验室投入使用后，有效地支持了全校21级学生秋季学期最后三周的语言教学和实践教学。在使用率方面，语言实验室平均使用率达到97%。但项目单位提供的资料未能完全支撑项目实施的绩效情况。</w:t>
      </w:r>
      <w:r>
        <w:rPr>
          <w:rFonts w:hint="eastAsia" w:ascii="仿宋_GB2312" w:hAnsi="宋体" w:eastAsia="仿宋_GB2312" w:cs="仿宋"/>
          <w:b/>
          <w:sz w:val="32"/>
          <w:szCs w:val="32"/>
        </w:rPr>
        <w:t>该指标分值20分，评价得分17.88分，得分率为89.4%。</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五、存在的主要问题</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（一）绩效目标和指标设置的科学性有待进一步提升</w:t>
      </w:r>
    </w:p>
    <w:p>
      <w:pPr>
        <w:spacing w:line="360" w:lineRule="auto"/>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绩效目标没有进行提炼，仅仅是对2021年实验室建设工作任务的简单描述。绩效指标及指标值的设置不够合理，如数量指标按照实验室建设的间数和座位数设置不够准确和细化；质量指标中的“系统正常那运行率”、“故障响应率”、“故障排除率”、“系统验收合格率”的指标值均设定为“</w:t>
      </w:r>
      <w:r>
        <w:rPr>
          <w:rFonts w:hint="eastAsia" w:ascii="仿宋_GB2312" w:eastAsia="仿宋_GB2312" w:cs="宋体" w:hAnsiTheme="minorEastAsia"/>
          <w:sz w:val="32"/>
          <w:szCs w:val="32"/>
        </w:rPr>
        <w:t>≥</w:t>
      </w:r>
      <w:r>
        <w:rPr>
          <w:rFonts w:hint="eastAsia" w:ascii="仿宋_GB2312" w:hAnsi="宋体" w:eastAsia="仿宋_GB2312" w:cs="宋体"/>
          <w:sz w:val="32"/>
          <w:szCs w:val="32"/>
        </w:rPr>
        <w:t>100%”不够准确；社会效益指标之一“投入教学使用后，提升教学质量，使全院师生受益，社会效益明显”的指标值为“得以实现”不够严谨。</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（二）项目实施的过程管理存在一定的薄弱环节</w:t>
      </w:r>
    </w:p>
    <w:p>
      <w:pPr>
        <w:spacing w:line="360" w:lineRule="auto"/>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项目管理资料的严谨性不足，如，项目管理资料/2-5-4招标编号XHTC-HW合同文本第349页、第404页合同编号LHDX2021705-2无签订日期；对隐蔽工程1包、2包的验收，工程测试1包、2包的验收等，均缺少验收时间；验收文档第一包未见项目初验报告，试运行报告，终验报告；验收是否有学校基建处的人参与，如何体现对隐蔽工程等专业性内容的有效验收，相关资料呈现不足。</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（三）项目绩效成果展现不够充分和完整</w:t>
      </w:r>
    </w:p>
    <w:p>
      <w:pPr>
        <w:spacing w:line="360" w:lineRule="auto"/>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项目的绩效资料搜集整理与总结不够充分，</w:t>
      </w:r>
      <w:r>
        <w:rPr>
          <w:rFonts w:hint="eastAsia" w:ascii="仿宋_GB2312" w:hAnsi="宋体" w:eastAsia="仿宋_GB2312"/>
          <w:sz w:val="32"/>
          <w:szCs w:val="32"/>
        </w:rPr>
        <w:t>支撑项目实施绩效的有效资料不足。</w:t>
      </w:r>
      <w:r>
        <w:rPr>
          <w:rFonts w:hint="eastAsia" w:ascii="仿宋_GB2312" w:hAnsi="宋体" w:eastAsia="仿宋_GB2312" w:cs="宋体"/>
          <w:sz w:val="32"/>
          <w:szCs w:val="32"/>
        </w:rPr>
        <w:t>如项目在2021年12月投入使用，在2021年完成了多少课时的使用，缺少支撑信息；没有语音实验室设备的使用记录，实验室的使用率无法得到有力支撑。</w:t>
      </w:r>
    </w:p>
    <w:p>
      <w:pPr>
        <w:spacing w:line="360" w:lineRule="auto"/>
        <w:ind w:firstLine="570"/>
        <w:rPr>
          <w:rFonts w:ascii="仿宋_GB2312" w:hAnsi="宋体" w:eastAsia="仿宋_GB2312"/>
          <w:sz w:val="32"/>
          <w:szCs w:val="32"/>
        </w:rPr>
      </w:pPr>
      <w:r>
        <w:rPr>
          <w:rFonts w:hint="eastAsia" w:ascii="仿宋_GB2312" w:hAnsi="宋体" w:eastAsia="仿宋_GB2312" w:cs="宋体"/>
          <w:sz w:val="32"/>
          <w:szCs w:val="32"/>
        </w:rPr>
        <w:t>服务对象满意度的支撑信息不足。如，绩效报告提到“从项目投入使用以来，项目建设者为教师和学生做的精心设计，获得了校领导和老师们的高度赞赏和一致认同，服务对象满意度指标为100%”，但未见满意度调查的相关资料。</w:t>
      </w:r>
    </w:p>
    <w:p>
      <w:pPr>
        <w:spacing w:line="360" w:lineRule="auto"/>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六、相关建议</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（一）强化绩效管理意识，进一步提高项目预算申报工作质量</w:t>
      </w:r>
    </w:p>
    <w:p>
      <w:pPr>
        <w:spacing w:line="360" w:lineRule="auto"/>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进一步提高预算编制的精准度，</w:t>
      </w:r>
      <w:r>
        <w:rPr>
          <w:rFonts w:hint="eastAsia" w:ascii="仿宋_GB2312" w:hAnsi="宋体" w:eastAsia="仿宋_GB2312" w:cs="宋体"/>
          <w:sz w:val="32"/>
          <w:szCs w:val="32"/>
        </w:rPr>
        <w:t>使之与实验室建设的实际需求一致。同时，</w:t>
      </w:r>
      <w:r>
        <w:rPr>
          <w:rFonts w:hint="eastAsia" w:ascii="仿宋_GB2312" w:eastAsia="仿宋_GB2312" w:hAnsiTheme="minorEastAsia"/>
          <w:sz w:val="32"/>
          <w:szCs w:val="32"/>
        </w:rPr>
        <w:t>根据项目的特点，进一步提高绩效目标和指标设置的规范性和科学性，增强绩效指标的可考核性。</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（二）加强项目过程管理，进一步提高项目绩效管理水平</w:t>
      </w:r>
    </w:p>
    <w:p>
      <w:pPr>
        <w:adjustRightInd w:val="0"/>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进一步细化设备购置类项目的管理规程，</w:t>
      </w:r>
      <w:r>
        <w:rPr>
          <w:rFonts w:hint="eastAsia" w:ascii="仿宋_GB2312" w:eastAsia="仿宋_GB2312" w:hAnsiTheme="minorEastAsia"/>
          <w:sz w:val="32"/>
          <w:szCs w:val="32"/>
        </w:rPr>
        <w:t>强化项目实施过程各环节管理的规范化和精细化，注重项目实施过程各项管理资料的归集和整理，提高项目管理的精细化水平。</w:t>
      </w:r>
    </w:p>
    <w:p>
      <w:pPr>
        <w:adjustRightInd w:val="0"/>
        <w:spacing w:line="360" w:lineRule="auto"/>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客观全面展示项目实施过程中对于过程的控制监督与管理的相关资料，明确管理责任，细化监控措施。</w:t>
      </w:r>
    </w:p>
    <w:p>
      <w:pPr>
        <w:spacing w:line="360" w:lineRule="auto"/>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（三）重视绩效成果的呈现，提高财政资金的使用效率</w:t>
      </w:r>
    </w:p>
    <w:p>
      <w:pPr>
        <w:spacing w:line="360" w:lineRule="auto"/>
        <w:ind w:firstLine="640" w:firstLineChars="200"/>
        <w:rPr>
          <w:rFonts w:ascii="仿宋_GB2312" w:eastAsia="仿宋_GB2312" w:hAnsiTheme="minorEastAsia"/>
          <w:bCs/>
          <w:sz w:val="32"/>
          <w:szCs w:val="32"/>
        </w:rPr>
      </w:pPr>
      <w:r>
        <w:rPr>
          <w:rFonts w:hint="eastAsia" w:ascii="仿宋_GB2312" w:eastAsia="仿宋_GB2312" w:hAnsiTheme="minorEastAsia"/>
          <w:sz w:val="32"/>
          <w:szCs w:val="32"/>
        </w:rPr>
        <w:t>根据绩效管理工作要求，做好绩效资料的归集、整理和分析工作，</w:t>
      </w:r>
      <w:r>
        <w:rPr>
          <w:rFonts w:hint="eastAsia" w:ascii="仿宋_GB2312" w:eastAsia="仿宋_GB2312" w:hAnsiTheme="minorEastAsia"/>
          <w:bCs/>
          <w:sz w:val="32"/>
          <w:szCs w:val="32"/>
        </w:rPr>
        <w:t>全面总结项目成果，</w:t>
      </w:r>
      <w:r>
        <w:rPr>
          <w:rFonts w:hint="eastAsia" w:ascii="仿宋_GB2312" w:eastAsia="仿宋_GB2312" w:cs="宋体" w:hAnsiTheme="minorEastAsia"/>
          <w:sz w:val="32"/>
          <w:szCs w:val="32"/>
        </w:rPr>
        <w:t>深化项目的效益分析，</w:t>
      </w:r>
      <w:r>
        <w:rPr>
          <w:rFonts w:hint="eastAsia" w:ascii="仿宋_GB2312" w:eastAsia="仿宋_GB2312" w:hAnsiTheme="minorEastAsia"/>
          <w:bCs/>
          <w:sz w:val="32"/>
          <w:szCs w:val="32"/>
        </w:rPr>
        <w:t>完整呈现项目实施的绩效和财政资金使用的效率。</w:t>
      </w:r>
    </w:p>
    <w:p>
      <w:pPr>
        <w:spacing w:line="360" w:lineRule="auto"/>
        <w:rPr>
          <w:rFonts w:ascii="黑体" w:hAnsi="黑体" w:eastAsia="黑体"/>
          <w:b/>
          <w:sz w:val="32"/>
          <w:szCs w:val="32"/>
        </w:rPr>
      </w:pPr>
      <w:r>
        <w:rPr>
          <w:rFonts w:hint="eastAsia" w:ascii="仿宋_GB2312" w:eastAsia="仿宋_GB2312"/>
          <w:b/>
          <w:sz w:val="32"/>
          <w:szCs w:val="32"/>
        </w:rPr>
        <w:t xml:space="preserve">    </w:t>
      </w:r>
      <w:r>
        <w:rPr>
          <w:rFonts w:hint="eastAsia" w:ascii="黑体" w:hAnsi="黑体" w:eastAsia="黑体"/>
          <w:b/>
          <w:sz w:val="32"/>
          <w:szCs w:val="32"/>
        </w:rPr>
        <w:t>七、其他需要说明的问题</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本次评价以项目单位提供的评价材料为基础。</w:t>
      </w:r>
    </w:p>
    <w:p>
      <w:pPr>
        <w:spacing w:line="360" w:lineRule="auto"/>
        <w:ind w:firstLine="640" w:firstLineChars="200"/>
        <w:rPr>
          <w:rFonts w:ascii="仿宋_GB2312" w:hAnsi="宋体" w:eastAsia="仿宋_GB2312"/>
          <w:sz w:val="32"/>
          <w:szCs w:val="32"/>
        </w:rPr>
      </w:pPr>
    </w:p>
    <w:p>
      <w:pPr>
        <w:spacing w:line="360" w:lineRule="auto"/>
        <w:ind w:firstLine="640" w:firstLineChars="200"/>
        <w:outlineLvl w:val="0"/>
        <w:rPr>
          <w:rFonts w:ascii="仿宋_GB2312" w:hAnsi="宋体" w:eastAsia="仿宋_GB2312"/>
          <w:bCs/>
          <w:color w:val="000000"/>
          <w:kern w:val="0"/>
          <w:sz w:val="32"/>
          <w:szCs w:val="32"/>
        </w:rPr>
      </w:pPr>
      <w:r>
        <w:rPr>
          <w:rFonts w:hint="eastAsia" w:ascii="仿宋_GB2312" w:eastAsia="仿宋_GB2312" w:hAnsiTheme="minorEastAsia"/>
          <w:bCs/>
          <w:sz w:val="32"/>
          <w:szCs w:val="32"/>
        </w:rPr>
        <w:t>附件1：</w:t>
      </w:r>
      <w:r>
        <w:rPr>
          <w:rFonts w:hint="eastAsia" w:ascii="仿宋_GB2312" w:hAnsi="Arial" w:eastAsia="仿宋_GB2312" w:cs="Arial"/>
          <w:kern w:val="0"/>
          <w:sz w:val="32"/>
          <w:szCs w:val="32"/>
        </w:rPr>
        <w:t>“</w:t>
      </w:r>
      <w:r>
        <w:rPr>
          <w:rFonts w:hint="eastAsia" w:ascii="仿宋_GB2312" w:eastAsia="仿宋_GB2312"/>
          <w:sz w:val="32"/>
          <w:szCs w:val="32"/>
        </w:rPr>
        <w:t>改善办学保障条件-北京信息科技大学新校区语言实验室建设项目（新竣工楼配套）</w:t>
      </w:r>
      <w:r>
        <w:rPr>
          <w:rFonts w:hint="eastAsia" w:ascii="仿宋_GB2312" w:hAnsi="Arial" w:eastAsia="仿宋_GB2312" w:cs="Arial"/>
          <w:kern w:val="0"/>
          <w:sz w:val="32"/>
          <w:szCs w:val="32"/>
        </w:rPr>
        <w:t>”</w:t>
      </w:r>
      <w:r>
        <w:rPr>
          <w:rFonts w:hint="eastAsia" w:ascii="仿宋_GB2312" w:hAnsi="宋体" w:eastAsia="仿宋_GB2312"/>
          <w:bCs/>
          <w:kern w:val="0"/>
          <w:sz w:val="32"/>
          <w:szCs w:val="32"/>
        </w:rPr>
        <w:t>绩效目标申报</w:t>
      </w:r>
      <w:r>
        <w:rPr>
          <w:rFonts w:hint="eastAsia" w:ascii="仿宋_GB2312" w:hAnsi="宋体" w:eastAsia="仿宋_GB2312"/>
          <w:bCs/>
          <w:color w:val="000000"/>
          <w:kern w:val="0"/>
          <w:sz w:val="32"/>
          <w:szCs w:val="32"/>
        </w:rPr>
        <w:t>表</w:t>
      </w:r>
    </w:p>
    <w:p>
      <w:pPr>
        <w:pStyle w:val="29"/>
        <w:spacing w:line="360" w:lineRule="auto"/>
        <w:ind w:firstLine="640" w:firstLineChars="200"/>
        <w:jc w:val="left"/>
        <w:rPr>
          <w:rFonts w:ascii="仿宋_GB2312" w:hAnsiTheme="minorEastAsia"/>
          <w:sz w:val="32"/>
          <w:szCs w:val="32"/>
          <w:lang w:eastAsia="zh-CN"/>
        </w:rPr>
      </w:pPr>
      <w:r>
        <w:rPr>
          <w:rFonts w:hint="eastAsia" w:ascii="仿宋_GB2312" w:hAnsiTheme="minorEastAsia"/>
          <w:sz w:val="32"/>
          <w:szCs w:val="32"/>
          <w:lang w:eastAsia="zh-CN"/>
        </w:rPr>
        <w:t>附件2：</w:t>
      </w:r>
      <w:r>
        <w:rPr>
          <w:rFonts w:hint="eastAsia" w:ascii="仿宋_GB2312" w:hAnsi="Arial" w:cs="Arial"/>
          <w:kern w:val="0"/>
          <w:sz w:val="32"/>
          <w:szCs w:val="32"/>
          <w:lang w:eastAsia="zh-CN"/>
        </w:rPr>
        <w:t>“</w:t>
      </w:r>
      <w:r>
        <w:rPr>
          <w:rFonts w:hint="eastAsia" w:ascii="仿宋_GB2312"/>
          <w:sz w:val="32"/>
          <w:szCs w:val="32"/>
          <w:lang w:eastAsia="zh-CN"/>
        </w:rPr>
        <w:t>改善办学保障条件-北京信息科技大学新校区语言实验室建设项目（新竣工楼配套）</w:t>
      </w:r>
      <w:r>
        <w:rPr>
          <w:rFonts w:hint="eastAsia" w:ascii="仿宋_GB2312" w:hAnsi="Arial" w:cs="Arial"/>
          <w:kern w:val="0"/>
          <w:sz w:val="32"/>
          <w:szCs w:val="32"/>
          <w:lang w:eastAsia="zh-CN"/>
        </w:rPr>
        <w:t>”</w:t>
      </w:r>
      <w:r>
        <w:rPr>
          <w:rFonts w:hint="eastAsia" w:ascii="仿宋_GB2312" w:hAnsiTheme="minorEastAsia"/>
          <w:sz w:val="32"/>
          <w:szCs w:val="32"/>
          <w:lang w:eastAsia="zh-CN"/>
        </w:rPr>
        <w:t>绩效评价指标体系及打分情况表</w:t>
      </w:r>
    </w:p>
    <w:p>
      <w:pPr>
        <w:spacing w:line="360" w:lineRule="auto"/>
        <w:rPr>
          <w:rFonts w:ascii="仿宋_GB2312" w:hAnsi="等线" w:eastAsia="仿宋_GB2312"/>
          <w:bCs/>
          <w:sz w:val="32"/>
          <w:szCs w:val="32"/>
        </w:rPr>
      </w:pPr>
      <w:r>
        <w:rPr>
          <w:rFonts w:ascii="仿宋_GB2312" w:hAnsi="等线" w:eastAsia="仿宋_GB2312"/>
          <w:bCs/>
          <w:sz w:val="32"/>
          <w:szCs w:val="32"/>
        </w:rPr>
        <w:br w:type="page"/>
      </w:r>
    </w:p>
    <w:p>
      <w:pPr>
        <w:spacing w:line="360" w:lineRule="auto"/>
        <w:rPr>
          <w:rFonts w:ascii="黑体" w:hAnsi="黑体" w:eastAsia="黑体"/>
          <w:sz w:val="32"/>
          <w:szCs w:val="32"/>
        </w:rPr>
      </w:pPr>
      <w:r>
        <w:rPr>
          <w:rFonts w:hint="eastAsia" w:ascii="黑体" w:hAnsi="黑体" w:eastAsia="黑体"/>
          <w:sz w:val="32"/>
          <w:szCs w:val="32"/>
        </w:rPr>
        <w:t>附件1：</w:t>
      </w:r>
    </w:p>
    <w:tbl>
      <w:tblPr>
        <w:tblStyle w:val="19"/>
        <w:tblW w:w="5000" w:type="pct"/>
        <w:tblInd w:w="0" w:type="dxa"/>
        <w:tblLayout w:type="autofit"/>
        <w:tblCellMar>
          <w:top w:w="0" w:type="dxa"/>
          <w:left w:w="108" w:type="dxa"/>
          <w:bottom w:w="0" w:type="dxa"/>
          <w:right w:w="108" w:type="dxa"/>
        </w:tblCellMar>
      </w:tblPr>
      <w:tblGrid>
        <w:gridCol w:w="466"/>
        <w:gridCol w:w="466"/>
        <w:gridCol w:w="932"/>
        <w:gridCol w:w="3295"/>
        <w:gridCol w:w="1079"/>
        <w:gridCol w:w="796"/>
        <w:gridCol w:w="2402"/>
      </w:tblGrid>
      <w:tr>
        <w:tblPrEx>
          <w:tblCellMar>
            <w:top w:w="0" w:type="dxa"/>
            <w:left w:w="108" w:type="dxa"/>
            <w:bottom w:w="0" w:type="dxa"/>
            <w:right w:w="108" w:type="dxa"/>
          </w:tblCellMar>
        </w:tblPrEx>
        <w:trPr>
          <w:trHeight w:val="675" w:hRule="atLeast"/>
        </w:trPr>
        <w:tc>
          <w:tcPr>
            <w:tcW w:w="5000" w:type="pct"/>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项目支出绩效目标申报表（事业发展专项计划类）</w:t>
            </w:r>
          </w:p>
        </w:tc>
      </w:tr>
      <w:tr>
        <w:tblPrEx>
          <w:tblCellMar>
            <w:top w:w="0" w:type="dxa"/>
            <w:left w:w="108" w:type="dxa"/>
            <w:bottom w:w="0" w:type="dxa"/>
            <w:right w:w="108" w:type="dxa"/>
          </w:tblCellMar>
        </w:tblPrEx>
        <w:trPr>
          <w:trHeight w:val="285" w:hRule="atLeast"/>
        </w:trPr>
        <w:tc>
          <w:tcPr>
            <w:tcW w:w="5000" w:type="pct"/>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641"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项目名称</w:t>
            </w:r>
          </w:p>
        </w:tc>
        <w:tc>
          <w:tcPr>
            <w:tcW w:w="174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改善办学保障条件-北京信息科技大学新校区语言实验室建设 项目（新竣工楼配套）</w:t>
            </w:r>
          </w:p>
        </w:tc>
        <w:tc>
          <w:tcPr>
            <w:tcW w:w="9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项目类型</w:t>
            </w:r>
          </w:p>
        </w:tc>
        <w:tc>
          <w:tcPr>
            <w:tcW w:w="127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事业发展专项计划</w:t>
            </w:r>
          </w:p>
        </w:tc>
      </w:tr>
      <w:tr>
        <w:tblPrEx>
          <w:tblCellMar>
            <w:top w:w="0" w:type="dxa"/>
            <w:left w:w="108" w:type="dxa"/>
            <w:bottom w:w="0" w:type="dxa"/>
            <w:right w:w="108" w:type="dxa"/>
          </w:tblCellMar>
        </w:tblPrEx>
        <w:trPr>
          <w:trHeight w:val="44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一级主管部门名称</w:t>
            </w:r>
          </w:p>
        </w:tc>
        <w:tc>
          <w:tcPr>
            <w:tcW w:w="174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北京市教育委员会</w:t>
            </w:r>
          </w:p>
        </w:tc>
        <w:tc>
          <w:tcPr>
            <w:tcW w:w="9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项目申报单位名称</w:t>
            </w:r>
          </w:p>
        </w:tc>
        <w:tc>
          <w:tcPr>
            <w:tcW w:w="127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北京信息科技大学</w:t>
            </w:r>
          </w:p>
        </w:tc>
      </w:tr>
      <w:tr>
        <w:tblPrEx>
          <w:tblCellMar>
            <w:top w:w="0" w:type="dxa"/>
            <w:left w:w="108" w:type="dxa"/>
            <w:bottom w:w="0" w:type="dxa"/>
            <w:right w:w="108" w:type="dxa"/>
          </w:tblCellMar>
        </w:tblPrEx>
        <w:trPr>
          <w:trHeight w:val="44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项目属性</w:t>
            </w:r>
          </w:p>
        </w:tc>
        <w:tc>
          <w:tcPr>
            <w:tcW w:w="174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新增项目</w:t>
            </w:r>
          </w:p>
        </w:tc>
        <w:tc>
          <w:tcPr>
            <w:tcW w:w="9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项目期</w:t>
            </w:r>
          </w:p>
        </w:tc>
        <w:tc>
          <w:tcPr>
            <w:tcW w:w="127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1年</w:t>
            </w:r>
          </w:p>
        </w:tc>
      </w:tr>
      <w:tr>
        <w:tblPrEx>
          <w:tblCellMar>
            <w:top w:w="0" w:type="dxa"/>
            <w:left w:w="108" w:type="dxa"/>
            <w:bottom w:w="0" w:type="dxa"/>
            <w:right w:w="108" w:type="dxa"/>
          </w:tblCellMar>
        </w:tblPrEx>
        <w:trPr>
          <w:trHeight w:val="44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项目实施责任人</w:t>
            </w:r>
          </w:p>
        </w:tc>
        <w:tc>
          <w:tcPr>
            <w:tcW w:w="1746"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王朝晖</w:t>
            </w:r>
          </w:p>
        </w:tc>
        <w:tc>
          <w:tcPr>
            <w:tcW w:w="9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项目实施责任人联系电话</w:t>
            </w:r>
          </w:p>
        </w:tc>
        <w:tc>
          <w:tcPr>
            <w:tcW w:w="127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82427113</w:t>
            </w:r>
          </w:p>
        </w:tc>
      </w:tr>
      <w:tr>
        <w:tblPrEx>
          <w:tblCellMar>
            <w:top w:w="0" w:type="dxa"/>
            <w:left w:w="108" w:type="dxa"/>
            <w:bottom w:w="0" w:type="dxa"/>
            <w:right w:w="108" w:type="dxa"/>
          </w:tblCellMar>
        </w:tblPrEx>
        <w:trPr>
          <w:trHeight w:val="75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 xml:space="preserve"> 年度资金总额（万元，6位小数）</w:t>
            </w:r>
          </w:p>
        </w:tc>
        <w:tc>
          <w:tcPr>
            <w:tcW w:w="4012"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4"/>
              </w:rPr>
            </w:pPr>
            <w:r>
              <w:rPr>
                <w:rFonts w:hint="eastAsia" w:ascii="宋体" w:hAnsi="宋体" w:cs="宋体"/>
                <w:kern w:val="0"/>
                <w:sz w:val="24"/>
              </w:rPr>
              <w:t>577.907600</w:t>
            </w:r>
          </w:p>
        </w:tc>
      </w:tr>
      <w:tr>
        <w:tblPrEx>
          <w:tblCellMar>
            <w:top w:w="0" w:type="dxa"/>
            <w:left w:w="108" w:type="dxa"/>
            <w:bottom w:w="0" w:type="dxa"/>
            <w:right w:w="108" w:type="dxa"/>
          </w:tblCellMar>
        </w:tblPrEx>
        <w:trPr>
          <w:trHeight w:val="72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 xml:space="preserve">   其中：财政拨款（万元，6位小数）</w:t>
            </w:r>
          </w:p>
        </w:tc>
        <w:tc>
          <w:tcPr>
            <w:tcW w:w="4012"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4"/>
              </w:rPr>
            </w:pPr>
            <w:r>
              <w:rPr>
                <w:rFonts w:hint="eastAsia" w:ascii="宋体" w:hAnsi="宋体" w:cs="宋体"/>
                <w:kern w:val="0"/>
                <w:sz w:val="24"/>
              </w:rPr>
              <w:t>577.907600</w:t>
            </w:r>
          </w:p>
        </w:tc>
      </w:tr>
      <w:tr>
        <w:tblPrEx>
          <w:tblCellMar>
            <w:top w:w="0" w:type="dxa"/>
            <w:left w:w="108" w:type="dxa"/>
            <w:bottom w:w="0" w:type="dxa"/>
            <w:right w:w="108" w:type="dxa"/>
          </w:tblCellMar>
        </w:tblPrEx>
        <w:trPr>
          <w:trHeight w:val="720" w:hRule="atLeast"/>
        </w:trPr>
        <w:tc>
          <w:tcPr>
            <w:tcW w:w="988"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 xml:space="preserve">        其他资金（万元，6位小数）</w:t>
            </w:r>
          </w:p>
        </w:tc>
        <w:tc>
          <w:tcPr>
            <w:tcW w:w="4012"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4"/>
              </w:rPr>
            </w:pPr>
            <w:r>
              <w:rPr>
                <w:rFonts w:hint="eastAsia" w:ascii="宋体" w:hAnsi="宋体" w:cs="宋体"/>
                <w:kern w:val="0"/>
                <w:sz w:val="24"/>
              </w:rPr>
              <w:t>0.000000</w:t>
            </w:r>
          </w:p>
        </w:tc>
      </w:tr>
      <w:tr>
        <w:tblPrEx>
          <w:tblCellMar>
            <w:top w:w="0" w:type="dxa"/>
            <w:left w:w="108" w:type="dxa"/>
            <w:bottom w:w="0" w:type="dxa"/>
            <w:right w:w="108" w:type="dxa"/>
          </w:tblCellMar>
        </w:tblPrEx>
        <w:trPr>
          <w:trHeight w:val="2240" w:hRule="atLeast"/>
        </w:trPr>
        <w:tc>
          <w:tcPr>
            <w:tcW w:w="247"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总</w:t>
            </w:r>
            <w:r>
              <w:rPr>
                <w:rFonts w:ascii="Arial" w:hAnsi="Arial" w:cs="Arial"/>
                <w:color w:val="000000"/>
                <w:kern w:val="0"/>
                <w:sz w:val="24"/>
              </w:rPr>
              <w:br w:type="textWrapping"/>
            </w:r>
            <w:r>
              <w:rPr>
                <w:rFonts w:ascii="Arial" w:hAnsi="Arial" w:cs="Arial"/>
                <w:color w:val="000000"/>
                <w:kern w:val="0"/>
                <w:sz w:val="24"/>
              </w:rPr>
              <w:t>体</w:t>
            </w:r>
            <w:r>
              <w:rPr>
                <w:rFonts w:ascii="Arial" w:hAnsi="Arial" w:cs="Arial"/>
                <w:color w:val="000000"/>
                <w:kern w:val="0"/>
                <w:sz w:val="24"/>
              </w:rPr>
              <w:br w:type="textWrapping"/>
            </w:r>
            <w:r>
              <w:rPr>
                <w:rFonts w:ascii="Arial" w:hAnsi="Arial" w:cs="Arial"/>
                <w:color w:val="000000"/>
                <w:kern w:val="0"/>
                <w:sz w:val="24"/>
              </w:rPr>
              <w:t>目</w:t>
            </w:r>
            <w:r>
              <w:rPr>
                <w:rFonts w:ascii="Arial" w:hAnsi="Arial" w:cs="Arial"/>
                <w:color w:val="000000"/>
                <w:kern w:val="0"/>
                <w:sz w:val="24"/>
              </w:rPr>
              <w:br w:type="textWrapping"/>
            </w:r>
            <w:r>
              <w:rPr>
                <w:rFonts w:ascii="Arial" w:hAnsi="Arial" w:cs="Arial"/>
                <w:color w:val="000000"/>
                <w:kern w:val="0"/>
                <w:sz w:val="24"/>
              </w:rPr>
              <w:t>标</w:t>
            </w:r>
          </w:p>
        </w:tc>
        <w:tc>
          <w:tcPr>
            <w:tcW w:w="4753" w:type="pct"/>
            <w:gridSpan w:val="6"/>
            <w:tcBorders>
              <w:top w:val="nil"/>
              <w:left w:val="nil"/>
              <w:bottom w:val="single" w:color="000000" w:sz="4" w:space="0"/>
              <w:right w:val="single" w:color="000000"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2021年计划建设完成：</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（1）5间共180个座位终端型语言实验室（无学生电脑，其中1间带智慧黑板，1间带直播录播），用于基础教学和自主学习；</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（2）5间共200个座位终端型+学生电脑型语言实验室（该5间语言实验室除承担日常外语教学及自主学习外，还承担国家四、六级口语考试、专业四、八级考试等），其中1间带直播录播；</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（3）1间中控室（用于实现中央集中控制，分层管理、远程监控、智能交互、时序到每间实验室，做到最大程度的资源共享）。</w:t>
            </w:r>
          </w:p>
        </w:tc>
      </w:tr>
      <w:tr>
        <w:tblPrEx>
          <w:tblCellMar>
            <w:top w:w="0" w:type="dxa"/>
            <w:left w:w="108" w:type="dxa"/>
            <w:bottom w:w="0" w:type="dxa"/>
            <w:right w:w="108" w:type="dxa"/>
          </w:tblCellMar>
        </w:tblPrEx>
        <w:trPr>
          <w:trHeight w:val="570" w:hRule="atLeast"/>
        </w:trPr>
        <w:tc>
          <w:tcPr>
            <w:tcW w:w="2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绩</w:t>
            </w:r>
            <w:r>
              <w:rPr>
                <w:rFonts w:ascii="Arial" w:hAnsi="Arial" w:cs="Arial"/>
                <w:color w:val="000000"/>
                <w:kern w:val="0"/>
                <w:sz w:val="24"/>
              </w:rPr>
              <w:br w:type="textWrapping"/>
            </w:r>
            <w:r>
              <w:rPr>
                <w:rFonts w:ascii="Arial" w:hAnsi="Arial" w:cs="Arial"/>
                <w:color w:val="000000"/>
                <w:kern w:val="0"/>
                <w:sz w:val="24"/>
              </w:rPr>
              <w:t>效</w:t>
            </w:r>
            <w:r>
              <w:rPr>
                <w:rFonts w:ascii="Arial" w:hAnsi="Arial" w:cs="Arial"/>
                <w:color w:val="000000"/>
                <w:kern w:val="0"/>
                <w:sz w:val="24"/>
              </w:rPr>
              <w:br w:type="textWrapping"/>
            </w:r>
            <w:r>
              <w:rPr>
                <w:rFonts w:ascii="Arial" w:hAnsi="Arial" w:cs="Arial"/>
                <w:color w:val="000000"/>
                <w:kern w:val="0"/>
                <w:sz w:val="24"/>
              </w:rPr>
              <w:t>指</w:t>
            </w:r>
            <w:r>
              <w:rPr>
                <w:rFonts w:ascii="Arial" w:hAnsi="Arial" w:cs="Arial"/>
                <w:color w:val="000000"/>
                <w:kern w:val="0"/>
                <w:sz w:val="24"/>
              </w:rPr>
              <w:br w:type="textWrapping"/>
            </w:r>
            <w:r>
              <w:rPr>
                <w:rFonts w:ascii="Arial" w:hAnsi="Arial" w:cs="Arial"/>
                <w:color w:val="000000"/>
                <w:kern w:val="0"/>
                <w:sz w:val="24"/>
              </w:rPr>
              <w:t>标</w:t>
            </w:r>
          </w:p>
        </w:tc>
        <w:tc>
          <w:tcPr>
            <w:tcW w:w="247"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一级指标</w:t>
            </w:r>
          </w:p>
        </w:tc>
        <w:tc>
          <w:tcPr>
            <w:tcW w:w="493"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二级指标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三级指标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指标值</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产</w:t>
            </w:r>
            <w:r>
              <w:rPr>
                <w:rFonts w:ascii="Arial" w:hAnsi="Arial" w:cs="Arial"/>
                <w:color w:val="000000"/>
                <w:kern w:val="0"/>
                <w:sz w:val="24"/>
              </w:rPr>
              <w:br w:type="textWrapping"/>
            </w:r>
            <w:r>
              <w:rPr>
                <w:rFonts w:ascii="Arial" w:hAnsi="Arial" w:cs="Arial"/>
                <w:color w:val="000000"/>
                <w:kern w:val="0"/>
                <w:sz w:val="24"/>
              </w:rPr>
              <w:t>出</w:t>
            </w:r>
            <w:r>
              <w:rPr>
                <w:rFonts w:ascii="Arial" w:hAnsi="Arial" w:cs="Arial"/>
                <w:color w:val="000000"/>
                <w:kern w:val="0"/>
                <w:sz w:val="24"/>
              </w:rPr>
              <w:br w:type="textWrapping"/>
            </w:r>
            <w:r>
              <w:rPr>
                <w:rFonts w:ascii="Arial" w:hAnsi="Arial" w:cs="Arial"/>
                <w:color w:val="000000"/>
                <w:kern w:val="0"/>
                <w:sz w:val="24"/>
              </w:rPr>
              <w:t>指</w:t>
            </w:r>
            <w:r>
              <w:rPr>
                <w:rFonts w:ascii="Arial" w:hAnsi="Arial" w:cs="Arial"/>
                <w:color w:val="000000"/>
                <w:kern w:val="0"/>
                <w:sz w:val="24"/>
              </w:rPr>
              <w:br w:type="textWrapping"/>
            </w:r>
            <w:r>
              <w:rPr>
                <w:rFonts w:ascii="Arial" w:hAnsi="Arial" w:cs="Arial"/>
                <w:color w:val="000000"/>
                <w:kern w:val="0"/>
                <w:sz w:val="24"/>
              </w:rPr>
              <w:t>标</w:t>
            </w:r>
          </w:p>
        </w:tc>
        <w:tc>
          <w:tcPr>
            <w:tcW w:w="49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数量指标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终端型语言实验室（无学生电脑）</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5间共180个座位</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终端型＋学生电脑型语言实验室</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5间共200个座位</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中控室</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1间</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质量指标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系统正常运行率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≥100%</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系统故障率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故障响应率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≥100%</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故障排除率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≥100%</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系统验收合格率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≥100%</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进度指标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方案调研</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2019年6月-2019年12月</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方案规划</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2020年1月-2020年6月</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项目申报（一期）</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2020年7月-2020年12月</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完成一期招标采购</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2021年4月前</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安装调试工作</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2021年4月-2021年7月</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项目验收</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2021年8月</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投入使用（一期）</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2021年9月（第一届新生入住）</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成本指标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年度项目预算控制数</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577.907600万元</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效</w:t>
            </w:r>
            <w:r>
              <w:rPr>
                <w:rFonts w:ascii="Arial" w:hAnsi="Arial" w:cs="Arial"/>
                <w:color w:val="000000"/>
                <w:kern w:val="0"/>
                <w:sz w:val="24"/>
              </w:rPr>
              <w:br w:type="textWrapping"/>
            </w:r>
            <w:r>
              <w:rPr>
                <w:rFonts w:ascii="Arial" w:hAnsi="Arial" w:cs="Arial"/>
                <w:color w:val="000000"/>
                <w:kern w:val="0"/>
                <w:sz w:val="24"/>
              </w:rPr>
              <w:t>果</w:t>
            </w:r>
            <w:r>
              <w:rPr>
                <w:rFonts w:ascii="Arial" w:hAnsi="Arial" w:cs="Arial"/>
                <w:color w:val="000000"/>
                <w:kern w:val="0"/>
                <w:sz w:val="24"/>
              </w:rPr>
              <w:br w:type="textWrapping"/>
            </w:r>
            <w:r>
              <w:rPr>
                <w:rFonts w:ascii="Arial" w:hAnsi="Arial" w:cs="Arial"/>
                <w:color w:val="000000"/>
                <w:kern w:val="0"/>
                <w:sz w:val="24"/>
              </w:rPr>
              <w:t>指</w:t>
            </w:r>
            <w:r>
              <w:rPr>
                <w:rFonts w:ascii="Arial" w:hAnsi="Arial" w:cs="Arial"/>
                <w:color w:val="000000"/>
                <w:kern w:val="0"/>
                <w:sz w:val="24"/>
              </w:rPr>
              <w:br w:type="textWrapping"/>
            </w:r>
            <w:r>
              <w:rPr>
                <w:rFonts w:ascii="Arial" w:hAnsi="Arial" w:cs="Arial"/>
                <w:color w:val="000000"/>
                <w:kern w:val="0"/>
                <w:sz w:val="24"/>
              </w:rPr>
              <w:t>标</w:t>
            </w:r>
          </w:p>
        </w:tc>
        <w:tc>
          <w:tcPr>
            <w:tcW w:w="49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效益指标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投入教学使用后可稳定工作年限</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≥7年</w:t>
            </w:r>
          </w:p>
        </w:tc>
      </w:tr>
      <w:tr>
        <w:tblPrEx>
          <w:tblCellMar>
            <w:top w:w="0" w:type="dxa"/>
            <w:left w:w="108" w:type="dxa"/>
            <w:bottom w:w="0" w:type="dxa"/>
            <w:right w:w="108" w:type="dxa"/>
          </w:tblCellMar>
        </w:tblPrEx>
        <w:trPr>
          <w:trHeight w:val="72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满足2021级新生大学英语和翻译专业教学需求</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满足全校2500余名新生、73个大学英语教学班、每名学生2个必修课学分的英语教学需求。</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语言实验室使用率</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每周一至周四上午：≥90%；其他教学时间：≥60%。</w:t>
            </w:r>
          </w:p>
        </w:tc>
      </w:tr>
      <w:tr>
        <w:tblPrEx>
          <w:tblCellMar>
            <w:top w:w="0" w:type="dxa"/>
            <w:left w:w="108" w:type="dxa"/>
            <w:bottom w:w="0" w:type="dxa"/>
            <w:right w:w="108" w:type="dxa"/>
          </w:tblCellMar>
        </w:tblPrEx>
        <w:trPr>
          <w:trHeight w:val="108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投入教学使用后，提升教学质量，使全院师生受益，社会效益明显</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得以实现</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493"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服务对象满意度指标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教师对该项目的满意度</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≥95%</w:t>
            </w:r>
          </w:p>
        </w:tc>
      </w:tr>
      <w:tr>
        <w:tblPrEx>
          <w:tblCellMar>
            <w:top w:w="0" w:type="dxa"/>
            <w:left w:w="108" w:type="dxa"/>
            <w:bottom w:w="0" w:type="dxa"/>
            <w:right w:w="108" w:type="dxa"/>
          </w:tblCellMar>
        </w:tblPrEx>
        <w:trPr>
          <w:trHeight w:val="360" w:hRule="atLeast"/>
        </w:trPr>
        <w:tc>
          <w:tcPr>
            <w:tcW w:w="247" w:type="pct"/>
            <w:vMerge w:val="continue"/>
            <w:tcBorders>
              <w:top w:val="nil"/>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4"/>
              </w:rPr>
            </w:pPr>
          </w:p>
        </w:tc>
        <w:tc>
          <w:tcPr>
            <w:tcW w:w="247"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满</w:t>
            </w:r>
            <w:r>
              <w:rPr>
                <w:rFonts w:ascii="Arial" w:hAnsi="Arial" w:cs="Arial"/>
                <w:color w:val="000000"/>
                <w:kern w:val="0"/>
                <w:sz w:val="24"/>
              </w:rPr>
              <w:br w:type="textWrapping"/>
            </w:r>
            <w:r>
              <w:rPr>
                <w:rFonts w:ascii="Arial" w:hAnsi="Arial" w:cs="Arial"/>
                <w:color w:val="000000"/>
                <w:kern w:val="0"/>
                <w:sz w:val="24"/>
              </w:rPr>
              <w:t>意</w:t>
            </w:r>
            <w:r>
              <w:rPr>
                <w:rFonts w:ascii="Arial" w:hAnsi="Arial" w:cs="Arial"/>
                <w:color w:val="000000"/>
                <w:kern w:val="0"/>
                <w:sz w:val="24"/>
              </w:rPr>
              <w:br w:type="textWrapping"/>
            </w:r>
            <w:r>
              <w:rPr>
                <w:rFonts w:ascii="Arial" w:hAnsi="Arial" w:cs="Arial"/>
                <w:color w:val="000000"/>
                <w:kern w:val="0"/>
                <w:sz w:val="24"/>
              </w:rPr>
              <w:t>度</w:t>
            </w:r>
            <w:r>
              <w:rPr>
                <w:rFonts w:ascii="Arial" w:hAnsi="Arial" w:cs="Arial"/>
                <w:color w:val="000000"/>
                <w:kern w:val="0"/>
                <w:sz w:val="24"/>
              </w:rPr>
              <w:br w:type="textWrapping"/>
            </w:r>
            <w:r>
              <w:rPr>
                <w:rFonts w:ascii="Arial" w:hAnsi="Arial" w:cs="Arial"/>
                <w:color w:val="000000"/>
                <w:kern w:val="0"/>
                <w:sz w:val="24"/>
              </w:rPr>
              <w:t>指</w:t>
            </w:r>
            <w:r>
              <w:rPr>
                <w:rFonts w:ascii="Arial" w:hAnsi="Arial" w:cs="Arial"/>
                <w:color w:val="000000"/>
                <w:kern w:val="0"/>
                <w:sz w:val="24"/>
              </w:rPr>
              <w:br w:type="textWrapping"/>
            </w:r>
            <w:r>
              <w:rPr>
                <w:rFonts w:ascii="Arial" w:hAnsi="Arial" w:cs="Arial"/>
                <w:color w:val="000000"/>
                <w:kern w:val="0"/>
                <w:sz w:val="24"/>
              </w:rPr>
              <w:t>标</w:t>
            </w:r>
          </w:p>
        </w:tc>
        <w:tc>
          <w:tcPr>
            <w:tcW w:w="493" w:type="pct"/>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服务对象满意度指标</w:t>
            </w:r>
          </w:p>
        </w:tc>
        <w:tc>
          <w:tcPr>
            <w:tcW w:w="2318"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学生对该项目的满意度</w:t>
            </w:r>
          </w:p>
        </w:tc>
        <w:tc>
          <w:tcPr>
            <w:tcW w:w="1694"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cs="Arial"/>
                <w:color w:val="000000"/>
                <w:kern w:val="0"/>
                <w:sz w:val="24"/>
              </w:rPr>
            </w:pPr>
            <w:r>
              <w:rPr>
                <w:rFonts w:ascii="Arial" w:hAnsi="Arial" w:cs="Arial"/>
                <w:color w:val="000000"/>
                <w:kern w:val="0"/>
                <w:sz w:val="24"/>
              </w:rPr>
              <w:t>≥95%</w:t>
            </w:r>
          </w:p>
        </w:tc>
      </w:tr>
    </w:tbl>
    <w:p>
      <w:pPr>
        <w:spacing w:line="360" w:lineRule="auto"/>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spacing w:line="360" w:lineRule="auto"/>
        <w:rPr>
          <w:rFonts w:ascii="黑体" w:hAnsi="黑体" w:eastAsia="黑体"/>
          <w:sz w:val="32"/>
          <w:szCs w:val="32"/>
        </w:rPr>
      </w:pPr>
    </w:p>
    <w:p>
      <w:pPr>
        <w:spacing w:line="360" w:lineRule="auto"/>
        <w:rPr>
          <w:rFonts w:ascii="黑体" w:hAnsi="黑体" w:eastAsia="黑体"/>
          <w:sz w:val="32"/>
          <w:szCs w:val="32"/>
        </w:rPr>
      </w:pPr>
      <w:r>
        <w:rPr>
          <w:rFonts w:hint="eastAsia" w:ascii="黑体" w:hAnsi="黑体" w:eastAsia="黑体"/>
          <w:sz w:val="32"/>
          <w:szCs w:val="32"/>
        </w:rPr>
        <w:t>附件2：</w:t>
      </w:r>
    </w:p>
    <w:p>
      <w:pPr>
        <w:widowControl/>
        <w:spacing w:line="240" w:lineRule="atLeast"/>
        <w:jc w:val="center"/>
        <w:textAlignment w:val="center"/>
        <w:rPr>
          <w:rFonts w:ascii="宋体" w:hAnsi="宋体" w:cs="宋体"/>
          <w:b/>
          <w:bCs/>
          <w:color w:val="000000"/>
          <w:kern w:val="0"/>
          <w:szCs w:val="21"/>
        </w:rPr>
      </w:pPr>
      <w:r>
        <w:rPr>
          <w:rFonts w:ascii="宋体" w:hAnsi="宋体" w:cs="宋体"/>
          <w:b/>
          <w:bCs/>
          <w:color w:val="000000"/>
          <w:kern w:val="0"/>
          <w:szCs w:val="21"/>
        </w:rPr>
        <w:t>改善办学保障条件-北京信息科技大学新校区语言实验室建设项目（新竣工楼配套）</w:t>
      </w:r>
    </w:p>
    <w:p>
      <w:pPr>
        <w:widowControl/>
        <w:spacing w:line="240" w:lineRule="atLeast"/>
        <w:jc w:val="center"/>
        <w:textAlignment w:val="center"/>
        <w:rPr>
          <w:rFonts w:ascii="宋体" w:hAnsi="宋体" w:cs="宋体"/>
          <w:b/>
          <w:bCs/>
          <w:color w:val="000000"/>
          <w:kern w:val="0"/>
          <w:szCs w:val="21"/>
        </w:rPr>
      </w:pPr>
      <w:r>
        <w:rPr>
          <w:rFonts w:hint="eastAsia" w:ascii="宋体" w:hAnsi="宋体" w:cs="宋体"/>
          <w:b/>
          <w:bCs/>
          <w:color w:val="000000"/>
          <w:kern w:val="0"/>
          <w:szCs w:val="21"/>
        </w:rPr>
        <w:t>绩效评价指标体系及打分情况表</w:t>
      </w:r>
    </w:p>
    <w:tbl>
      <w:tblPr>
        <w:tblStyle w:val="19"/>
        <w:tblW w:w="5171" w:type="pct"/>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997"/>
        <w:gridCol w:w="1132"/>
        <w:gridCol w:w="5246"/>
        <w:gridCol w:w="56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5"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一级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二级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三级</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指标</w:t>
            </w:r>
          </w:p>
        </w:tc>
        <w:tc>
          <w:tcPr>
            <w:tcW w:w="2688"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评价要点</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分</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值</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专家</w:t>
            </w:r>
          </w:p>
          <w:p>
            <w:pPr>
              <w:widowControl/>
              <w:spacing w:line="240" w:lineRule="atLeast"/>
              <w:jc w:val="center"/>
              <w:textAlignment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kern w:val="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决策   </w:t>
            </w:r>
            <w:r>
              <w:rPr>
                <w:rFonts w:hint="eastAsia" w:cs="宋体" w:asciiTheme="minorEastAsia" w:hAnsiTheme="minorEastAsia" w:eastAsiaTheme="minorEastAsia"/>
                <w:color w:val="000000"/>
                <w:kern w:val="0"/>
                <w:sz w:val="18"/>
                <w:szCs w:val="18"/>
              </w:rPr>
              <w:t>（15分）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立项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立项依据</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充分性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①项目立项是否符合国家法律法规、国民经济发展规划和相关政策；</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②项目立项是否符合行业发展规划和政策要求；</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③项目立项是否与部门职责范围相符，属于部门履职所需；</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④项目是否属于公共财政支持范围，是否符合中央、地方事权支出责任划分原则；</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⑤项目是否与相关部门同类项目或部门内部相关项目重复。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立项程序</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规范性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①项目是否按照规定的程序申请设立；</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②审批文件、材料是否符合相关要求；</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③事前是否已经过必要的可行性研究、专家论证、风险评估、绩效评估、集体决策。</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目标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绩效目标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①项目是否有绩效目标；</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②项目绩效目标与实际工作内容是否具有相关性；</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③项目预期产出效益和效果是否符合正常的业绩水平；</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④是否与预算确定的项目投资额或资金量相匹配。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绩效指标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明确性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①是否将项目绩效目标细化分解为具体的绩效指标；</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②是否通过清晰、可衡量的指标值予以体现；</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③是否与项目目标任务数或计划数相对应。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投入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预算编制</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科学性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①预算编制是否经过科学论证；</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②预算内容与项目内容是否匹配；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③预算额度测算依据是否充分，是否按照标准编制；</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④预算确定的项目投资额或资金量是否与工作任务相匹配。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资金分配</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合理性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①预算资金分配依据是否充分；</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2</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②资金分配额度是否合理，与项目单位的实际需求是否相适应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过程   </w:t>
            </w:r>
            <w:r>
              <w:rPr>
                <w:rFonts w:hint="eastAsia" w:cs="宋体" w:asciiTheme="minorEastAsia" w:hAnsiTheme="minorEastAsia" w:eastAsiaTheme="minorEastAsia"/>
                <w:color w:val="000000"/>
                <w:kern w:val="0"/>
                <w:sz w:val="18"/>
                <w:szCs w:val="18"/>
              </w:rPr>
              <w:t>（25分）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资金</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管理</w:t>
            </w:r>
          </w:p>
          <w:p>
            <w:pPr>
              <w:widowControl/>
              <w:spacing w:line="240" w:lineRule="atLeast"/>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资金到位 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资金到位率=（实际到位资金/预算资金）×100%。        </w:t>
            </w:r>
          </w:p>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公式中的实际到位资金为项目期内落实到具体项目的资金；预算资金为项目期内预算安排到具体项目的资金。</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预算执行 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预算执行率=（实际支出资金/实际到位资金）×100%。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公式中的实际支出资金为项目期内项目实际支出的资金；实际到位资金为项目期内落实到具体项目的资金。</w:t>
            </w:r>
          </w:p>
        </w:tc>
        <w:tc>
          <w:tcPr>
            <w:tcW w:w="29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资金使用合规性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①是否符合国家财经法规和财务管理制度以及有关专项资金管理办法的规定；</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②资金的拨付是否有完整的审批程序和手续；</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③是否符合项目预算批复或合同规定的用途；</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④是否存在截留、挤占、挪用、虚列支出等情况。</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组织</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实施</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（10分）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管理制度</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健全性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①是否具有健全的内控制度；</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②是否已制定或具有相应的财务和业务管理制度；</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③财务和业务管理制度是否合法、合规、完整。</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制度执行</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有效性</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①是否遵守相关法律法规和相关管理规定；</w:t>
            </w:r>
          </w:p>
        </w:tc>
        <w:tc>
          <w:tcPr>
            <w:tcW w:w="29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②项目调整及支出调整手续是否完备；</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③项目合同书、验收报告、技术鉴定等资料是否齐全并及时归档；</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④项目实施的人员、场地设备、信息支撑等是否落实到位。</w:t>
            </w:r>
          </w:p>
        </w:tc>
        <w:tc>
          <w:tcPr>
            <w:tcW w:w="29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产出  </w:t>
            </w:r>
            <w:r>
              <w:rPr>
                <w:rFonts w:hint="eastAsia" w:cs="宋体" w:asciiTheme="minorEastAsia" w:hAnsiTheme="minorEastAsia" w:eastAsiaTheme="minorEastAsia"/>
                <w:color w:val="000000"/>
                <w:kern w:val="0"/>
                <w:sz w:val="18"/>
                <w:szCs w:val="18"/>
              </w:rPr>
              <w:t>（40分）</w:t>
            </w: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数量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实际完成</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实际完成率=（实际产出数/计划产出数）×100%。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公式中的实际产出数为项目期内项目实际产出的产品或提供的服务数量；计划产出数为项目绩效目标确定的在项目期内计划产出的产品或提供的服务数量。</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auto"/>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质量 </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质量达标</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质量达标率=（质量达标产出数/实际产出数）×100%。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公式中的质量达标产出数为项目期内实际达到既定质量标准的产品或服务数量；既定质量标准是指项目实施单位设立绩效目标时依据计划标准、行业标准、历史标准或其他标准而设定的绩效指标值。</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auto"/>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时效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完成及时</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项目实施单位完成该项目实际所耗用的时间与设立绩效目标时设定的进度指标值是否相符。</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产出</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成本   </w:t>
            </w:r>
            <w:r>
              <w:rPr>
                <w:rFonts w:hint="eastAsia" w:cs="宋体" w:asciiTheme="minorEastAsia" w:hAnsiTheme="minorEastAsia" w:eastAsiaTheme="minorEastAsia"/>
                <w:color w:val="000000"/>
                <w:kern w:val="0"/>
                <w:sz w:val="18"/>
                <w:szCs w:val="18"/>
              </w:rPr>
              <w:t>（10分）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成本节约</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情况</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成本节约率=[（计划成本-实际成本）/计划成本]×100%。</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lang w:eastAsia="zh-CN"/>
              </w:rPr>
              <w:t>公式</w:t>
            </w:r>
            <w:r>
              <w:rPr>
                <w:rFonts w:hint="eastAsia" w:cs="宋体" w:asciiTheme="minorEastAsia" w:hAnsiTheme="minorEastAsia" w:eastAsiaTheme="minorEastAsia"/>
                <w:color w:val="000000"/>
                <w:kern w:val="0"/>
                <w:sz w:val="20"/>
                <w:szCs w:val="20"/>
              </w:rPr>
              <w:t>中的实际成本是指项目实施单位如期、保质、保量完成既定工作目标实际所耗费的支出；计划成本是指项目实施单位为完成工作目标计划安排的支出，一般以财政批复的项目预算为准。</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效益   </w:t>
            </w:r>
            <w:r>
              <w:rPr>
                <w:rFonts w:hint="eastAsia" w:cs="宋体" w:asciiTheme="minorEastAsia" w:hAnsiTheme="minorEastAsia" w:eastAsiaTheme="minorEastAsia"/>
                <w:color w:val="000000"/>
                <w:kern w:val="0"/>
                <w:sz w:val="18"/>
                <w:szCs w:val="18"/>
              </w:rPr>
              <w:t>（20分）</w:t>
            </w:r>
          </w:p>
        </w:tc>
        <w:tc>
          <w:tcPr>
            <w:tcW w:w="511"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项目</w:t>
            </w:r>
          </w:p>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效益  </w:t>
            </w:r>
            <w:r>
              <w:rPr>
                <w:rFonts w:hint="eastAsia" w:cs="宋体" w:asciiTheme="minorEastAsia" w:hAnsiTheme="minorEastAsia" w:eastAsiaTheme="minorEastAsia"/>
                <w:color w:val="000000"/>
                <w:kern w:val="0"/>
                <w:sz w:val="18"/>
                <w:szCs w:val="18"/>
              </w:rPr>
              <w:t>（15分）</w:t>
            </w:r>
          </w:p>
        </w:tc>
        <w:tc>
          <w:tcPr>
            <w:tcW w:w="580"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社会效益</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①项目实施是否满足2021级新生大学英语和翻译专业教学需求</w:t>
            </w:r>
          </w:p>
        </w:tc>
        <w:tc>
          <w:tcPr>
            <w:tcW w:w="291" w:type="pct"/>
            <w:vMerge w:val="restar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15</w:t>
            </w:r>
          </w:p>
        </w:tc>
        <w:tc>
          <w:tcPr>
            <w:tcW w:w="435" w:type="pct"/>
            <w:vMerge w:val="restar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80"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②语言实验室使用率是否达到设立绩效目标时所设定的使用率的指标值。</w:t>
            </w:r>
          </w:p>
        </w:tc>
        <w:tc>
          <w:tcPr>
            <w:tcW w:w="291" w:type="pct"/>
            <w:vMerge w:val="continue"/>
            <w:shd w:val="clear" w:color="auto" w:fill="auto"/>
            <w:noWrap/>
            <w:vAlign w:val="center"/>
          </w:tcPr>
          <w:p>
            <w:pPr>
              <w:widowControl/>
              <w:spacing w:line="240" w:lineRule="atLeast"/>
              <w:jc w:val="center"/>
              <w:rPr>
                <w:rFonts w:cs="宋体" w:asciiTheme="minorEastAsia" w:hAnsiTheme="minorEastAsia" w:eastAsiaTheme="minorEastAsia"/>
                <w:color w:val="000000"/>
                <w:sz w:val="20"/>
                <w:szCs w:val="20"/>
              </w:rPr>
            </w:pPr>
          </w:p>
        </w:tc>
        <w:tc>
          <w:tcPr>
            <w:tcW w:w="43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95" w:type="pct"/>
            <w:vMerge w:val="continue"/>
            <w:shd w:val="clear" w:color="auto" w:fill="FFFFFF"/>
            <w:vAlign w:val="center"/>
          </w:tcPr>
          <w:p>
            <w:pPr>
              <w:widowControl/>
              <w:spacing w:line="240" w:lineRule="atLeast"/>
              <w:jc w:val="center"/>
              <w:rPr>
                <w:rFonts w:cs="宋体" w:asciiTheme="minorEastAsia" w:hAnsiTheme="minorEastAsia" w:eastAsiaTheme="minorEastAsia"/>
                <w:color w:val="000000"/>
                <w:sz w:val="20"/>
                <w:szCs w:val="20"/>
              </w:rPr>
            </w:pPr>
          </w:p>
        </w:tc>
        <w:tc>
          <w:tcPr>
            <w:tcW w:w="511"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满意度   （5分）</w:t>
            </w:r>
          </w:p>
        </w:tc>
        <w:tc>
          <w:tcPr>
            <w:tcW w:w="580"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服务对象满意度</w:t>
            </w:r>
          </w:p>
        </w:tc>
        <w:tc>
          <w:tcPr>
            <w:tcW w:w="2688" w:type="pct"/>
            <w:shd w:val="clear" w:color="auto" w:fill="FFFFFF"/>
            <w:vAlign w:val="center"/>
          </w:tcPr>
          <w:p>
            <w:pPr>
              <w:widowControl/>
              <w:spacing w:line="240" w:lineRule="atLeast"/>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教师、学生对项目实施的满意度大于等于95%。</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5</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274" w:type="pct"/>
            <w:gridSpan w:val="4"/>
            <w:shd w:val="clear" w:color="auto" w:fill="FFFFFF"/>
            <w:vAlign w:val="center"/>
          </w:tcPr>
          <w:p>
            <w:pPr>
              <w:widowControl/>
              <w:spacing w:line="240" w:lineRule="atLeast"/>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合计</w:t>
            </w:r>
          </w:p>
        </w:tc>
        <w:tc>
          <w:tcPr>
            <w:tcW w:w="291" w:type="pct"/>
            <w:shd w:val="clear" w:color="auto" w:fill="auto"/>
            <w:noWrap/>
            <w:vAlign w:val="center"/>
          </w:tcPr>
          <w:p>
            <w:pPr>
              <w:widowControl/>
              <w:spacing w:line="240" w:lineRule="atLeast"/>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100</w:t>
            </w:r>
          </w:p>
        </w:tc>
        <w:tc>
          <w:tcPr>
            <w:tcW w:w="435" w:type="pct"/>
            <w:shd w:val="clear" w:color="auto" w:fill="FFFFFF"/>
            <w:vAlign w:val="center"/>
          </w:tcPr>
          <w:p>
            <w:pPr>
              <w:widowControl/>
              <w:spacing w:line="240" w:lineRule="atLeast"/>
              <w:jc w:val="center"/>
              <w:textAlignment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92.84</w:t>
            </w:r>
          </w:p>
        </w:tc>
      </w:tr>
    </w:tbl>
    <w:p>
      <w:pPr>
        <w:widowControl/>
        <w:jc w:val="left"/>
        <w:rPr>
          <w:rFonts w:ascii="仿宋_GB2312" w:hAnsi="黑体" w:eastAsia="仿宋_GB2312" w:cs="仿宋_GB2312"/>
          <w:sz w:val="30"/>
          <w:szCs w:val="30"/>
        </w:rPr>
      </w:pPr>
    </w:p>
    <w:sectPr>
      <w:footerReference r:id="rId3" w:type="default"/>
      <w:pgSz w:w="11906" w:h="16838"/>
      <w:pgMar w:top="1440" w:right="1289" w:bottom="1440" w:left="13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0000600000000000000"/>
    <w:charset w:val="86"/>
    <w:family w:val="script"/>
    <w:pitch w:val="default"/>
    <w:sig w:usb0="800002BF" w:usb1="184F6CF8" w:usb2="00000012" w:usb3="00000000" w:csb0="00160001" w:csb1="1203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Text Box 1"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5NjczMDdjMGU4N2RiM2IxYWU1ZDgyYWQwNTdkNTMifQ=="/>
  </w:docVars>
  <w:rsids>
    <w:rsidRoot w:val="00EE7025"/>
    <w:rsid w:val="00007E1F"/>
    <w:rsid w:val="000161DC"/>
    <w:rsid w:val="0003381F"/>
    <w:rsid w:val="00033B55"/>
    <w:rsid w:val="00036A4B"/>
    <w:rsid w:val="0003735D"/>
    <w:rsid w:val="00051139"/>
    <w:rsid w:val="0005460B"/>
    <w:rsid w:val="0006600D"/>
    <w:rsid w:val="00071A8A"/>
    <w:rsid w:val="00086A8A"/>
    <w:rsid w:val="000A68B6"/>
    <w:rsid w:val="000C364E"/>
    <w:rsid w:val="000F0487"/>
    <w:rsid w:val="000F23FC"/>
    <w:rsid w:val="00104F1A"/>
    <w:rsid w:val="001264FE"/>
    <w:rsid w:val="001307B5"/>
    <w:rsid w:val="001572AF"/>
    <w:rsid w:val="00176664"/>
    <w:rsid w:val="001852D3"/>
    <w:rsid w:val="0019179B"/>
    <w:rsid w:val="001B1C55"/>
    <w:rsid w:val="001B20F3"/>
    <w:rsid w:val="001C1C44"/>
    <w:rsid w:val="001C382B"/>
    <w:rsid w:val="001C4C86"/>
    <w:rsid w:val="00204198"/>
    <w:rsid w:val="00205F09"/>
    <w:rsid w:val="002171D6"/>
    <w:rsid w:val="002237A7"/>
    <w:rsid w:val="00262243"/>
    <w:rsid w:val="00273809"/>
    <w:rsid w:val="0027751A"/>
    <w:rsid w:val="00277F3E"/>
    <w:rsid w:val="002A01C5"/>
    <w:rsid w:val="002B7922"/>
    <w:rsid w:val="002C039A"/>
    <w:rsid w:val="002C3380"/>
    <w:rsid w:val="002C6EE6"/>
    <w:rsid w:val="002F169E"/>
    <w:rsid w:val="00321E2C"/>
    <w:rsid w:val="00333A3E"/>
    <w:rsid w:val="003379FA"/>
    <w:rsid w:val="00344078"/>
    <w:rsid w:val="00362994"/>
    <w:rsid w:val="00390E45"/>
    <w:rsid w:val="00393213"/>
    <w:rsid w:val="003A26E1"/>
    <w:rsid w:val="003A5358"/>
    <w:rsid w:val="003B5488"/>
    <w:rsid w:val="003C06F8"/>
    <w:rsid w:val="003E2BC6"/>
    <w:rsid w:val="00403A02"/>
    <w:rsid w:val="00413570"/>
    <w:rsid w:val="00422370"/>
    <w:rsid w:val="004302A1"/>
    <w:rsid w:val="00433080"/>
    <w:rsid w:val="004417C8"/>
    <w:rsid w:val="00441FEA"/>
    <w:rsid w:val="004568AA"/>
    <w:rsid w:val="00460C77"/>
    <w:rsid w:val="004657FE"/>
    <w:rsid w:val="00480E2E"/>
    <w:rsid w:val="004870D5"/>
    <w:rsid w:val="004A5473"/>
    <w:rsid w:val="004B2133"/>
    <w:rsid w:val="004C093A"/>
    <w:rsid w:val="004C3B86"/>
    <w:rsid w:val="004D0025"/>
    <w:rsid w:val="004F2CF8"/>
    <w:rsid w:val="00512B08"/>
    <w:rsid w:val="00514390"/>
    <w:rsid w:val="00527594"/>
    <w:rsid w:val="00537846"/>
    <w:rsid w:val="00583888"/>
    <w:rsid w:val="005A0607"/>
    <w:rsid w:val="005A7167"/>
    <w:rsid w:val="005B0398"/>
    <w:rsid w:val="005B6C0D"/>
    <w:rsid w:val="005B6F20"/>
    <w:rsid w:val="005C0F3B"/>
    <w:rsid w:val="005D0331"/>
    <w:rsid w:val="005F49F4"/>
    <w:rsid w:val="0063220C"/>
    <w:rsid w:val="00646DE8"/>
    <w:rsid w:val="0065392A"/>
    <w:rsid w:val="006757A2"/>
    <w:rsid w:val="00684272"/>
    <w:rsid w:val="006929B6"/>
    <w:rsid w:val="006B57B1"/>
    <w:rsid w:val="006D3D83"/>
    <w:rsid w:val="006E217D"/>
    <w:rsid w:val="006E682A"/>
    <w:rsid w:val="006F6462"/>
    <w:rsid w:val="007224D5"/>
    <w:rsid w:val="0074637C"/>
    <w:rsid w:val="00746CB8"/>
    <w:rsid w:val="00762353"/>
    <w:rsid w:val="00763EE6"/>
    <w:rsid w:val="0077567F"/>
    <w:rsid w:val="00775841"/>
    <w:rsid w:val="007A3A38"/>
    <w:rsid w:val="007A7944"/>
    <w:rsid w:val="007C1620"/>
    <w:rsid w:val="007D401D"/>
    <w:rsid w:val="007E064B"/>
    <w:rsid w:val="007E2B55"/>
    <w:rsid w:val="008009ED"/>
    <w:rsid w:val="008319B6"/>
    <w:rsid w:val="0087099E"/>
    <w:rsid w:val="00871C6B"/>
    <w:rsid w:val="00891090"/>
    <w:rsid w:val="008A239F"/>
    <w:rsid w:val="008A2A77"/>
    <w:rsid w:val="008B7758"/>
    <w:rsid w:val="008E5352"/>
    <w:rsid w:val="0090619D"/>
    <w:rsid w:val="00910245"/>
    <w:rsid w:val="009154A9"/>
    <w:rsid w:val="00931B89"/>
    <w:rsid w:val="00962ABD"/>
    <w:rsid w:val="00965614"/>
    <w:rsid w:val="009709DD"/>
    <w:rsid w:val="00974295"/>
    <w:rsid w:val="00993EFC"/>
    <w:rsid w:val="009D529B"/>
    <w:rsid w:val="009E00A6"/>
    <w:rsid w:val="009E0EBD"/>
    <w:rsid w:val="009F0A26"/>
    <w:rsid w:val="009F65D1"/>
    <w:rsid w:val="00A23A9A"/>
    <w:rsid w:val="00A344BB"/>
    <w:rsid w:val="00A56B55"/>
    <w:rsid w:val="00A720CF"/>
    <w:rsid w:val="00A810BE"/>
    <w:rsid w:val="00A8290E"/>
    <w:rsid w:val="00AB0885"/>
    <w:rsid w:val="00AB4D5C"/>
    <w:rsid w:val="00AC2FA4"/>
    <w:rsid w:val="00AE3026"/>
    <w:rsid w:val="00B2034F"/>
    <w:rsid w:val="00B231B0"/>
    <w:rsid w:val="00B40D70"/>
    <w:rsid w:val="00B61E2A"/>
    <w:rsid w:val="00B83254"/>
    <w:rsid w:val="00B83991"/>
    <w:rsid w:val="00B86995"/>
    <w:rsid w:val="00BA04FA"/>
    <w:rsid w:val="00BB3B62"/>
    <w:rsid w:val="00BD5285"/>
    <w:rsid w:val="00BE1A31"/>
    <w:rsid w:val="00BE56D0"/>
    <w:rsid w:val="00C05961"/>
    <w:rsid w:val="00C11804"/>
    <w:rsid w:val="00C14B22"/>
    <w:rsid w:val="00C37DF9"/>
    <w:rsid w:val="00C46F50"/>
    <w:rsid w:val="00C5606F"/>
    <w:rsid w:val="00C7259C"/>
    <w:rsid w:val="00CA5392"/>
    <w:rsid w:val="00CA5485"/>
    <w:rsid w:val="00CA6B44"/>
    <w:rsid w:val="00CA7C1D"/>
    <w:rsid w:val="00CC1D2C"/>
    <w:rsid w:val="00CC7043"/>
    <w:rsid w:val="00CE078F"/>
    <w:rsid w:val="00CE210D"/>
    <w:rsid w:val="00CE7636"/>
    <w:rsid w:val="00CF5448"/>
    <w:rsid w:val="00CF5BD4"/>
    <w:rsid w:val="00D11AB3"/>
    <w:rsid w:val="00D121BA"/>
    <w:rsid w:val="00D25C96"/>
    <w:rsid w:val="00D61F1C"/>
    <w:rsid w:val="00D972A6"/>
    <w:rsid w:val="00DB28F9"/>
    <w:rsid w:val="00DC3DF4"/>
    <w:rsid w:val="00DD178A"/>
    <w:rsid w:val="00DE489A"/>
    <w:rsid w:val="00DF695E"/>
    <w:rsid w:val="00E12B2C"/>
    <w:rsid w:val="00E212E2"/>
    <w:rsid w:val="00E42381"/>
    <w:rsid w:val="00E66296"/>
    <w:rsid w:val="00E75D0A"/>
    <w:rsid w:val="00E866C3"/>
    <w:rsid w:val="00E906B2"/>
    <w:rsid w:val="00E93DC6"/>
    <w:rsid w:val="00EA4339"/>
    <w:rsid w:val="00EC06F5"/>
    <w:rsid w:val="00ED179F"/>
    <w:rsid w:val="00ED1BC8"/>
    <w:rsid w:val="00EE3A77"/>
    <w:rsid w:val="00EE448C"/>
    <w:rsid w:val="00EE7025"/>
    <w:rsid w:val="00EE71E7"/>
    <w:rsid w:val="00EE7EDC"/>
    <w:rsid w:val="00EF2311"/>
    <w:rsid w:val="00EF361A"/>
    <w:rsid w:val="00F03FC9"/>
    <w:rsid w:val="00F07303"/>
    <w:rsid w:val="00F36730"/>
    <w:rsid w:val="00F36AA0"/>
    <w:rsid w:val="00F373C7"/>
    <w:rsid w:val="00F447A8"/>
    <w:rsid w:val="00F46482"/>
    <w:rsid w:val="00F52981"/>
    <w:rsid w:val="00F92021"/>
    <w:rsid w:val="00FB3386"/>
    <w:rsid w:val="00FC0F5B"/>
    <w:rsid w:val="00FC4DB8"/>
    <w:rsid w:val="00FE5205"/>
    <w:rsid w:val="00FE58B3"/>
    <w:rsid w:val="015878CB"/>
    <w:rsid w:val="1E4335CC"/>
    <w:rsid w:val="2039216E"/>
    <w:rsid w:val="23DE6F27"/>
    <w:rsid w:val="25DA20CE"/>
    <w:rsid w:val="41F8595E"/>
    <w:rsid w:val="50760958"/>
    <w:rsid w:val="56076DEF"/>
    <w:rsid w:val="5FED28C5"/>
    <w:rsid w:val="63F210F3"/>
    <w:rsid w:val="654D7FD3"/>
    <w:rsid w:val="705F28CD"/>
    <w:rsid w:val="73D80A5D"/>
    <w:rsid w:val="73F040AF"/>
    <w:rsid w:val="754901AC"/>
    <w:rsid w:val="77414AE7"/>
    <w:rsid w:val="7DA0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spacing w:line="560" w:lineRule="exact"/>
      <w:jc w:val="center"/>
      <w:outlineLvl w:val="0"/>
    </w:pPr>
    <w:rPr>
      <w:rFonts w:eastAsia="方正小标宋简体"/>
      <w:bCs/>
      <w:kern w:val="44"/>
      <w:sz w:val="44"/>
      <w:szCs w:val="4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6">
    <w:name w:val="toc 3"/>
    <w:basedOn w:val="1"/>
    <w:next w:val="1"/>
    <w:unhideWhenUsed/>
    <w:qFormat/>
    <w:uiPriority w:val="39"/>
    <w:pPr>
      <w:ind w:left="840" w:leftChars="400"/>
    </w:pPr>
  </w:style>
  <w:style w:type="paragraph" w:styleId="7">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3">
    <w:name w:val="footnote text"/>
    <w:basedOn w:val="1"/>
    <w:link w:val="28"/>
    <w:unhideWhenUsed/>
    <w:qFormat/>
    <w:uiPriority w:val="99"/>
    <w:pPr>
      <w:widowControl/>
      <w:adjustRightInd w:val="0"/>
      <w:snapToGrid w:val="0"/>
      <w:spacing w:after="200"/>
      <w:jc w:val="left"/>
    </w:pPr>
    <w:rPr>
      <w:rFonts w:ascii="Tahoma" w:hAnsi="Tahoma" w:eastAsia="微软雅黑"/>
      <w:kern w:val="0"/>
      <w:sz w:val="18"/>
      <w:szCs w:val="18"/>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24"/>
    <w:qFormat/>
    <w:uiPriority w:val="0"/>
    <w:pPr>
      <w:spacing w:before="240" w:after="60" w:line="312" w:lineRule="auto"/>
      <w:ind w:firstLine="200" w:firstLineChars="200"/>
      <w:jc w:val="center"/>
      <w:outlineLvl w:val="0"/>
    </w:pPr>
    <w:rPr>
      <w:rFonts w:ascii="Calibri Light" w:hAnsi="Calibri Light" w:eastAsiaTheme="minorEastAsia"/>
      <w:b/>
      <w:bCs/>
      <w:sz w:val="32"/>
      <w:szCs w:val="32"/>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rPr>
  </w:style>
  <w:style w:type="character" w:customStyle="1" w:styleId="23">
    <w:name w:val="页脚 字符"/>
    <w:basedOn w:val="21"/>
    <w:link w:val="9"/>
    <w:qFormat/>
    <w:uiPriority w:val="99"/>
    <w:rPr>
      <w:sz w:val="18"/>
      <w:szCs w:val="18"/>
    </w:rPr>
  </w:style>
  <w:style w:type="character" w:customStyle="1" w:styleId="24">
    <w:name w:val="标题 字符1"/>
    <w:link w:val="18"/>
    <w:qFormat/>
    <w:uiPriority w:val="0"/>
    <w:rPr>
      <w:rFonts w:ascii="Calibri Light" w:hAnsi="Calibri Light" w:cs="Times New Roman"/>
      <w:b/>
      <w:bCs/>
      <w:sz w:val="32"/>
      <w:szCs w:val="32"/>
    </w:rPr>
  </w:style>
  <w:style w:type="character" w:customStyle="1" w:styleId="25">
    <w:name w:val="标题 Char1"/>
    <w:basedOn w:val="21"/>
    <w:qFormat/>
    <w:uiPriority w:val="10"/>
    <w:rPr>
      <w:rFonts w:eastAsia="宋体" w:asciiTheme="majorHAnsi" w:hAnsiTheme="majorHAnsi" w:cstheme="majorBidi"/>
      <w:b/>
      <w:bCs/>
      <w:sz w:val="32"/>
      <w:szCs w:val="32"/>
    </w:rPr>
  </w:style>
  <w:style w:type="character" w:customStyle="1" w:styleId="26">
    <w:name w:val="批注框文本 字符"/>
    <w:basedOn w:val="21"/>
    <w:link w:val="8"/>
    <w:semiHidden/>
    <w:qFormat/>
    <w:uiPriority w:val="99"/>
    <w:rPr>
      <w:rFonts w:ascii="Times New Roman" w:hAnsi="Times New Roman" w:eastAsia="宋体" w:cs="Times New Roman"/>
      <w:sz w:val="18"/>
      <w:szCs w:val="18"/>
    </w:rPr>
  </w:style>
  <w:style w:type="character" w:customStyle="1" w:styleId="27">
    <w:name w:val="页眉 字符"/>
    <w:basedOn w:val="21"/>
    <w:link w:val="10"/>
    <w:qFormat/>
    <w:uiPriority w:val="99"/>
    <w:rPr>
      <w:rFonts w:ascii="Times New Roman" w:hAnsi="Times New Roman" w:eastAsia="宋体" w:cs="Times New Roman"/>
      <w:sz w:val="18"/>
      <w:szCs w:val="18"/>
    </w:rPr>
  </w:style>
  <w:style w:type="character" w:customStyle="1" w:styleId="28">
    <w:name w:val="脚注文本 字符"/>
    <w:basedOn w:val="21"/>
    <w:link w:val="13"/>
    <w:qFormat/>
    <w:uiPriority w:val="99"/>
    <w:rPr>
      <w:rFonts w:ascii="Tahoma" w:hAnsi="Tahoma" w:eastAsia="微软雅黑" w:cs="Times New Roman"/>
      <w:kern w:val="0"/>
      <w:sz w:val="18"/>
      <w:szCs w:val="18"/>
    </w:rPr>
  </w:style>
  <w:style w:type="paragraph" w:customStyle="1" w:styleId="29">
    <w:name w:val="表格"/>
    <w:basedOn w:val="1"/>
    <w:qFormat/>
    <w:uiPriority w:val="0"/>
    <w:pPr>
      <w:autoSpaceDN w:val="0"/>
      <w:jc w:val="center"/>
    </w:pPr>
    <w:rPr>
      <w:rFonts w:ascii="Verdana" w:hAnsi="Verdana" w:eastAsia="仿宋_GB2312"/>
      <w:bCs/>
      <w:sz w:val="24"/>
      <w:szCs w:val="21"/>
      <w:lang w:eastAsia="en-US"/>
    </w:rPr>
  </w:style>
  <w:style w:type="paragraph" w:customStyle="1" w:styleId="30">
    <w:name w:val="列出段落1"/>
    <w:basedOn w:val="1"/>
    <w:next w:val="31"/>
    <w:qFormat/>
    <w:uiPriority w:val="34"/>
    <w:pPr>
      <w:ind w:firstLine="420" w:firstLineChars="200"/>
    </w:pPr>
    <w:rPr>
      <w:rFonts w:ascii="等线" w:hAnsi="等线" w:eastAsia="等线"/>
      <w:szCs w:val="22"/>
    </w:rPr>
  </w:style>
  <w:style w:type="paragraph" w:styleId="31">
    <w:name w:val="List Paragraph"/>
    <w:basedOn w:val="1"/>
    <w:qFormat/>
    <w:uiPriority w:val="34"/>
    <w:pPr>
      <w:ind w:firstLine="420" w:firstLineChars="200"/>
    </w:pPr>
  </w:style>
  <w:style w:type="character" w:customStyle="1" w:styleId="32">
    <w:name w:val="Body text|1_"/>
    <w:basedOn w:val="21"/>
    <w:link w:val="33"/>
    <w:qFormat/>
    <w:uiPriority w:val="0"/>
    <w:rPr>
      <w:rFonts w:ascii="宋体" w:hAnsi="宋体" w:eastAsia="宋体" w:cs="宋体"/>
      <w:sz w:val="30"/>
      <w:szCs w:val="30"/>
      <w:lang w:val="zh-TW" w:eastAsia="zh-TW" w:bidi="zh-TW"/>
    </w:rPr>
  </w:style>
  <w:style w:type="paragraph" w:customStyle="1" w:styleId="33">
    <w:name w:val="Body text|1"/>
    <w:basedOn w:val="1"/>
    <w:link w:val="32"/>
    <w:qFormat/>
    <w:uiPriority w:val="0"/>
    <w:pPr>
      <w:spacing w:line="437" w:lineRule="auto"/>
      <w:ind w:firstLine="400"/>
      <w:jc w:val="left"/>
    </w:pPr>
    <w:rPr>
      <w:rFonts w:ascii="宋体" w:hAnsi="宋体" w:cs="宋体"/>
      <w:sz w:val="30"/>
      <w:szCs w:val="30"/>
      <w:lang w:val="zh-TW" w:eastAsia="zh-TW" w:bidi="zh-TW"/>
    </w:rPr>
  </w:style>
  <w:style w:type="character" w:customStyle="1" w:styleId="34">
    <w:name w:val="Other|1_"/>
    <w:basedOn w:val="21"/>
    <w:link w:val="35"/>
    <w:qFormat/>
    <w:uiPriority w:val="0"/>
    <w:rPr>
      <w:rFonts w:ascii="宋体" w:hAnsi="宋体" w:eastAsia="宋体" w:cs="宋体"/>
      <w:sz w:val="30"/>
      <w:szCs w:val="30"/>
      <w:lang w:val="zh-TW" w:eastAsia="zh-TW" w:bidi="zh-TW"/>
    </w:rPr>
  </w:style>
  <w:style w:type="paragraph" w:customStyle="1" w:styleId="35">
    <w:name w:val="Other|1"/>
    <w:basedOn w:val="1"/>
    <w:link w:val="34"/>
    <w:qFormat/>
    <w:uiPriority w:val="0"/>
    <w:pPr>
      <w:spacing w:line="437" w:lineRule="auto"/>
      <w:ind w:firstLine="400"/>
      <w:jc w:val="left"/>
    </w:pPr>
    <w:rPr>
      <w:rFonts w:ascii="宋体" w:hAnsi="宋体" w:cs="宋体"/>
      <w:sz w:val="30"/>
      <w:szCs w:val="30"/>
      <w:lang w:val="zh-TW" w:eastAsia="zh-TW" w:bidi="zh-TW"/>
    </w:rPr>
  </w:style>
  <w:style w:type="character" w:customStyle="1" w:styleId="36">
    <w:name w:val="Other|2_"/>
    <w:basedOn w:val="21"/>
    <w:link w:val="37"/>
    <w:qFormat/>
    <w:uiPriority w:val="0"/>
    <w:rPr>
      <w:rFonts w:ascii="宋体" w:hAnsi="宋体" w:eastAsia="宋体" w:cs="宋体"/>
      <w:sz w:val="20"/>
      <w:szCs w:val="20"/>
      <w:lang w:val="zh-TW" w:eastAsia="zh-TW" w:bidi="zh-TW"/>
    </w:rPr>
  </w:style>
  <w:style w:type="paragraph" w:customStyle="1" w:styleId="37">
    <w:name w:val="Other|2"/>
    <w:basedOn w:val="1"/>
    <w:link w:val="36"/>
    <w:qFormat/>
    <w:uiPriority w:val="0"/>
    <w:pPr>
      <w:jc w:val="center"/>
    </w:pPr>
    <w:rPr>
      <w:rFonts w:ascii="宋体" w:hAnsi="宋体" w:cs="宋体"/>
      <w:sz w:val="20"/>
      <w:szCs w:val="20"/>
      <w:lang w:val="zh-TW" w:eastAsia="zh-TW" w:bidi="zh-TW"/>
    </w:rPr>
  </w:style>
  <w:style w:type="character" w:customStyle="1" w:styleId="38">
    <w:name w:val="font21"/>
    <w:basedOn w:val="21"/>
    <w:qFormat/>
    <w:uiPriority w:val="0"/>
    <w:rPr>
      <w:rFonts w:hint="eastAsia" w:ascii="宋体" w:hAnsi="宋体" w:eastAsia="宋体" w:cs="宋体"/>
      <w:color w:val="000000"/>
      <w:sz w:val="28"/>
      <w:szCs w:val="28"/>
      <w:u w:val="none"/>
    </w:rPr>
  </w:style>
  <w:style w:type="character" w:customStyle="1" w:styleId="39">
    <w:name w:val="标题 1 字符"/>
    <w:basedOn w:val="21"/>
    <w:link w:val="3"/>
    <w:qFormat/>
    <w:uiPriority w:val="9"/>
    <w:rPr>
      <w:rFonts w:ascii="Times New Roman" w:hAnsi="Times New Roman" w:eastAsia="方正小标宋简体" w:cs="Times New Roman"/>
      <w:bCs/>
      <w:kern w:val="44"/>
      <w:sz w:val="44"/>
      <w:szCs w:val="44"/>
    </w:rPr>
  </w:style>
  <w:style w:type="paragraph" w:customStyle="1" w:styleId="40">
    <w:name w:val="TOC 标题1"/>
    <w:basedOn w:val="3"/>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66091" w:themeColor="accent1" w:themeShade="BF"/>
      <w:kern w:val="0"/>
      <w:sz w:val="28"/>
      <w:szCs w:val="28"/>
    </w:rPr>
  </w:style>
  <w:style w:type="character" w:customStyle="1" w:styleId="41">
    <w:name w:val="标题 字符"/>
    <w:qFormat/>
    <w:uiPriority w:val="0"/>
    <w:rPr>
      <w:rFonts w:ascii="Times New Roman" w:hAnsi="Times New Roman" w:eastAsia="黑体" w:cs="Times New Roman"/>
      <w:bCs/>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71CD3-B06C-474A-91C1-A54255825566}">
  <ds:schemaRefs/>
</ds:datastoreItem>
</file>

<file path=docProps/app.xml><?xml version="1.0" encoding="utf-8"?>
<Properties xmlns="http://schemas.openxmlformats.org/officeDocument/2006/extended-properties" xmlns:vt="http://schemas.openxmlformats.org/officeDocument/2006/docPropsVTypes">
  <Template>Normal</Template>
  <Pages>19</Pages>
  <Words>9700</Words>
  <Characters>10391</Characters>
  <Lines>80</Lines>
  <Paragraphs>22</Paragraphs>
  <TotalTime>57</TotalTime>
  <ScaleCrop>false</ScaleCrop>
  <LinksUpToDate>false</LinksUpToDate>
  <CharactersWithSpaces>10489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2022-05-30T00:55:00Z</dcterms:created>
  <dc:creator>user</dc:creator>
  <cp:lastModifiedBy>欣欣向荣</cp:lastModifiedBy>
  <cp:lastPrinted>2020-06-11T07:39:00Z</cp:lastPrinted>
  <dcterms:modified xsi:type="dcterms:W3CDTF">2022-08-24T08:06:29Z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F47DA03CD45B46B5873FFE505BAE9F1F</vt:lpwstr>
  </property>
</Properties>
</file>