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849" w:type="dxa"/>
        <w:tblInd w:w="0" w:type="dxa"/>
        <w:tblLayout w:type="autofit"/>
        <w:tblCellMar>
          <w:top w:w="0" w:type="dxa"/>
          <w:left w:w="108" w:type="dxa"/>
          <w:bottom w:w="0" w:type="dxa"/>
          <w:right w:w="108" w:type="dxa"/>
        </w:tblCellMar>
      </w:tblPr>
      <w:tblGrid>
        <w:gridCol w:w="566"/>
        <w:gridCol w:w="703"/>
        <w:gridCol w:w="1236"/>
        <w:gridCol w:w="1801"/>
        <w:gridCol w:w="1751"/>
        <w:gridCol w:w="1752"/>
        <w:gridCol w:w="1536"/>
        <w:gridCol w:w="1561"/>
        <w:gridCol w:w="943"/>
        <w:gridCol w:w="943"/>
        <w:gridCol w:w="1116"/>
        <w:gridCol w:w="1"/>
      </w:tblGrid>
      <w:tr>
        <w:tblPrEx>
          <w:tblCellMar>
            <w:top w:w="0" w:type="dxa"/>
            <w:left w:w="108" w:type="dxa"/>
            <w:bottom w:w="0" w:type="dxa"/>
            <w:right w:w="108" w:type="dxa"/>
          </w:tblCellMar>
        </w:tblPrEx>
        <w:trPr>
          <w:trHeight w:val="405" w:hRule="atLeast"/>
        </w:trPr>
        <w:tc>
          <w:tcPr>
            <w:tcW w:w="13849" w:type="dxa"/>
            <w:gridSpan w:val="12"/>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bookmarkStart w:id="0" w:name="RANGE!A1:K24"/>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bookmarkEnd w:id="0"/>
          </w:p>
        </w:tc>
      </w:tr>
      <w:tr>
        <w:tblPrEx>
          <w:tblCellMar>
            <w:top w:w="0" w:type="dxa"/>
            <w:left w:w="108" w:type="dxa"/>
            <w:bottom w:w="0" w:type="dxa"/>
            <w:right w:w="108" w:type="dxa"/>
          </w:tblCellMar>
        </w:tblPrEx>
        <w:trPr>
          <w:trHeight w:val="270" w:hRule="atLeast"/>
        </w:trPr>
        <w:tc>
          <w:tcPr>
            <w:tcW w:w="13849" w:type="dxa"/>
            <w:gridSpan w:val="12"/>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（2020年度）</w:t>
            </w:r>
          </w:p>
        </w:tc>
      </w:tr>
      <w:tr>
        <w:tblPrEx>
          <w:tblCellMar>
            <w:top w:w="0" w:type="dxa"/>
            <w:left w:w="108" w:type="dxa"/>
            <w:bottom w:w="0" w:type="dxa"/>
            <w:right w:w="108" w:type="dxa"/>
          </w:tblCellMar>
        </w:tblPrEx>
        <w:trPr>
          <w:gridAfter w:val="1"/>
          <w:wAfter w:w="7" w:type="dxa"/>
          <w:trHeight w:val="270" w:hRule="atLeast"/>
        </w:trPr>
        <w:tc>
          <w:tcPr>
            <w:tcW w:w="566" w:type="dxa"/>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p>
        </w:tc>
        <w:tc>
          <w:tcPr>
            <w:tcW w:w="703" w:type="dxa"/>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1235" w:type="dxa"/>
            <w:tcBorders>
              <w:top w:val="nil"/>
              <w:left w:val="nil"/>
              <w:bottom w:val="nil"/>
              <w:right w:val="nil"/>
            </w:tcBorders>
            <w:shd w:val="clear" w:color="auto" w:fill="auto"/>
            <w:vAlign w:val="center"/>
          </w:tcPr>
          <w:p>
            <w:pPr>
              <w:widowControl/>
              <w:jc w:val="center"/>
              <w:rPr>
                <w:rFonts w:ascii="Times New Roman" w:hAnsi="Times New Roman" w:eastAsia="Times New Roman" w:cs="Times New Roman"/>
                <w:kern w:val="0"/>
                <w:sz w:val="20"/>
                <w:szCs w:val="20"/>
              </w:rPr>
            </w:pPr>
          </w:p>
        </w:tc>
        <w:tc>
          <w:tcPr>
            <w:tcW w:w="1801" w:type="dxa"/>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1750" w:type="dxa"/>
            <w:tcBorders>
              <w:top w:val="nil"/>
              <w:left w:val="nil"/>
              <w:bottom w:val="nil"/>
              <w:right w:val="nil"/>
            </w:tcBorders>
            <w:shd w:val="clear" w:color="auto" w:fill="auto"/>
            <w:vAlign w:val="center"/>
          </w:tcPr>
          <w:p>
            <w:pPr>
              <w:widowControl/>
              <w:jc w:val="center"/>
              <w:rPr>
                <w:rFonts w:ascii="Times New Roman" w:hAnsi="Times New Roman" w:eastAsia="Times New Roman" w:cs="Times New Roman"/>
                <w:kern w:val="0"/>
                <w:sz w:val="20"/>
                <w:szCs w:val="20"/>
              </w:rPr>
            </w:pPr>
          </w:p>
        </w:tc>
        <w:tc>
          <w:tcPr>
            <w:tcW w:w="1750" w:type="dxa"/>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1475" w:type="dxa"/>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1561" w:type="dxa"/>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943" w:type="dxa"/>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943" w:type="dxa"/>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1115" w:type="dxa"/>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438" w:hRule="atLeast"/>
        </w:trPr>
        <w:tc>
          <w:tcPr>
            <w:tcW w:w="250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项目名称</w:t>
            </w:r>
          </w:p>
        </w:tc>
        <w:tc>
          <w:tcPr>
            <w:tcW w:w="11343" w:type="dxa"/>
            <w:gridSpan w:val="9"/>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人才培养质量建设-高水平人才交叉培养计划-外培计划</w:t>
            </w:r>
          </w:p>
        </w:tc>
      </w:tr>
      <w:tr>
        <w:tblPrEx>
          <w:tblCellMar>
            <w:top w:w="0" w:type="dxa"/>
            <w:left w:w="108" w:type="dxa"/>
            <w:bottom w:w="0" w:type="dxa"/>
            <w:right w:w="108" w:type="dxa"/>
          </w:tblCellMar>
        </w:tblPrEx>
        <w:trPr>
          <w:trHeight w:val="438" w:hRule="atLeast"/>
        </w:trPr>
        <w:tc>
          <w:tcPr>
            <w:tcW w:w="250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主管部门</w:t>
            </w:r>
          </w:p>
        </w:tc>
        <w:tc>
          <w:tcPr>
            <w:tcW w:w="530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北京市教育委员会</w:t>
            </w:r>
          </w:p>
        </w:tc>
        <w:tc>
          <w:tcPr>
            <w:tcW w:w="14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实施单位</w:t>
            </w:r>
          </w:p>
        </w:tc>
        <w:tc>
          <w:tcPr>
            <w:tcW w:w="4564" w:type="dxa"/>
            <w:gridSpan w:val="5"/>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北京第二外国语学院</w:t>
            </w:r>
          </w:p>
        </w:tc>
      </w:tr>
      <w:tr>
        <w:tblPrEx>
          <w:tblCellMar>
            <w:top w:w="0" w:type="dxa"/>
            <w:left w:w="108" w:type="dxa"/>
            <w:bottom w:w="0" w:type="dxa"/>
            <w:right w:w="108" w:type="dxa"/>
          </w:tblCellMar>
        </w:tblPrEx>
        <w:trPr>
          <w:trHeight w:val="438" w:hRule="atLeast"/>
        </w:trPr>
        <w:tc>
          <w:tcPr>
            <w:tcW w:w="2505"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项目负责人</w:t>
            </w:r>
          </w:p>
        </w:tc>
        <w:tc>
          <w:tcPr>
            <w:tcW w:w="530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曲鑫</w:t>
            </w:r>
          </w:p>
        </w:tc>
        <w:tc>
          <w:tcPr>
            <w:tcW w:w="14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4564" w:type="dxa"/>
            <w:gridSpan w:val="5"/>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65778285</w:t>
            </w:r>
          </w:p>
        </w:tc>
      </w:tr>
      <w:tr>
        <w:tblPrEx>
          <w:tblCellMar>
            <w:top w:w="0" w:type="dxa"/>
            <w:left w:w="108" w:type="dxa"/>
            <w:bottom w:w="0" w:type="dxa"/>
            <w:right w:w="108" w:type="dxa"/>
          </w:tblCellMar>
        </w:tblPrEx>
        <w:trPr>
          <w:gridAfter w:val="1"/>
          <w:wAfter w:w="5" w:type="dxa"/>
          <w:trHeight w:val="566" w:hRule="atLeast"/>
        </w:trPr>
        <w:tc>
          <w:tcPr>
            <w:tcW w:w="250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项目资金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3552"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年初预算数</w:t>
            </w:r>
            <w:bookmarkStart w:id="1" w:name="_GoBack"/>
            <w:bookmarkEnd w:id="1"/>
          </w:p>
        </w:tc>
        <w:tc>
          <w:tcPr>
            <w:tcW w:w="14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15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9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9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CellMar>
            <w:top w:w="0" w:type="dxa"/>
            <w:left w:w="108" w:type="dxa"/>
            <w:bottom w:w="0" w:type="dxa"/>
            <w:right w:w="108" w:type="dxa"/>
          </w:tblCellMar>
        </w:tblPrEx>
        <w:trPr>
          <w:gridAfter w:val="1"/>
          <w:wAfter w:w="5" w:type="dxa"/>
          <w:trHeight w:val="420" w:hRule="atLeast"/>
        </w:trPr>
        <w:tc>
          <w:tcPr>
            <w:tcW w:w="250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552"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17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    3,248.690696 </w:t>
            </w:r>
          </w:p>
        </w:tc>
        <w:tc>
          <w:tcPr>
            <w:tcW w:w="14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 2,457.588891 </w:t>
            </w:r>
          </w:p>
        </w:tc>
        <w:tc>
          <w:tcPr>
            <w:tcW w:w="156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  2,323.825108 </w:t>
            </w:r>
          </w:p>
        </w:tc>
        <w:tc>
          <w:tcPr>
            <w:tcW w:w="9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9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94.56%</w:t>
            </w:r>
          </w:p>
        </w:tc>
        <w:tc>
          <w:tcPr>
            <w:tcW w:w="111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9.46</w:t>
            </w:r>
          </w:p>
        </w:tc>
      </w:tr>
      <w:tr>
        <w:tblPrEx>
          <w:tblCellMar>
            <w:top w:w="0" w:type="dxa"/>
            <w:left w:w="108" w:type="dxa"/>
            <w:bottom w:w="0" w:type="dxa"/>
            <w:right w:w="108" w:type="dxa"/>
          </w:tblCellMar>
        </w:tblPrEx>
        <w:trPr>
          <w:gridAfter w:val="1"/>
          <w:wAfter w:w="5" w:type="dxa"/>
          <w:trHeight w:val="420" w:hRule="atLeast"/>
        </w:trPr>
        <w:tc>
          <w:tcPr>
            <w:tcW w:w="250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552"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其中：当年财政拨款</w:t>
            </w:r>
          </w:p>
        </w:tc>
        <w:tc>
          <w:tcPr>
            <w:tcW w:w="17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    3,248.690696 </w:t>
            </w:r>
          </w:p>
        </w:tc>
        <w:tc>
          <w:tcPr>
            <w:tcW w:w="14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 2,457.588891 </w:t>
            </w:r>
          </w:p>
        </w:tc>
        <w:tc>
          <w:tcPr>
            <w:tcW w:w="156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  2,323.825108 </w:t>
            </w:r>
          </w:p>
        </w:tc>
        <w:tc>
          <w:tcPr>
            <w:tcW w:w="9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9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94.56%</w:t>
            </w:r>
          </w:p>
        </w:tc>
        <w:tc>
          <w:tcPr>
            <w:tcW w:w="111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gridAfter w:val="1"/>
          <w:wAfter w:w="5" w:type="dxa"/>
          <w:trHeight w:val="420" w:hRule="atLeast"/>
        </w:trPr>
        <w:tc>
          <w:tcPr>
            <w:tcW w:w="250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55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上年结转资金</w:t>
            </w:r>
          </w:p>
        </w:tc>
        <w:tc>
          <w:tcPr>
            <w:tcW w:w="17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6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9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9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1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gridAfter w:val="1"/>
          <w:wAfter w:w="5" w:type="dxa"/>
          <w:trHeight w:val="420" w:hRule="atLeast"/>
        </w:trPr>
        <w:tc>
          <w:tcPr>
            <w:tcW w:w="250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55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17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6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9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9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1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66" w:hRule="atLeast"/>
        </w:trPr>
        <w:tc>
          <w:tcPr>
            <w:tcW w:w="566" w:type="dxa"/>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724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6040"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w:t>
            </w:r>
          </w:p>
        </w:tc>
      </w:tr>
      <w:tr>
        <w:tblPrEx>
          <w:tblCellMar>
            <w:top w:w="0" w:type="dxa"/>
            <w:left w:w="108" w:type="dxa"/>
            <w:bottom w:w="0" w:type="dxa"/>
            <w:right w:w="108" w:type="dxa"/>
          </w:tblCellMar>
        </w:tblPrEx>
        <w:trPr>
          <w:trHeight w:val="3427" w:hRule="atLeast"/>
        </w:trPr>
        <w:tc>
          <w:tcPr>
            <w:tcW w:w="5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242"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拟资助派出我校2019级翻译专业、贸易经济专业、旅游管理专业、酒店管理专业、市场营销专业和财务管理专业的48名优秀本科生分别前往美国州立大学宾汉姆顿大学、美国南卡罗来纳大学、美国芝加哥哥伦比亚学院、美国密苏里大学堪萨斯分校分别进行翻译、国际艺术管理、演艺文化管理、国际视觉艺术管理、旅游管理、酒店管理、商务管理与经济等专业学习。</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继续支持已在美国纽约大学宾汉姆顿分校（40人）、美国南卡罗来纳大学（40人）、美国芝加哥哥伦比亚学院（25人）、美国密苏里大学堪萨斯分校（20人）</w:t>
            </w:r>
            <w:r>
              <w:rPr>
                <w:rFonts w:hint="eastAsia" w:ascii="宋体" w:hAnsi="宋体" w:eastAsia="宋体" w:cs="宋体"/>
                <w:color w:val="000000"/>
                <w:kern w:val="0"/>
                <w:sz w:val="22"/>
                <w:lang w:eastAsia="zh-CN"/>
              </w:rPr>
              <w:t>学习党的</w:t>
            </w:r>
            <w:r>
              <w:rPr>
                <w:rFonts w:hint="eastAsia" w:ascii="宋体" w:hAnsi="宋体" w:eastAsia="宋体" w:cs="宋体"/>
                <w:color w:val="000000"/>
                <w:kern w:val="0"/>
                <w:sz w:val="22"/>
              </w:rPr>
              <w:t>125名外培生相关费用。</w:t>
            </w:r>
          </w:p>
        </w:tc>
        <w:tc>
          <w:tcPr>
            <w:tcW w:w="6040" w:type="dxa"/>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目标一：经费已用于支持2019级外培学生到美国高校学习学费。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目标二：学校国际化办学水平进一步深化。</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目标三：借助项目，学生视野得到开拓，专业能力和跨文化交流能力得到提升，为成为复合型国际化人才打下坚实基础。"</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目标四：经费已用于支持2016级、2017级和2018级84名外培学生在美国高校学习学费、1名外培生贫困补助费用，以及14名学生返京机票费用。</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目标五：学校国际化办学水平进一步深化。</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目标六：借助项目，学生视野得到开拓，专业能力和跨文化交流能力得到提升，为成为复合型国际化人才打下坚实基础。"</w:t>
            </w:r>
          </w:p>
        </w:tc>
      </w:tr>
      <w:tr>
        <w:tblPrEx>
          <w:tblCellMar>
            <w:top w:w="0" w:type="dxa"/>
            <w:left w:w="108" w:type="dxa"/>
            <w:bottom w:w="0" w:type="dxa"/>
            <w:right w:w="108" w:type="dxa"/>
          </w:tblCellMar>
        </w:tblPrEx>
        <w:trPr>
          <w:gridAfter w:val="1"/>
          <w:wAfter w:w="5" w:type="dxa"/>
          <w:trHeight w:val="20" w:hRule="atLeast"/>
        </w:trPr>
        <w:tc>
          <w:tcPr>
            <w:tcW w:w="566" w:type="dxa"/>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tc>
        <w:tc>
          <w:tcPr>
            <w:tcW w:w="70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一级指标</w:t>
            </w:r>
          </w:p>
        </w:tc>
        <w:tc>
          <w:tcPr>
            <w:tcW w:w="123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二级指标</w:t>
            </w:r>
          </w:p>
        </w:tc>
        <w:tc>
          <w:tcPr>
            <w:tcW w:w="18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三级指标</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年度指标值</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实际完成值</w:t>
            </w:r>
          </w:p>
        </w:tc>
        <w:tc>
          <w:tcPr>
            <w:tcW w:w="14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156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c>
          <w:tcPr>
            <w:tcW w:w="300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偏差原因分析及改进</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措施</w:t>
            </w:r>
          </w:p>
        </w:tc>
      </w:tr>
      <w:tr>
        <w:tblPrEx>
          <w:tblCellMar>
            <w:top w:w="0" w:type="dxa"/>
            <w:left w:w="108" w:type="dxa"/>
            <w:bottom w:w="0" w:type="dxa"/>
            <w:right w:w="108" w:type="dxa"/>
          </w:tblCellMar>
        </w:tblPrEx>
        <w:trPr>
          <w:gridAfter w:val="1"/>
          <w:wAfter w:w="5" w:type="dxa"/>
          <w:trHeight w:val="20" w:hRule="atLeast"/>
        </w:trPr>
        <w:tc>
          <w:tcPr>
            <w:tcW w:w="5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产出指标（50分）</w:t>
            </w:r>
          </w:p>
        </w:tc>
        <w:tc>
          <w:tcPr>
            <w:tcW w:w="12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数量指标</w:t>
            </w:r>
          </w:p>
        </w:tc>
        <w:tc>
          <w:tcPr>
            <w:tcW w:w="18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外派学生数</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37</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37</w:t>
            </w:r>
          </w:p>
        </w:tc>
        <w:tc>
          <w:tcPr>
            <w:tcW w:w="14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56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00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按原定的派出计划，</w:t>
            </w:r>
            <w:r>
              <w:rPr>
                <w:rFonts w:ascii="宋体" w:hAnsi="宋体" w:eastAsia="宋体" w:cs="宋体"/>
                <w:color w:val="000000"/>
                <w:kern w:val="0"/>
                <w:sz w:val="16"/>
                <w:szCs w:val="16"/>
              </w:rPr>
              <w:t>2019级的</w:t>
            </w:r>
            <w:r>
              <w:rPr>
                <w:rFonts w:hint="eastAsia" w:ascii="宋体" w:hAnsi="宋体" w:eastAsia="宋体" w:cs="宋体"/>
                <w:color w:val="000000"/>
                <w:kern w:val="0"/>
                <w:sz w:val="16"/>
                <w:szCs w:val="16"/>
              </w:rPr>
              <w:t>48名</w:t>
            </w:r>
            <w:r>
              <w:rPr>
                <w:rFonts w:ascii="宋体" w:hAnsi="宋体" w:eastAsia="宋体" w:cs="宋体"/>
                <w:color w:val="000000"/>
                <w:kern w:val="0"/>
                <w:sz w:val="16"/>
                <w:szCs w:val="16"/>
              </w:rPr>
              <w:t>外培生应该在20</w:t>
            </w:r>
            <w:r>
              <w:rPr>
                <w:rFonts w:hint="eastAsia" w:ascii="宋体" w:hAnsi="宋体" w:eastAsia="宋体" w:cs="宋体"/>
                <w:color w:val="000000"/>
                <w:kern w:val="0"/>
                <w:sz w:val="16"/>
                <w:szCs w:val="16"/>
              </w:rPr>
              <w:t>20</w:t>
            </w:r>
            <w:r>
              <w:rPr>
                <w:rFonts w:ascii="宋体" w:hAnsi="宋体" w:eastAsia="宋体" w:cs="宋体"/>
                <w:color w:val="000000"/>
                <w:kern w:val="0"/>
                <w:sz w:val="16"/>
                <w:szCs w:val="16"/>
              </w:rPr>
              <w:t>年的</w:t>
            </w:r>
            <w:r>
              <w:rPr>
                <w:rFonts w:hint="eastAsia" w:ascii="宋体" w:hAnsi="宋体" w:eastAsia="宋体" w:cs="宋体"/>
                <w:color w:val="000000"/>
                <w:kern w:val="0"/>
                <w:sz w:val="16"/>
                <w:szCs w:val="16"/>
              </w:rPr>
              <w:t>8</w:t>
            </w:r>
            <w:r>
              <w:rPr>
                <w:rFonts w:ascii="宋体" w:hAnsi="宋体" w:eastAsia="宋体" w:cs="宋体"/>
                <w:color w:val="000000"/>
                <w:kern w:val="0"/>
                <w:sz w:val="16"/>
                <w:szCs w:val="16"/>
              </w:rPr>
              <w:t>月份之前达到外方学校的语言入学标准，但是由于疫情，雅思托福考试取消等原因，有11名学生没能达到入学标准，没有及时取得入学资格，</w:t>
            </w:r>
            <w:r>
              <w:rPr>
                <w:rFonts w:hint="eastAsia" w:ascii="宋体" w:hAnsi="宋体" w:eastAsia="宋体" w:cs="宋体"/>
                <w:color w:val="000000"/>
                <w:kern w:val="0"/>
                <w:sz w:val="16"/>
                <w:szCs w:val="16"/>
              </w:rPr>
              <w:t>学校</w:t>
            </w:r>
            <w:r>
              <w:rPr>
                <w:rFonts w:ascii="宋体" w:hAnsi="宋体" w:eastAsia="宋体" w:cs="宋体"/>
                <w:color w:val="000000"/>
                <w:kern w:val="0"/>
                <w:sz w:val="16"/>
                <w:szCs w:val="16"/>
              </w:rPr>
              <w:t>向市教委</w:t>
            </w:r>
            <w:r>
              <w:rPr>
                <w:rFonts w:hint="eastAsia" w:ascii="宋体" w:hAnsi="宋体" w:eastAsia="宋体" w:cs="宋体"/>
                <w:color w:val="000000"/>
                <w:kern w:val="0"/>
                <w:sz w:val="16"/>
                <w:szCs w:val="16"/>
              </w:rPr>
              <w:t>汇报</w:t>
            </w:r>
            <w:r>
              <w:rPr>
                <w:rFonts w:ascii="宋体" w:hAnsi="宋体" w:eastAsia="宋体" w:cs="宋体"/>
                <w:color w:val="000000"/>
                <w:kern w:val="0"/>
                <w:sz w:val="16"/>
                <w:szCs w:val="16"/>
              </w:rPr>
              <w:t>，市教委批复同意这11名学生延期入学，考取语言资格的时间截止日期延到</w:t>
            </w:r>
            <w:r>
              <w:rPr>
                <w:rFonts w:hint="eastAsia" w:ascii="宋体" w:hAnsi="宋体" w:eastAsia="宋体" w:cs="宋体"/>
                <w:color w:val="000000"/>
                <w:kern w:val="0"/>
                <w:sz w:val="16"/>
                <w:szCs w:val="16"/>
              </w:rPr>
              <w:t>20</w:t>
            </w:r>
            <w:r>
              <w:rPr>
                <w:rFonts w:ascii="宋体" w:hAnsi="宋体" w:eastAsia="宋体" w:cs="宋体"/>
                <w:color w:val="000000"/>
                <w:kern w:val="0"/>
                <w:sz w:val="16"/>
                <w:szCs w:val="16"/>
              </w:rPr>
              <w:t>21年</w:t>
            </w:r>
            <w:r>
              <w:rPr>
                <w:rFonts w:hint="eastAsia" w:ascii="宋体" w:hAnsi="宋体" w:eastAsia="宋体" w:cs="宋体"/>
                <w:color w:val="000000"/>
                <w:kern w:val="0"/>
                <w:sz w:val="16"/>
                <w:szCs w:val="16"/>
              </w:rPr>
              <w:t>1</w:t>
            </w:r>
            <w:r>
              <w:rPr>
                <w:rFonts w:ascii="宋体" w:hAnsi="宋体" w:eastAsia="宋体" w:cs="宋体"/>
                <w:color w:val="000000"/>
                <w:kern w:val="0"/>
                <w:sz w:val="16"/>
                <w:szCs w:val="16"/>
              </w:rPr>
              <w:t>月份，这</w:t>
            </w:r>
            <w:r>
              <w:rPr>
                <w:rFonts w:hint="eastAsia" w:ascii="宋体" w:hAnsi="宋体" w:eastAsia="宋体" w:cs="宋体"/>
                <w:color w:val="000000"/>
                <w:kern w:val="0"/>
                <w:sz w:val="16"/>
                <w:szCs w:val="16"/>
              </w:rPr>
              <w:t>11名</w:t>
            </w:r>
            <w:r>
              <w:rPr>
                <w:rFonts w:ascii="宋体" w:hAnsi="宋体" w:eastAsia="宋体" w:cs="宋体"/>
                <w:color w:val="000000"/>
                <w:kern w:val="0"/>
                <w:sz w:val="16"/>
                <w:szCs w:val="16"/>
              </w:rPr>
              <w:t>还没有被确定录取学生的学费没有支付</w:t>
            </w:r>
            <w:r>
              <w:rPr>
                <w:rFonts w:hint="eastAsia" w:ascii="宋体" w:hAnsi="宋体" w:eastAsia="宋体" w:cs="宋体"/>
                <w:color w:val="000000"/>
                <w:kern w:val="0"/>
                <w:sz w:val="16"/>
                <w:szCs w:val="16"/>
              </w:rPr>
              <w:t>。　</w:t>
            </w:r>
          </w:p>
        </w:tc>
      </w:tr>
      <w:tr>
        <w:tblPrEx>
          <w:tblCellMar>
            <w:top w:w="0" w:type="dxa"/>
            <w:left w:w="108" w:type="dxa"/>
            <w:bottom w:w="0" w:type="dxa"/>
            <w:right w:w="108" w:type="dxa"/>
          </w:tblCellMar>
        </w:tblPrEx>
        <w:trPr>
          <w:gridAfter w:val="1"/>
          <w:wAfter w:w="5" w:type="dxa"/>
          <w:trHeight w:val="20" w:hRule="atLeast"/>
        </w:trPr>
        <w:tc>
          <w:tcPr>
            <w:tcW w:w="5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外派学生数</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125</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99</w:t>
            </w:r>
          </w:p>
        </w:tc>
        <w:tc>
          <w:tcPr>
            <w:tcW w:w="14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56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300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受疫情影响，派出学生数减少，经费已用于支持2016级、2017级和2018级84名外培学生在美国高校学习学费、1名外培生贫困补助费用，以及14名学生返京机票费用。</w:t>
            </w:r>
          </w:p>
        </w:tc>
      </w:tr>
      <w:tr>
        <w:tblPrEx>
          <w:tblCellMar>
            <w:top w:w="0" w:type="dxa"/>
            <w:left w:w="108" w:type="dxa"/>
            <w:bottom w:w="0" w:type="dxa"/>
            <w:right w:w="108" w:type="dxa"/>
          </w:tblCellMar>
        </w:tblPrEx>
        <w:trPr>
          <w:gridAfter w:val="1"/>
          <w:wAfter w:w="5" w:type="dxa"/>
          <w:trHeight w:val="20" w:hRule="atLeast"/>
        </w:trPr>
        <w:tc>
          <w:tcPr>
            <w:tcW w:w="5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3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质量指标</w:t>
            </w:r>
          </w:p>
        </w:tc>
        <w:tc>
          <w:tcPr>
            <w:tcW w:w="18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≥98%</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≥98%</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98%</w:t>
            </w:r>
          </w:p>
        </w:tc>
        <w:tc>
          <w:tcPr>
            <w:tcW w:w="14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56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300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tblPrEx>
          <w:tblCellMar>
            <w:top w:w="0" w:type="dxa"/>
            <w:left w:w="108" w:type="dxa"/>
            <w:bottom w:w="0" w:type="dxa"/>
            <w:right w:w="108" w:type="dxa"/>
          </w:tblCellMar>
        </w:tblPrEx>
        <w:trPr>
          <w:gridAfter w:val="1"/>
          <w:wAfter w:w="5" w:type="dxa"/>
          <w:trHeight w:val="20" w:hRule="atLeast"/>
        </w:trPr>
        <w:tc>
          <w:tcPr>
            <w:tcW w:w="5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时效指标</w:t>
            </w:r>
          </w:p>
        </w:tc>
        <w:tc>
          <w:tcPr>
            <w:tcW w:w="18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2020年内完成</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2020年内完成</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2020年内完成</w:t>
            </w:r>
          </w:p>
        </w:tc>
        <w:tc>
          <w:tcPr>
            <w:tcW w:w="1475"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00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tblPrEx>
          <w:tblCellMar>
            <w:top w:w="0" w:type="dxa"/>
            <w:left w:w="108" w:type="dxa"/>
            <w:bottom w:w="0" w:type="dxa"/>
            <w:right w:w="108" w:type="dxa"/>
          </w:tblCellMar>
        </w:tblPrEx>
        <w:trPr>
          <w:gridAfter w:val="1"/>
          <w:wAfter w:w="5" w:type="dxa"/>
          <w:trHeight w:val="20" w:hRule="atLeast"/>
        </w:trPr>
        <w:tc>
          <w:tcPr>
            <w:tcW w:w="5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成本指标</w:t>
            </w:r>
          </w:p>
        </w:tc>
        <w:tc>
          <w:tcPr>
            <w:tcW w:w="18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控制在总预算内</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总成本控制</w:t>
            </w:r>
          </w:p>
        </w:tc>
        <w:tc>
          <w:tcPr>
            <w:tcW w:w="17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2323.825108</w:t>
            </w:r>
          </w:p>
        </w:tc>
        <w:tc>
          <w:tcPr>
            <w:tcW w:w="1475"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00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tblPrEx>
          <w:tblCellMar>
            <w:top w:w="0" w:type="dxa"/>
            <w:left w:w="108" w:type="dxa"/>
            <w:bottom w:w="0" w:type="dxa"/>
            <w:right w:w="108" w:type="dxa"/>
          </w:tblCellMar>
        </w:tblPrEx>
        <w:trPr>
          <w:gridAfter w:val="1"/>
          <w:wAfter w:w="5" w:type="dxa"/>
          <w:trHeight w:val="20" w:hRule="atLeast"/>
        </w:trPr>
        <w:tc>
          <w:tcPr>
            <w:tcW w:w="5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（30分）效益指标</w:t>
            </w: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4"/>
                <w:szCs w:val="24"/>
              </w:rPr>
              <w:t>经济效益</w:t>
            </w:r>
          </w:p>
        </w:tc>
        <w:tc>
          <w:tcPr>
            <w:tcW w:w="18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4"/>
                <w:szCs w:val="24"/>
              </w:rPr>
              <w:t>经济效益</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经项目培养，可为北京市经济社会发展提供有力人才支撑。</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经项目培养，带动了学校以人才培养工作为中心的教育教学改革，全面提升了学校的办学水平，为北京市经济社会发展提供有力人才支撑。</w:t>
            </w:r>
          </w:p>
        </w:tc>
        <w:tc>
          <w:tcPr>
            <w:tcW w:w="147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56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300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tblPrEx>
          <w:tblCellMar>
            <w:top w:w="0" w:type="dxa"/>
            <w:left w:w="108" w:type="dxa"/>
            <w:bottom w:w="0" w:type="dxa"/>
            <w:right w:w="108" w:type="dxa"/>
          </w:tblCellMar>
        </w:tblPrEx>
        <w:trPr>
          <w:gridAfter w:val="1"/>
          <w:wAfter w:w="5" w:type="dxa"/>
          <w:trHeight w:val="20" w:hRule="atLeast"/>
        </w:trPr>
        <w:tc>
          <w:tcPr>
            <w:tcW w:w="5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4"/>
                <w:szCs w:val="24"/>
              </w:rPr>
              <w:t>社会效益</w:t>
            </w:r>
          </w:p>
        </w:tc>
        <w:tc>
          <w:tcPr>
            <w:tcW w:w="18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4"/>
                <w:szCs w:val="24"/>
              </w:rPr>
              <w:t>社会效益</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外培计划的实施，响应首都群众对优质高等教育资源的需求和期望，共享改革红利，有良好的社会效应。</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外培计划的实施，响应首都群众对优质高等教育资源的需求和期望，共享改革红利。该项目提升了学校以外国语言文学和旅游管理为优势的学科建设特色，有利于国际视野的复合型人才的培养，有良好的社会效应。</w:t>
            </w:r>
          </w:p>
        </w:tc>
        <w:tc>
          <w:tcPr>
            <w:tcW w:w="147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56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300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tblPrEx>
          <w:tblCellMar>
            <w:top w:w="0" w:type="dxa"/>
            <w:left w:w="108" w:type="dxa"/>
            <w:bottom w:w="0" w:type="dxa"/>
            <w:right w:w="108" w:type="dxa"/>
          </w:tblCellMar>
        </w:tblPrEx>
        <w:trPr>
          <w:gridAfter w:val="1"/>
          <w:wAfter w:w="5" w:type="dxa"/>
          <w:trHeight w:val="20" w:hRule="atLeast"/>
        </w:trPr>
        <w:tc>
          <w:tcPr>
            <w:tcW w:w="5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可持续影响</w:t>
            </w:r>
          </w:p>
        </w:tc>
        <w:tc>
          <w:tcPr>
            <w:tcW w:w="18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可持续影响</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未来三年到五年，本项目培养的相关专业人才将会对我校及北京市相关专业人才培养模式改革、支撑相关对口经济社会发展起到良好推动作用。</w:t>
            </w:r>
          </w:p>
        </w:tc>
        <w:tc>
          <w:tcPr>
            <w:tcW w:w="17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通过该项目培养的相关专业人才对学校及北京市相关专业人才培养模式改革、支撑相关对口经济社会发展起到了良好的推动作用。进一步创新了高水平人才培养机制，为将北京建设成为全国政治中心、文化中心、国际交往中心、科技创新中心做出了贡献。</w:t>
            </w:r>
          </w:p>
        </w:tc>
        <w:tc>
          <w:tcPr>
            <w:tcW w:w="147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56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300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tblPrEx>
          <w:tblCellMar>
            <w:top w:w="0" w:type="dxa"/>
            <w:left w:w="108" w:type="dxa"/>
            <w:bottom w:w="0" w:type="dxa"/>
            <w:right w:w="108" w:type="dxa"/>
          </w:tblCellMar>
        </w:tblPrEx>
        <w:trPr>
          <w:gridAfter w:val="1"/>
          <w:wAfter w:w="5" w:type="dxa"/>
          <w:trHeight w:val="20" w:hRule="atLeast"/>
        </w:trPr>
        <w:tc>
          <w:tcPr>
            <w:tcW w:w="5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03" w:type="dxa"/>
            <w:tcBorders>
              <w:top w:val="single" w:color="auto" w:sz="4" w:space="0"/>
              <w:left w:val="nil"/>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（10分）满意度指标</w:t>
            </w: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服务对象满意度指标</w:t>
            </w:r>
          </w:p>
        </w:tc>
        <w:tc>
          <w:tcPr>
            <w:tcW w:w="18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服务对象满意度</w:t>
            </w:r>
          </w:p>
        </w:tc>
        <w:tc>
          <w:tcPr>
            <w:tcW w:w="17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≥90%</w:t>
            </w:r>
          </w:p>
        </w:tc>
        <w:tc>
          <w:tcPr>
            <w:tcW w:w="17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90%</w:t>
            </w:r>
          </w:p>
        </w:tc>
        <w:tc>
          <w:tcPr>
            <w:tcW w:w="147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56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300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tblPrEx>
          <w:tblCellMar>
            <w:top w:w="0" w:type="dxa"/>
            <w:left w:w="108" w:type="dxa"/>
            <w:bottom w:w="0" w:type="dxa"/>
            <w:right w:w="108" w:type="dxa"/>
          </w:tblCellMar>
        </w:tblPrEx>
        <w:trPr>
          <w:trHeight w:val="20" w:hRule="atLeast"/>
        </w:trPr>
        <w:tc>
          <w:tcPr>
            <w:tcW w:w="7808"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147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156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81.46</w:t>
            </w:r>
          </w:p>
        </w:tc>
        <w:tc>
          <w:tcPr>
            <w:tcW w:w="3003"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3OWQyYzlhZTQ3M2E2YmI3ODIyYmE2NzBkYjQ3MTkifQ=="/>
  </w:docVars>
  <w:rsids>
    <w:rsidRoot w:val="009B47E7"/>
    <w:rsid w:val="0007766A"/>
    <w:rsid w:val="000B7A78"/>
    <w:rsid w:val="001713C6"/>
    <w:rsid w:val="003E74C8"/>
    <w:rsid w:val="00567CF6"/>
    <w:rsid w:val="005A47B5"/>
    <w:rsid w:val="00687F9D"/>
    <w:rsid w:val="00754D9E"/>
    <w:rsid w:val="008F69CE"/>
    <w:rsid w:val="009B47E7"/>
    <w:rsid w:val="00A0384B"/>
    <w:rsid w:val="00A3262D"/>
    <w:rsid w:val="00C60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284</Words>
  <Characters>1622</Characters>
  <Lines>13</Lines>
  <Paragraphs>3</Paragraphs>
  <TotalTime>18</TotalTime>
  <ScaleCrop>false</ScaleCrop>
  <LinksUpToDate>false</LinksUpToDate>
  <CharactersWithSpaces>1903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2021-05-21T04:39:00Z</dcterms:created>
  <dc:creator>雪</dc:creator>
  <cp:lastModifiedBy>苏坡云☁️</cp:lastModifiedBy>
  <dcterms:modified xsi:type="dcterms:W3CDTF">2023-12-01T07:05:54Z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846FEC33A45F4A06A275467B5C27B67C_12</vt:lpwstr>
  </property>
</Properties>
</file>