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autofit"/>
        <w:tblCellMar>
          <w:top w:w="0" w:type="dxa"/>
          <w:left w:w="108" w:type="dxa"/>
          <w:bottom w:w="0" w:type="dxa"/>
          <w:right w:w="108" w:type="dxa"/>
        </w:tblCellMar>
      </w:tblPr>
      <w:tblGrid>
        <w:gridCol w:w="528"/>
        <w:gridCol w:w="771"/>
        <w:gridCol w:w="1133"/>
        <w:gridCol w:w="1599"/>
        <w:gridCol w:w="1955"/>
        <w:gridCol w:w="1907"/>
        <w:gridCol w:w="1737"/>
        <w:gridCol w:w="1737"/>
        <w:gridCol w:w="743"/>
        <w:gridCol w:w="1228"/>
        <w:gridCol w:w="836"/>
      </w:tblGrid>
      <w:tr>
        <w:tblPrEx>
          <w:tblCellMar>
            <w:top w:w="0" w:type="dxa"/>
            <w:left w:w="108" w:type="dxa"/>
            <w:bottom w:w="0" w:type="dxa"/>
            <w:right w:w="108" w:type="dxa"/>
          </w:tblCellMar>
        </w:tblPrEx>
        <w:trPr>
          <w:trHeight w:val="395" w:hRule="atLeast"/>
        </w:trPr>
        <w:tc>
          <w:tcPr>
            <w:tcW w:w="0" w:type="auto"/>
            <w:gridSpan w:val="11"/>
            <w:tcBorders>
              <w:top w:val="nil"/>
              <w:left w:val="nil"/>
              <w:bottom w:val="nil"/>
              <w:right w:val="nil"/>
            </w:tcBorders>
            <w:shd w:val="clear" w:color="auto" w:fill="auto"/>
            <w:vAlign w:val="center"/>
          </w:tcPr>
          <w:p>
            <w:pPr>
              <w:widowControl/>
              <w:jc w:val="center"/>
              <w:rPr>
                <w:rFonts w:ascii="宋体" w:hAnsi="宋体" w:eastAsia="宋体" w:cs="宋体"/>
                <w:b/>
                <w:bCs/>
                <w:color w:val="000000"/>
                <w:kern w:val="0"/>
                <w:sz w:val="32"/>
                <w:szCs w:val="32"/>
              </w:rPr>
            </w:pPr>
            <w:r>
              <w:rPr>
                <w:rFonts w:hint="eastAsia" w:ascii="宋体" w:hAnsi="宋体" w:eastAsia="宋体" w:cs="宋体"/>
                <w:b/>
                <w:bCs/>
                <w:color w:val="000000"/>
                <w:kern w:val="0"/>
                <w:sz w:val="32"/>
                <w:szCs w:val="32"/>
              </w:rPr>
              <w:t>项目支出绩效自评表</w:t>
            </w:r>
            <w:r>
              <w:rPr>
                <w:rFonts w:hint="eastAsia" w:ascii="宋体" w:hAnsi="宋体" w:eastAsia="宋体" w:cs="宋体"/>
                <w:color w:val="000000"/>
                <w:kern w:val="0"/>
                <w:sz w:val="32"/>
                <w:szCs w:val="32"/>
              </w:rPr>
              <w:t xml:space="preserve"> </w:t>
            </w:r>
            <w:bookmarkStart w:id="0" w:name="_GoBack"/>
            <w:bookmarkEnd w:id="0"/>
          </w:p>
        </w:tc>
      </w:tr>
      <w:tr>
        <w:tblPrEx>
          <w:tblCellMar>
            <w:top w:w="0" w:type="dxa"/>
            <w:left w:w="108" w:type="dxa"/>
            <w:bottom w:w="0" w:type="dxa"/>
            <w:right w:w="108" w:type="dxa"/>
          </w:tblCellMar>
        </w:tblPrEx>
        <w:trPr>
          <w:trHeight w:val="283" w:hRule="atLeast"/>
        </w:trPr>
        <w:tc>
          <w:tcPr>
            <w:tcW w:w="0" w:type="auto"/>
            <w:gridSpan w:val="11"/>
            <w:tcBorders>
              <w:top w:val="nil"/>
              <w:left w:val="nil"/>
              <w:bottom w:val="nil"/>
              <w:right w:val="nil"/>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（2020年度）</w:t>
            </w:r>
          </w:p>
        </w:tc>
      </w:tr>
      <w:tr>
        <w:tblPrEx>
          <w:tblCellMar>
            <w:top w:w="0" w:type="dxa"/>
            <w:left w:w="108" w:type="dxa"/>
            <w:bottom w:w="0" w:type="dxa"/>
            <w:right w:w="108" w:type="dxa"/>
          </w:tblCellMar>
        </w:tblPrEx>
        <w:trPr>
          <w:trHeight w:val="283" w:hRule="atLeast"/>
        </w:trPr>
        <w:tc>
          <w:tcPr>
            <w:tcW w:w="0" w:type="auto"/>
            <w:tcBorders>
              <w:top w:val="nil"/>
              <w:left w:val="nil"/>
              <w:bottom w:val="nil"/>
              <w:right w:val="nil"/>
            </w:tcBorders>
            <w:shd w:val="clear" w:color="auto" w:fill="auto"/>
            <w:vAlign w:val="center"/>
          </w:tcPr>
          <w:p>
            <w:pPr>
              <w:widowControl/>
              <w:jc w:val="center"/>
              <w:rPr>
                <w:rFonts w:hint="eastAsia" w:ascii="宋体" w:hAnsi="宋体" w:eastAsia="宋体" w:cs="宋体"/>
                <w:color w:val="000000"/>
                <w:kern w:val="0"/>
                <w:sz w:val="22"/>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center"/>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283" w:hRule="atLeast"/>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项目名称</w:t>
            </w:r>
          </w:p>
        </w:tc>
        <w:tc>
          <w:tcPr>
            <w:tcW w:w="0" w:type="auto"/>
            <w:gridSpan w:val="8"/>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2020年农业科技项目-科技创新服务能力建设-农业科技新星计划项目</w:t>
            </w:r>
          </w:p>
        </w:tc>
      </w:tr>
      <w:tr>
        <w:tblPrEx>
          <w:tblCellMar>
            <w:top w:w="0" w:type="dxa"/>
            <w:left w:w="108" w:type="dxa"/>
            <w:bottom w:w="0" w:type="dxa"/>
            <w:right w:w="108" w:type="dxa"/>
          </w:tblCellMar>
        </w:tblPrEx>
        <w:trPr>
          <w:trHeight w:val="283" w:hRule="atLeast"/>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主管部门</w:t>
            </w:r>
          </w:p>
        </w:tc>
        <w:tc>
          <w:tcPr>
            <w:tcW w:w="0" w:type="auto"/>
            <w:gridSpan w:val="3"/>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北京市教育委员会</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实施单位</w:t>
            </w:r>
          </w:p>
        </w:tc>
        <w:tc>
          <w:tcPr>
            <w:tcW w:w="0" w:type="auto"/>
            <w:gridSpan w:val="4"/>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北京农学院</w:t>
            </w:r>
          </w:p>
        </w:tc>
      </w:tr>
      <w:tr>
        <w:tblPrEx>
          <w:tblCellMar>
            <w:top w:w="0" w:type="dxa"/>
            <w:left w:w="108" w:type="dxa"/>
            <w:bottom w:w="0" w:type="dxa"/>
            <w:right w:w="108" w:type="dxa"/>
          </w:tblCellMar>
        </w:tblPrEx>
        <w:trPr>
          <w:trHeight w:val="283" w:hRule="atLeast"/>
        </w:trPr>
        <w:tc>
          <w:tcPr>
            <w:tcW w:w="0" w:type="auto"/>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项目负责人</w:t>
            </w:r>
          </w:p>
        </w:tc>
        <w:tc>
          <w:tcPr>
            <w:tcW w:w="0" w:type="auto"/>
            <w:gridSpan w:val="3"/>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张杰</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联系电话</w:t>
            </w:r>
          </w:p>
        </w:tc>
        <w:tc>
          <w:tcPr>
            <w:tcW w:w="0" w:type="auto"/>
            <w:gridSpan w:val="4"/>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13811793796</w:t>
            </w:r>
          </w:p>
        </w:tc>
      </w:tr>
      <w:tr>
        <w:tblPrEx>
          <w:tblCellMar>
            <w:top w:w="0" w:type="dxa"/>
            <w:left w:w="108" w:type="dxa"/>
            <w:bottom w:w="0" w:type="dxa"/>
            <w:right w:w="108" w:type="dxa"/>
          </w:tblCellMar>
        </w:tblPrEx>
        <w:trPr>
          <w:trHeight w:val="395" w:hRule="atLeast"/>
        </w:trPr>
        <w:tc>
          <w:tcPr>
            <w:tcW w:w="0" w:type="auto"/>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项目资金</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(万元）</w:t>
            </w:r>
          </w:p>
        </w:tc>
        <w:tc>
          <w:tcPr>
            <w:tcW w:w="0" w:type="auto"/>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年初预算数</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全年预算数</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全年执行数</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分值</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执行率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得分</w:t>
            </w:r>
          </w:p>
        </w:tc>
      </w:tr>
      <w:tr>
        <w:tblPrEx>
          <w:tblCellMar>
            <w:top w:w="0" w:type="dxa"/>
            <w:left w:w="108" w:type="dxa"/>
            <w:bottom w:w="0" w:type="dxa"/>
            <w:right w:w="108" w:type="dxa"/>
          </w:tblCellMar>
        </w:tblPrEx>
        <w:trPr>
          <w:trHeight w:val="288" w:hRule="atLeast"/>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年度资金总额：</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50.000000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50.000000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49.779217</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99.56%</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9.9</w:t>
            </w:r>
          </w:p>
        </w:tc>
      </w:tr>
      <w:tr>
        <w:tblPrEx>
          <w:tblCellMar>
            <w:top w:w="0" w:type="dxa"/>
            <w:left w:w="108" w:type="dxa"/>
            <w:bottom w:w="0" w:type="dxa"/>
            <w:right w:w="108" w:type="dxa"/>
          </w:tblCellMar>
        </w:tblPrEx>
        <w:trPr>
          <w:trHeight w:val="283" w:hRule="atLeast"/>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xml:space="preserve">    其中：当年财政拨款</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50.000000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50.000000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49.779217</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283" w:hRule="atLeast"/>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xml:space="preserve">    上年结转资金</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324" w:hRule="atLeast"/>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xml:space="preserve">    其他资金</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397" w:hRule="atLeast"/>
        </w:trPr>
        <w:tc>
          <w:tcPr>
            <w:tcW w:w="0" w:type="auto"/>
            <w:vMerge w:val="restart"/>
            <w:tcBorders>
              <w:top w:val="nil"/>
              <w:left w:val="single" w:color="auto" w:sz="4" w:space="0"/>
              <w:bottom w:val="single" w:color="000000" w:sz="4" w:space="0"/>
              <w:right w:val="single" w:color="auto" w:sz="4" w:space="0"/>
            </w:tcBorders>
            <w:shd w:val="clear" w:color="auto" w:fill="auto"/>
            <w:noWrap/>
            <w:textDirection w:val="tbRlV"/>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年度总体目标</w:t>
            </w:r>
          </w:p>
        </w:tc>
        <w:tc>
          <w:tcPr>
            <w:tcW w:w="0" w:type="auto"/>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预期目标</w:t>
            </w:r>
          </w:p>
        </w:tc>
        <w:tc>
          <w:tcPr>
            <w:tcW w:w="0" w:type="auto"/>
            <w:gridSpan w:val="5"/>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实际完成情况</w:t>
            </w:r>
          </w:p>
        </w:tc>
      </w:tr>
      <w:tr>
        <w:tblPrEx>
          <w:tblCellMar>
            <w:top w:w="0" w:type="dxa"/>
            <w:left w:w="108" w:type="dxa"/>
            <w:bottom w:w="0" w:type="dxa"/>
            <w:right w:w="108" w:type="dxa"/>
          </w:tblCellMar>
        </w:tblPrEx>
        <w:trPr>
          <w:trHeight w:val="3403"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gridSpan w:val="5"/>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1.调研流村镇北庄村为主的5个村的需求调研，包括产业发展需求、环境整治需求及养老助残等社会服务需求。2.整合资源，链接北京农学院在科技方面的优势，开展相关的百合种植加工、民宿旅游、电商平台等专家入村入户精准服务。3.开展社会工作本科生和农村发展、社会工作专业硕士学生的驻村实习，结合该村“科技小院”培养复合型实用型人才。</w:t>
            </w:r>
            <w:r>
              <w:rPr>
                <w:rFonts w:hint="eastAsia" w:ascii="宋体" w:hAnsi="宋体" w:eastAsia="宋体" w:cs="宋体"/>
                <w:color w:val="000000"/>
                <w:kern w:val="0"/>
                <w:sz w:val="16"/>
                <w:szCs w:val="16"/>
              </w:rPr>
              <w:br w:type="textWrapping"/>
            </w:r>
            <w:r>
              <w:rPr>
                <w:rFonts w:hint="eastAsia" w:ascii="宋体" w:hAnsi="宋体" w:eastAsia="宋体" w:cs="宋体"/>
                <w:color w:val="000000"/>
                <w:kern w:val="0"/>
                <w:sz w:val="16"/>
                <w:szCs w:val="16"/>
              </w:rPr>
              <w:t>4.引入该镇实务部门专家、科技小院工作人员等到北京农学院开展讲座培训等工作。5.新品种示范推广。6.开展通州区农业农村发展咨询与技术服务，协助通州区相关部门开展通州现代农业示范区、都市农业示范镇、一村一品示范村、现代农业产业园的监测评价，起草年度评价报告4篇。7.粉煤灰与农业废弃物基质化后开发园艺育苗基质配方1-2个。8.推动提质增效，落实首都农业“调转节”意见，建设“高档、精品、特色”的桃生产示范基地；推动业态融合，打造集生态友好、休闲观光、安全优质一体的都市现代高效果园,有机果率超过总产量的20%。9.建立工厂化杏鲍菇菇渣生产草菇的生产工艺一套，包括原料配方、堆肥工艺和出菇管理。10.推广早熟板栗新品种，优化燕山板栗品种结构；推广燕山板栗丰产优质生产关键技术，提升板栗生产管理水平；促进板栗产业提质增效。11.筛选2-3种适合芽苗菜培育的杂粮种子，在优化种子培育工艺和发芽过程中有效营养成分表征等方面形成一套适合公司培养</w:t>
            </w:r>
            <w:r>
              <w:rPr>
                <w:rFonts w:hint="eastAsia" w:ascii="宋体" w:hAnsi="宋体" w:eastAsia="宋体" w:cs="宋体"/>
                <w:color w:val="000000"/>
                <w:kern w:val="0"/>
                <w:sz w:val="16"/>
                <w:szCs w:val="16"/>
                <w:lang w:eastAsia="zh-CN"/>
              </w:rPr>
              <w:t>的</w:t>
            </w:r>
            <w:r>
              <w:rPr>
                <w:rFonts w:hint="eastAsia" w:ascii="宋体" w:hAnsi="宋体" w:eastAsia="宋体" w:cs="宋体"/>
                <w:color w:val="000000"/>
                <w:kern w:val="0"/>
                <w:sz w:val="16"/>
                <w:szCs w:val="16"/>
              </w:rPr>
              <w:t>工艺条件。12.开展提高种公鸡繁殖性能综合饲养技术研究，采精量提高5%～10%，精子活力提高5%～10%，种蛋受精率提高0.5%～1%。13.建设完成智能灌溉系统覆盖面积50亩，保证系统运行正常，在无需人工干预的条件下完成覆盖面积内的灌溉任务。14.2020年种植林下耐阴中药材22亩。</w:t>
            </w:r>
          </w:p>
        </w:tc>
        <w:tc>
          <w:tcPr>
            <w:tcW w:w="0" w:type="auto"/>
            <w:gridSpan w:val="5"/>
            <w:tcBorders>
              <w:top w:val="single" w:color="auto" w:sz="4" w:space="0"/>
              <w:left w:val="nil"/>
              <w:bottom w:val="single" w:color="auto" w:sz="4" w:space="0"/>
              <w:right w:val="single" w:color="000000" w:sz="4" w:space="0"/>
            </w:tcBorders>
            <w:shd w:val="clear" w:color="auto" w:fill="auto"/>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针对平谷区农业发展现状，重点开展：叶菜新品种及配套栽培技术示范推广；板栗丰产与生态栽培管理与板栗功能成分研究与产品研发；种鸡繁殖性能的营养调控研究；桃现代高效栽培技术；利用粉煤灰和菇渣开发园艺育苗基质；食用菌栽培基质配方与高产；林下耐荫经济植物栽培与管理；芽苗菜种子筛选培育技术；山地智能灌溉；产业与政策咨询；农村基层治理能力研究。发表论文6篇；申请专利1项；撰写农业监测评价报告3篇；制定生产工艺/技术2项；园艺育苗基质配方5个；建立示范基地500亩。培养27名；培训果农8场，1200人次。基层技术人员62人次</w:t>
            </w:r>
          </w:p>
        </w:tc>
      </w:tr>
      <w:tr>
        <w:tblPrEx>
          <w:tblCellMar>
            <w:top w:w="0" w:type="dxa"/>
            <w:left w:w="108" w:type="dxa"/>
            <w:bottom w:w="0" w:type="dxa"/>
            <w:right w:w="108" w:type="dxa"/>
          </w:tblCellMar>
        </w:tblPrEx>
        <w:trPr>
          <w:trHeight w:val="506" w:hRule="atLeast"/>
        </w:trPr>
        <w:tc>
          <w:tcPr>
            <w:tcW w:w="0" w:type="auto"/>
            <w:vMerge w:val="restart"/>
            <w:tcBorders>
              <w:top w:val="nil"/>
              <w:left w:val="single" w:color="auto" w:sz="4" w:space="0"/>
              <w:bottom w:val="single" w:color="000000" w:sz="4" w:space="0"/>
              <w:right w:val="single" w:color="auto" w:sz="4" w:space="0"/>
            </w:tcBorders>
            <w:shd w:val="clear" w:color="auto" w:fill="auto"/>
            <w:noWrap/>
            <w:textDirection w:val="tbRlV"/>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绩效指标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一级指标</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二级指标</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三级指标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年度指标值</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实际完成值</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分值</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得分</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偏差原因分析及改进</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措施</w:t>
            </w:r>
          </w:p>
        </w:tc>
      </w:tr>
      <w:tr>
        <w:tblPrEx>
          <w:tblCellMar>
            <w:top w:w="0" w:type="dxa"/>
            <w:left w:w="108" w:type="dxa"/>
            <w:bottom w:w="0" w:type="dxa"/>
            <w:right w:w="108" w:type="dxa"/>
          </w:tblCellMar>
        </w:tblPrEx>
        <w:trPr>
          <w:trHeight w:val="371"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产</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出</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指</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标</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（50分）</w:t>
            </w:r>
          </w:p>
        </w:tc>
        <w:tc>
          <w:tcPr>
            <w:tcW w:w="0" w:type="auto"/>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数量指标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制定生产工艺／技术</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1-2项</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371"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学生</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116</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27</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0.3</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受疫情影响</w:t>
            </w:r>
          </w:p>
        </w:tc>
      </w:tr>
      <w:tr>
        <w:tblPrEx>
          <w:tblCellMar>
            <w:top w:w="0" w:type="dxa"/>
            <w:left w:w="108" w:type="dxa"/>
            <w:bottom w:w="0" w:type="dxa"/>
            <w:right w:w="108" w:type="dxa"/>
          </w:tblCellMar>
        </w:tblPrEx>
        <w:trPr>
          <w:trHeight w:val="371"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技术员</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32</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62</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371"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论文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6</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371"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建立示范基地</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50亩</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500</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371"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年生产优质桃果</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5000公斤</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8000</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371"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园艺育苗基质配方</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2个</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371"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专利</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371"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农业监测评价报告</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3</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3</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371"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示范推广新品种</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7个</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9</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371"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调研村庄</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5个</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5</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371"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农民培训</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2次</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8场</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371"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杂粮优质种子</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2种</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371"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芽苗菜的营养成分检测</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2种</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4</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371"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技术帮扶与指导</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6次</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6</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371"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地方标准</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申请1项</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371"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研究报告</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1569"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restart"/>
            <w:tcBorders>
              <w:top w:val="nil"/>
              <w:left w:val="single" w:color="auto" w:sz="4" w:space="0"/>
              <w:bottom w:val="nil"/>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质量指标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生产工艺／技术</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完成高质量生产工艺，包括高产配方、堆肥工艺、出菇管理配套技术；板栗板栗丰产优质生产关键技术推广等</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完成高质量生产工艺，包括高产配方、堆肥工艺、出菇管理配套技术；板栗板栗丰产优质生产关键技术推广等</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0.8</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772"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培养学生</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解决实际问题能力显著提升，发表论文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学生综合能力得以提升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0.8</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48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培养技术员</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能够熟练掌握新工艺并指导生产</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能够熟练掌握新工艺并指导生产</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0.8</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669"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提升土壤肥力</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提高土壤有机质含量，提升土壤肥力水平</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有机质含量增加到1.5%</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0.8</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695"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提升果品质量</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优质果率提高到90%，有机果率达到1/4以上</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优质果率95%，示东园有机果达1/3</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0.8</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54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提高树体营养水平</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提高光合效率20%以上</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提高光合效率25%</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0.8</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397"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新型育苗基质秧苗</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质量合格</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质量优且应用</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0.8</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352"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发明专利</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提交申请</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获批1项</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0.8</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472"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农业农村部门对报告的认可率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≥80%</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95%</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0.8</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48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培养板栗管理人员</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提升板栗生产管理水平</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提升板栗生产管理水平</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0.8</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455"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推广早熟品种</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早熟品种示范推广50亩</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板栗早熟品种示范推广200亩</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0.8</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463"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推广丰产优质技术</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示范基地产量增加10%</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产量增加12%</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0.8</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397"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种子发芽率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≥60%</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≥85%</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0.8</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397"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发芽培育周期</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缩短1天</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缩短2天</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0.8</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114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研发提高种公鸡繁殖性能综合饲料配制技术</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采精量提高5%～10%，精子活力提高5%～10%，种蛋受精率提高0.5%～1%。</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种公鸡采精量提高了8.7%，精子活力提高了15.6%，种蛋受精率提高了1.43%</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0.8</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405"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研究报告</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高质量研究报告</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高质量研究报告</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0.8</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54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时效指标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2020年1-9月：开展项目研究</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2020年1-9月：开展项目研究</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2020年1-9月：开展项目研究</w:t>
            </w:r>
          </w:p>
        </w:tc>
        <w:tc>
          <w:tcPr>
            <w:tcW w:w="0" w:type="auto"/>
            <w:tcBorders>
              <w:top w:val="nil"/>
              <w:left w:val="nil"/>
              <w:bottom w:val="nil"/>
              <w:right w:val="nil"/>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4</w:t>
            </w:r>
          </w:p>
        </w:tc>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3.4</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54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2020年10-12月：总结年度成果</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2020年10-12月：总结年度成果</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2020年10-12月：总结年度成果</w:t>
            </w:r>
          </w:p>
        </w:tc>
        <w:tc>
          <w:tcPr>
            <w:tcW w:w="0" w:type="auto"/>
            <w:tcBorders>
              <w:top w:val="single" w:color="auto" w:sz="4" w:space="0"/>
              <w:left w:val="nil"/>
              <w:bottom w:val="nil"/>
              <w:right w:val="nil"/>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4</w:t>
            </w:r>
          </w:p>
        </w:tc>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3.4</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491"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nil"/>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成本指标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控制在50万元以内，经费利用率高</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50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49.779217</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9</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9</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1612"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restart"/>
            <w:tcBorders>
              <w:top w:val="nil"/>
              <w:left w:val="single" w:color="auto" w:sz="4" w:space="0"/>
              <w:bottom w:val="nil"/>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效</w:t>
            </w:r>
            <w:r>
              <w:rPr>
                <w:rFonts w:hint="eastAsia" w:ascii="宋体" w:hAnsi="宋体" w:eastAsia="宋体" w:cs="宋体"/>
                <w:color w:val="000000"/>
                <w:kern w:val="0"/>
                <w:sz w:val="20"/>
                <w:szCs w:val="20"/>
              </w:rPr>
              <w:br w:type="page"/>
            </w:r>
            <w:r>
              <w:rPr>
                <w:rFonts w:hint="eastAsia" w:ascii="宋体" w:hAnsi="宋体" w:eastAsia="宋体" w:cs="宋体"/>
                <w:color w:val="000000"/>
                <w:kern w:val="0"/>
                <w:sz w:val="20"/>
                <w:szCs w:val="20"/>
              </w:rPr>
              <w:t>益</w:t>
            </w:r>
            <w:r>
              <w:rPr>
                <w:rFonts w:hint="eastAsia" w:ascii="宋体" w:hAnsi="宋体" w:eastAsia="宋体" w:cs="宋体"/>
                <w:color w:val="000000"/>
                <w:kern w:val="0"/>
                <w:sz w:val="20"/>
                <w:szCs w:val="20"/>
              </w:rPr>
              <w:br w:type="page"/>
            </w:r>
            <w:r>
              <w:rPr>
                <w:rFonts w:hint="eastAsia" w:ascii="宋体" w:hAnsi="宋体" w:eastAsia="宋体" w:cs="宋体"/>
                <w:color w:val="000000"/>
                <w:kern w:val="0"/>
                <w:sz w:val="20"/>
                <w:szCs w:val="20"/>
              </w:rPr>
              <w:t>指</w:t>
            </w:r>
            <w:r>
              <w:rPr>
                <w:rFonts w:hint="eastAsia" w:ascii="宋体" w:hAnsi="宋体" w:eastAsia="宋体" w:cs="宋体"/>
                <w:color w:val="000000"/>
                <w:kern w:val="0"/>
                <w:sz w:val="20"/>
                <w:szCs w:val="20"/>
              </w:rPr>
              <w:br w:type="page"/>
            </w:r>
            <w:r>
              <w:rPr>
                <w:rFonts w:hint="eastAsia" w:ascii="宋体" w:hAnsi="宋体" w:eastAsia="宋体" w:cs="宋体"/>
                <w:color w:val="000000"/>
                <w:kern w:val="0"/>
                <w:sz w:val="20"/>
                <w:szCs w:val="20"/>
              </w:rPr>
              <w:t>标</w:t>
            </w:r>
            <w:r>
              <w:rPr>
                <w:rFonts w:hint="eastAsia" w:ascii="宋体" w:hAnsi="宋体" w:eastAsia="宋体" w:cs="宋体"/>
                <w:color w:val="000000"/>
                <w:kern w:val="0"/>
                <w:sz w:val="20"/>
                <w:szCs w:val="20"/>
              </w:rPr>
              <w:br w:type="page"/>
            </w:r>
            <w:r>
              <w:rPr>
                <w:rFonts w:hint="eastAsia" w:ascii="宋体" w:hAnsi="宋体" w:eastAsia="宋体" w:cs="宋体"/>
                <w:color w:val="000000"/>
                <w:kern w:val="0"/>
                <w:sz w:val="20"/>
                <w:szCs w:val="20"/>
              </w:rPr>
              <w:t>（30分）</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经济效益</w:t>
            </w:r>
            <w:r>
              <w:rPr>
                <w:rFonts w:hint="eastAsia" w:ascii="宋体" w:hAnsi="宋体" w:eastAsia="宋体" w:cs="宋体"/>
                <w:kern w:val="0"/>
                <w:sz w:val="20"/>
                <w:szCs w:val="20"/>
              </w:rPr>
              <w:br w:type="page"/>
            </w:r>
            <w:r>
              <w:rPr>
                <w:rFonts w:hint="eastAsia" w:ascii="宋体" w:hAnsi="宋体" w:eastAsia="宋体" w:cs="宋体"/>
                <w:kern w:val="0"/>
                <w:sz w:val="20"/>
                <w:szCs w:val="20"/>
              </w:rPr>
              <w:t>指标</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0"/>
                <w:szCs w:val="20"/>
              </w:rPr>
            </w:pPr>
            <w:r>
              <w:rPr>
                <w:rFonts w:hint="eastAsia" w:ascii="宋体" w:hAnsi="宋体" w:eastAsia="宋体" w:cs="宋体"/>
                <w:kern w:val="0"/>
                <w:sz w:val="20"/>
                <w:szCs w:val="20"/>
              </w:rPr>
              <w:t>经济效益</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通过发表论文、专利申请与推广，新品种育种和研发新技术等努力实现科技成果转化，提高相关产业农民收入5%。</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实现科技成果转化，提高相关产业农民收入</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9</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8</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678"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nil"/>
              <w:right w:val="single" w:color="auto" w:sz="4" w:space="0"/>
            </w:tcBorders>
            <w:shd w:val="clear" w:color="auto" w:fill="auto"/>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社会效益</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指标</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0"/>
                <w:szCs w:val="20"/>
              </w:rPr>
            </w:pPr>
            <w:r>
              <w:rPr>
                <w:rFonts w:hint="eastAsia" w:ascii="宋体" w:hAnsi="宋体" w:eastAsia="宋体" w:cs="宋体"/>
                <w:kern w:val="0"/>
                <w:sz w:val="20"/>
                <w:szCs w:val="20"/>
              </w:rPr>
              <w:t>社会效益</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通过该项目多方向带动，提升科技推广工作</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在平谷、通州、房山等多地示范</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7</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6</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1646"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生态效益</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rPr>
            </w:pPr>
            <w:r>
              <w:rPr>
                <w:rFonts w:hint="eastAsia" w:ascii="宋体" w:hAnsi="宋体" w:eastAsia="宋体" w:cs="宋体"/>
                <w:kern w:val="0"/>
                <w:sz w:val="20"/>
                <w:szCs w:val="20"/>
              </w:rPr>
              <w:t>环境效益</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积极落实“调粮”、“稳菜”、“减栏”、“增林”和“节水”，为首都生态环境改善和京津冀一体化发展作出贡献</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积极发展果树节水栽培、智能灌溉，为京冀地区发展做出一定的贡献</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7</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6</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78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可持续影响指标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rPr>
            </w:pPr>
            <w:r>
              <w:rPr>
                <w:rFonts w:hint="eastAsia" w:ascii="宋体" w:hAnsi="宋体" w:eastAsia="宋体" w:cs="宋体"/>
                <w:kern w:val="0"/>
                <w:sz w:val="20"/>
                <w:szCs w:val="20"/>
              </w:rPr>
              <w:t>可持续影响</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在未来5年内，在社会服务方面，增加受益群众10%</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预测未来5年，增加受益农民达20%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7</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6</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738"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满意度指标（10分）</w:t>
            </w:r>
          </w:p>
        </w:tc>
        <w:tc>
          <w:tcPr>
            <w:tcW w:w="0" w:type="auto"/>
            <w:tcBorders>
              <w:top w:val="nil"/>
              <w:left w:val="nil"/>
              <w:bottom w:val="nil"/>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服务对象满意度指标</w:t>
            </w:r>
          </w:p>
        </w:tc>
        <w:tc>
          <w:tcPr>
            <w:tcW w:w="0" w:type="auto"/>
            <w:tcBorders>
              <w:top w:val="nil"/>
              <w:left w:val="nil"/>
              <w:bottom w:val="nil"/>
              <w:right w:val="single" w:color="auto" w:sz="4" w:space="0"/>
            </w:tcBorders>
            <w:shd w:val="clear" w:color="auto" w:fill="auto"/>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受益群众满意度</w:t>
            </w:r>
          </w:p>
        </w:tc>
        <w:tc>
          <w:tcPr>
            <w:tcW w:w="0" w:type="auto"/>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&gt;95%</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指导学生满意度及农民满意度100%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8</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502" w:hRule="atLeast"/>
        </w:trPr>
        <w:tc>
          <w:tcPr>
            <w:tcW w:w="0" w:type="auto"/>
            <w:gridSpan w:val="6"/>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总分</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100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88.80</w:t>
            </w:r>
          </w:p>
        </w:tc>
        <w:tc>
          <w:tcPr>
            <w:tcW w:w="0" w:type="auto"/>
            <w:gridSpan w:val="3"/>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　</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I1OTZjOTM2ODkzYWU2YmQ4YjE4ZjRlY2IyMWM1YTYifQ=="/>
  </w:docVars>
  <w:rsids>
    <w:rsidRoot w:val="003533F2"/>
    <w:rsid w:val="00056903"/>
    <w:rsid w:val="003533F2"/>
    <w:rsid w:val="004338FA"/>
    <w:rsid w:val="00762F94"/>
    <w:rsid w:val="00F70400"/>
    <w:rsid w:val="652376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473</Words>
  <Characters>2701</Characters>
  <Lines>22</Lines>
  <Paragraphs>6</Paragraphs>
  <TotalTime>5</TotalTime>
  <ScaleCrop>false</ScaleCrop>
  <LinksUpToDate>false</LinksUpToDate>
  <CharactersWithSpaces>3168</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2021-05-21T04:35:00Z</dcterms:created>
  <dc:creator>雪</dc:creator>
  <cp:lastModifiedBy>苏坡云☁️</cp:lastModifiedBy>
  <dcterms:modified xsi:type="dcterms:W3CDTF">2023-12-04T06:19:23Z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59EC6762ABA747E8932BFD98D349DDB3_12</vt:lpwstr>
  </property>
</Properties>
</file>