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884"/>
        <w:gridCol w:w="1176"/>
        <w:gridCol w:w="1959"/>
        <w:gridCol w:w="1284"/>
        <w:gridCol w:w="1756"/>
        <w:gridCol w:w="1316"/>
        <w:gridCol w:w="1206"/>
        <w:gridCol w:w="1072"/>
        <w:gridCol w:w="1073"/>
        <w:gridCol w:w="19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9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8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15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向基础教育倾斜-学术性研究生修读教师教育课程培训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8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9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0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首都师范大学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8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9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田秀国</w:t>
            </w:r>
          </w:p>
        </w:tc>
        <w:tc>
          <w:tcPr>
            <w:tcW w:w="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0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13671006316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985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119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85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9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116.220000 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103.220000 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86.927330 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84.22%</w:t>
            </w:r>
          </w:p>
        </w:tc>
        <w:tc>
          <w:tcPr>
            <w:tcW w:w="7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85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9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116.220000 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103.220000 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86.927330 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84.22%</w:t>
            </w:r>
          </w:p>
        </w:tc>
        <w:tc>
          <w:tcPr>
            <w:tcW w:w="7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85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985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8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2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85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培养约200名掌握基本的教育理论、教学方法、胜任中小学教师工作的基本素质和必备能力的学术型硕士，包括语文、数学、英语、物理、化学、历史、生物、政治、地理、心理、信息技术、音乐、美术、体育等十四个学科的相关专业，并协助他们进行求职，引导其进入北京市中小学基础教育行业，部分解决中小学教师来源不足问题。</w:t>
            </w:r>
          </w:p>
        </w:tc>
        <w:tc>
          <w:tcPr>
            <w:tcW w:w="2321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根据实际情况，以及北京市教委的要求，学员人员略有缩减，但覆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盖14学科不变。完成既定目标。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1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（50分）</w:t>
            </w:r>
          </w:p>
        </w:tc>
        <w:tc>
          <w:tcPr>
            <w:tcW w:w="4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学科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14个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14个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3.7</w:t>
            </w:r>
          </w:p>
        </w:tc>
        <w:tc>
          <w:tcPr>
            <w:tcW w:w="1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授课专家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60人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近百人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培训人数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220名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198名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课程工作室导师 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30人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30人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2.8</w:t>
            </w:r>
          </w:p>
        </w:tc>
        <w:tc>
          <w:tcPr>
            <w:tcW w:w="1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培训合格率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4.6</w:t>
            </w:r>
          </w:p>
        </w:tc>
        <w:tc>
          <w:tcPr>
            <w:tcW w:w="1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分学科研修保证内容的针对性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4.6</w:t>
            </w:r>
          </w:p>
        </w:tc>
        <w:tc>
          <w:tcPr>
            <w:tcW w:w="1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考勤，研修阶段性评估保证研修基本质量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2019年完成全部研修</w:t>
            </w:r>
          </w:p>
        </w:tc>
        <w:tc>
          <w:tcPr>
            <w:tcW w:w="47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5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严格按照计划执行并完成</w:t>
            </w:r>
          </w:p>
        </w:tc>
        <w:tc>
          <w:tcPr>
            <w:tcW w:w="41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8.5</w:t>
            </w:r>
          </w:p>
        </w:tc>
        <w:tc>
          <w:tcPr>
            <w:tcW w:w="1506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06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213万元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86.92733万元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     （30分）</w:t>
            </w:r>
          </w:p>
        </w:tc>
        <w:tc>
          <w:tcPr>
            <w:tcW w:w="4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学生执教能力发展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水平提升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水平得到了提升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媒体报道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≥4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解决教师来源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≥150人</w:t>
            </w:r>
          </w:p>
        </w:tc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198</w:t>
            </w:r>
          </w:p>
        </w:tc>
        <w:tc>
          <w:tcPr>
            <w:tcW w:w="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对项目相关服务对象进行了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满意度调查，均为满意。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267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85.12</w:t>
            </w:r>
          </w:p>
        </w:tc>
        <w:tc>
          <w:tcPr>
            <w:tcW w:w="1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43D1"/>
    <w:rsid w:val="001B003F"/>
    <w:rsid w:val="009043D1"/>
    <w:rsid w:val="00D05FCE"/>
    <w:rsid w:val="4DA5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3</Pages>
  <Words>168</Words>
  <Characters>958</Characters>
  <Lines>7</Lines>
  <Paragraphs>2</Paragraphs>
  <TotalTime>3</TotalTime>
  <ScaleCrop>false</ScaleCrop>
  <LinksUpToDate>false</LinksUpToDate>
  <CharactersWithSpaces>1124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2021-05-22T23:38:00Z</dcterms:created>
  <dc:creator>HP</dc:creator>
  <cp:lastModifiedBy>王会敏</cp:lastModifiedBy>
  <dcterms:modified xsi:type="dcterms:W3CDTF">2021-05-25T07:59:23Z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62934683381B48A8A723C37B0AAA8760</vt:lpwstr>
  </property>
</Properties>
</file>