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 xml:space="preserve">附件3       </w:t>
      </w:r>
    </w:p>
    <w:tbl>
      <w:tblPr>
        <w:tblStyle w:val="4"/>
        <w:tblW w:w="4934" w:type="pct"/>
        <w:tblInd w:w="0" w:type="dxa"/>
        <w:tblLayout w:type="fixed"/>
        <w:tblCellMar>
          <w:top w:w="0" w:type="dxa"/>
          <w:left w:w="108" w:type="dxa"/>
          <w:bottom w:w="0" w:type="dxa"/>
          <w:right w:w="108" w:type="dxa"/>
        </w:tblCellMar>
      </w:tblPr>
      <w:tblGrid>
        <w:gridCol w:w="400"/>
        <w:gridCol w:w="345"/>
        <w:gridCol w:w="375"/>
        <w:gridCol w:w="1425"/>
        <w:gridCol w:w="120"/>
        <w:gridCol w:w="735"/>
        <w:gridCol w:w="1165"/>
        <w:gridCol w:w="745"/>
        <w:gridCol w:w="265"/>
        <w:gridCol w:w="1005"/>
        <w:gridCol w:w="300"/>
        <w:gridCol w:w="75"/>
        <w:gridCol w:w="420"/>
        <w:gridCol w:w="450"/>
        <w:gridCol w:w="570"/>
        <w:gridCol w:w="15"/>
      </w:tblGrid>
      <w:tr>
        <w:tblPrEx>
          <w:tblCellMar>
            <w:top w:w="0" w:type="dxa"/>
            <w:left w:w="108" w:type="dxa"/>
            <w:bottom w:w="0" w:type="dxa"/>
            <w:right w:w="108" w:type="dxa"/>
          </w:tblCellMar>
        </w:tblPrEx>
        <w:trPr>
          <w:wAfter w:w="0" w:type="auto"/>
          <w:trHeight w:val="20" w:hRule="atLeast"/>
        </w:trPr>
        <w:tc>
          <w:tcPr>
            <w:tcW w:w="5000" w:type="pct"/>
            <w:gridSpan w:val="16"/>
            <w:tcBorders>
              <w:top w:val="nil"/>
              <w:left w:val="nil"/>
              <w:bottom w:val="nil"/>
              <w:right w:val="nil"/>
            </w:tcBorders>
            <w:shd w:val="clear" w:color="auto" w:fill="auto"/>
            <w:vAlign w:val="center"/>
          </w:tcPr>
          <w:p>
            <w:pPr>
              <w:adjustRightInd w:val="0"/>
              <w:snapToGrid w:val="0"/>
              <w:jc w:val="center"/>
              <w:rPr>
                <w:rFonts w:ascii="仿宋_GB2312" w:hAnsi="仿宋_GB2312" w:eastAsia="仿宋_GB2312" w:cs="宋体"/>
                <w:color w:val="000000"/>
                <w:kern w:val="0"/>
                <w:sz w:val="24"/>
              </w:rPr>
            </w:pPr>
            <w:bookmarkStart w:id="0" w:name="_GoBack"/>
            <w:r>
              <w:rPr>
                <w:rFonts w:hint="eastAsia" w:ascii="仿宋_GB2312" w:hAnsi="仿宋_GB2312" w:eastAsia="仿宋_GB2312" w:cs="宋体"/>
                <w:color w:val="000000"/>
                <w:kern w:val="0"/>
                <w:sz w:val="24"/>
              </w:rPr>
              <w:t>项目支出绩效自评表</w:t>
            </w:r>
            <w:r>
              <w:rPr>
                <w:rFonts w:hint="eastAsia" w:ascii="仿宋_GB2312" w:hAnsi="仿宋_GB2312" w:eastAsia="仿宋_GB2312" w:cs="宋体"/>
                <w:color w:val="000000"/>
                <w:kern w:val="0"/>
                <w:sz w:val="24"/>
              </w:rPr>
              <w:br w:type="textWrapping"/>
            </w:r>
            <w:r>
              <w:rPr>
                <w:rFonts w:hint="eastAsia" w:ascii="仿宋_GB2312" w:hAnsi="仿宋_GB2312" w:eastAsia="仿宋_GB2312" w:cs="宋体"/>
                <w:color w:val="000000"/>
                <w:kern w:val="0"/>
                <w:sz w:val="24"/>
              </w:rPr>
              <w:t>（2020年度）</w:t>
            </w:r>
          </w:p>
        </w:tc>
      </w:tr>
      <w:tr>
        <w:tblPrEx>
          <w:tblCellMar>
            <w:top w:w="0" w:type="dxa"/>
            <w:left w:w="108" w:type="dxa"/>
            <w:bottom w:w="0" w:type="dxa"/>
            <w:right w:w="108" w:type="dxa"/>
          </w:tblCellMar>
        </w:tblPrEx>
        <w:trPr>
          <w:wAfter w:w="0" w:type="auto"/>
          <w:trHeight w:val="20" w:hRule="atLeast"/>
        </w:trPr>
        <w:tc>
          <w:tcPr>
            <w:tcW w:w="66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项目名称</w:t>
            </w:r>
          </w:p>
        </w:tc>
        <w:tc>
          <w:tcPr>
            <w:tcW w:w="4334" w:type="pct"/>
            <w:gridSpan w:val="13"/>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向基础教育倾斜——北京市中小学生思想道德发展测评与教师育人能力提升项目</w:t>
            </w:r>
          </w:p>
        </w:tc>
      </w:tr>
      <w:tr>
        <w:tblPrEx>
          <w:tblCellMar>
            <w:top w:w="0" w:type="dxa"/>
            <w:left w:w="108" w:type="dxa"/>
            <w:bottom w:w="0" w:type="dxa"/>
            <w:right w:w="108" w:type="dxa"/>
          </w:tblCellMar>
        </w:tblPrEx>
        <w:trPr>
          <w:wAfter w:w="0" w:type="auto"/>
          <w:trHeight w:val="20" w:hRule="atLeast"/>
        </w:trPr>
        <w:tc>
          <w:tcPr>
            <w:tcW w:w="66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主管部门</w:t>
            </w:r>
          </w:p>
        </w:tc>
        <w:tc>
          <w:tcPr>
            <w:tcW w:w="2048" w:type="pct"/>
            <w:gridSpan w:val="4"/>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北京市教育委员会</w:t>
            </w:r>
          </w:p>
        </w:tc>
        <w:tc>
          <w:tcPr>
            <w:tcW w:w="442"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实施单位</w:t>
            </w:r>
          </w:p>
        </w:tc>
        <w:tc>
          <w:tcPr>
            <w:tcW w:w="1843" w:type="pct"/>
            <w:gridSpan w:val="8"/>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市教委本级事业</w:t>
            </w:r>
          </w:p>
        </w:tc>
      </w:tr>
      <w:tr>
        <w:tblPrEx>
          <w:tblCellMar>
            <w:top w:w="0" w:type="dxa"/>
            <w:left w:w="108" w:type="dxa"/>
            <w:bottom w:w="0" w:type="dxa"/>
            <w:right w:w="108" w:type="dxa"/>
          </w:tblCellMar>
        </w:tblPrEx>
        <w:trPr>
          <w:wAfter w:w="0" w:type="auto"/>
          <w:trHeight w:val="20" w:hRule="atLeast"/>
        </w:trPr>
        <w:tc>
          <w:tcPr>
            <w:tcW w:w="66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项目负责人</w:t>
            </w:r>
          </w:p>
        </w:tc>
        <w:tc>
          <w:tcPr>
            <w:tcW w:w="2048" w:type="pct"/>
            <w:gridSpan w:val="4"/>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陈德时　</w:t>
            </w:r>
          </w:p>
        </w:tc>
        <w:tc>
          <w:tcPr>
            <w:tcW w:w="442"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联系电话</w:t>
            </w:r>
          </w:p>
        </w:tc>
        <w:tc>
          <w:tcPr>
            <w:tcW w:w="1843" w:type="pct"/>
            <w:gridSpan w:val="8"/>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ascii="仿宋_GB2312" w:hAnsi="仿宋_GB2312" w:eastAsia="仿宋_GB2312" w:cs="宋体"/>
                <w:color w:val="000000"/>
                <w:kern w:val="0"/>
                <w:szCs w:val="21"/>
              </w:rPr>
              <w:t>51994777</w:t>
            </w: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wAfter w:w="0" w:type="auto"/>
          <w:trHeight w:val="20" w:hRule="atLeast"/>
        </w:trPr>
        <w:tc>
          <w:tcPr>
            <w:tcW w:w="665" w:type="pct"/>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rPr>
                <w:rFonts w:hint="eastAsia"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项目资金</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（万元）</w:t>
            </w:r>
          </w:p>
        </w:tc>
        <w:tc>
          <w:tcPr>
            <w:tcW w:w="847" w:type="pct"/>
            <w:tcBorders>
              <w:top w:val="single" w:color="auto" w:sz="4" w:space="0"/>
              <w:left w:val="nil"/>
              <w:bottom w:val="single" w:color="auto" w:sz="4" w:space="0"/>
              <w:right w:val="single" w:color="auto" w:sz="4" w:space="0"/>
            </w:tcBorders>
            <w:shd w:val="clear" w:color="auto" w:fill="auto"/>
            <w:vAlign w:val="center"/>
          </w:tcPr>
          <w:p>
            <w:pPr>
              <w:rPr>
                <w:rFonts w:hint="eastAsia"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c>
          <w:tcPr>
            <w:tcW w:w="508" w:type="pct"/>
            <w:gridSpan w:val="2"/>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年初预算数</w:t>
            </w:r>
          </w:p>
        </w:tc>
        <w:tc>
          <w:tcPr>
            <w:tcW w:w="692"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全年预算数</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全年执行数</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分值</w:t>
            </w:r>
          </w:p>
        </w:tc>
        <w:tc>
          <w:tcPr>
            <w:tcW w:w="561" w:type="pct"/>
            <w:gridSpan w:val="3"/>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执行率</w:t>
            </w:r>
          </w:p>
        </w:tc>
        <w:tc>
          <w:tcPr>
            <w:tcW w:w="347" w:type="pct"/>
            <w:gridSpan w:val="2"/>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得分</w:t>
            </w:r>
          </w:p>
        </w:tc>
      </w:tr>
      <w:tr>
        <w:tblPrEx>
          <w:tblCellMar>
            <w:top w:w="0" w:type="dxa"/>
            <w:left w:w="108" w:type="dxa"/>
            <w:bottom w:w="0" w:type="dxa"/>
            <w:right w:w="108" w:type="dxa"/>
          </w:tblCellMar>
        </w:tblPrEx>
        <w:trPr>
          <w:wAfter w:w="0" w:type="auto"/>
          <w:trHeight w:val="20" w:hRule="atLeast"/>
        </w:trPr>
        <w:tc>
          <w:tcPr>
            <w:tcW w:w="665" w:type="pct"/>
            <w:gridSpan w:val="3"/>
            <w:vMerge w:val="continue"/>
            <w:tcBorders>
              <w:top w:val="single" w:color="auto" w:sz="4" w:space="0"/>
              <w:left w:val="single" w:color="auto" w:sz="4" w:space="0"/>
              <w:bottom w:val="single" w:color="000000" w:sz="4" w:space="0"/>
              <w:right w:val="single" w:color="000000" w:sz="4" w:space="0"/>
            </w:tcBorders>
            <w:vAlign w:val="center"/>
          </w:tcPr>
          <w:p>
            <w:pPr>
              <w:rPr>
                <w:rFonts w:hint="eastAsia" w:ascii="仿宋_GB2312" w:hAnsi="仿宋_GB2312" w:eastAsia="仿宋_GB2312" w:cs="宋体"/>
                <w:color w:val="000000"/>
                <w:kern w:val="0"/>
                <w:szCs w:val="21"/>
              </w:rPr>
            </w:pPr>
          </w:p>
        </w:tc>
        <w:tc>
          <w:tcPr>
            <w:tcW w:w="847" w:type="pct"/>
            <w:tcBorders>
              <w:top w:val="single" w:color="auto" w:sz="4" w:space="0"/>
              <w:left w:val="nil"/>
              <w:bottom w:val="single" w:color="auto" w:sz="4" w:space="0"/>
              <w:right w:val="single" w:color="auto" w:sz="4" w:space="0"/>
            </w:tcBorders>
            <w:shd w:val="clear" w:color="auto" w:fill="auto"/>
            <w:vAlign w:val="center"/>
          </w:tcPr>
          <w:p>
            <w:pPr>
              <w:rPr>
                <w:rFonts w:hint="eastAsia"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年度资金总额</w:t>
            </w:r>
          </w:p>
        </w:tc>
        <w:tc>
          <w:tcPr>
            <w:tcW w:w="508" w:type="pct"/>
            <w:gridSpan w:val="2"/>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200</w:t>
            </w:r>
          </w:p>
        </w:tc>
        <w:tc>
          <w:tcPr>
            <w:tcW w:w="692"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200</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200</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w:t>
            </w:r>
          </w:p>
        </w:tc>
        <w:tc>
          <w:tcPr>
            <w:tcW w:w="561" w:type="pct"/>
            <w:gridSpan w:val="3"/>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100%</w:t>
            </w:r>
          </w:p>
        </w:tc>
        <w:tc>
          <w:tcPr>
            <w:tcW w:w="347" w:type="pct"/>
            <w:gridSpan w:val="2"/>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w:t>
            </w:r>
          </w:p>
        </w:tc>
      </w:tr>
      <w:tr>
        <w:tblPrEx>
          <w:tblCellMar>
            <w:top w:w="0" w:type="dxa"/>
            <w:left w:w="108" w:type="dxa"/>
            <w:bottom w:w="0" w:type="dxa"/>
            <w:right w:w="108" w:type="dxa"/>
          </w:tblCellMar>
        </w:tblPrEx>
        <w:trPr>
          <w:wAfter w:w="0" w:type="auto"/>
          <w:trHeight w:val="20" w:hRule="atLeast"/>
        </w:trPr>
        <w:tc>
          <w:tcPr>
            <w:tcW w:w="665" w:type="pct"/>
            <w:gridSpan w:val="3"/>
            <w:vMerge w:val="continue"/>
            <w:tcBorders>
              <w:top w:val="single" w:color="auto" w:sz="4" w:space="0"/>
              <w:left w:val="single" w:color="auto" w:sz="4" w:space="0"/>
              <w:bottom w:val="single" w:color="000000" w:sz="4" w:space="0"/>
              <w:right w:val="single" w:color="000000" w:sz="4" w:space="0"/>
            </w:tcBorders>
            <w:vAlign w:val="center"/>
          </w:tcPr>
          <w:p>
            <w:pPr>
              <w:rPr>
                <w:rFonts w:hint="eastAsia" w:ascii="仿宋_GB2312" w:hAnsi="仿宋_GB2312" w:eastAsia="仿宋_GB2312" w:cs="宋体"/>
                <w:color w:val="000000"/>
                <w:kern w:val="0"/>
                <w:szCs w:val="21"/>
              </w:rPr>
            </w:pPr>
          </w:p>
        </w:tc>
        <w:tc>
          <w:tcPr>
            <w:tcW w:w="847" w:type="pct"/>
            <w:tcBorders>
              <w:top w:val="single" w:color="auto" w:sz="4" w:space="0"/>
              <w:left w:val="nil"/>
              <w:bottom w:val="single" w:color="auto" w:sz="4" w:space="0"/>
              <w:right w:val="single" w:color="auto" w:sz="4" w:space="0"/>
            </w:tcBorders>
            <w:shd w:val="clear" w:color="auto" w:fill="auto"/>
            <w:vAlign w:val="center"/>
          </w:tcPr>
          <w:p>
            <w:pPr>
              <w:rPr>
                <w:rFonts w:hint="eastAsia"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其中：当年财政拨款</w:t>
            </w:r>
          </w:p>
        </w:tc>
        <w:tc>
          <w:tcPr>
            <w:tcW w:w="508" w:type="pct"/>
            <w:gridSpan w:val="2"/>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200</w:t>
            </w:r>
          </w:p>
        </w:tc>
        <w:tc>
          <w:tcPr>
            <w:tcW w:w="692" w:type="pct"/>
            <w:tcBorders>
              <w:top w:val="single" w:color="auto" w:sz="4" w:space="0"/>
              <w:left w:val="nil"/>
              <w:bottom w:val="single" w:color="auto" w:sz="4" w:space="0"/>
              <w:right w:val="single" w:color="auto" w:sz="4" w:space="0"/>
            </w:tcBorders>
            <w:shd w:val="clear" w:color="auto" w:fill="auto"/>
            <w:noWrap/>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200</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200</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w:t>
            </w:r>
          </w:p>
        </w:tc>
        <w:tc>
          <w:tcPr>
            <w:tcW w:w="561" w:type="pct"/>
            <w:gridSpan w:val="3"/>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100%</w:t>
            </w:r>
          </w:p>
        </w:tc>
        <w:tc>
          <w:tcPr>
            <w:tcW w:w="347" w:type="pct"/>
            <w:gridSpan w:val="2"/>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w:t>
            </w:r>
          </w:p>
        </w:tc>
      </w:tr>
      <w:tr>
        <w:tblPrEx>
          <w:tblCellMar>
            <w:top w:w="0" w:type="dxa"/>
            <w:left w:w="108" w:type="dxa"/>
            <w:bottom w:w="0" w:type="dxa"/>
            <w:right w:w="108" w:type="dxa"/>
          </w:tblCellMar>
        </w:tblPrEx>
        <w:trPr>
          <w:wAfter w:w="0" w:type="auto"/>
          <w:trHeight w:val="20" w:hRule="atLeast"/>
        </w:trPr>
        <w:tc>
          <w:tcPr>
            <w:tcW w:w="665" w:type="pct"/>
            <w:gridSpan w:val="3"/>
            <w:vMerge w:val="continue"/>
            <w:tcBorders>
              <w:top w:val="single" w:color="auto" w:sz="4" w:space="0"/>
              <w:left w:val="single" w:color="auto" w:sz="4" w:space="0"/>
              <w:bottom w:val="single" w:color="000000" w:sz="4" w:space="0"/>
              <w:right w:val="single" w:color="000000" w:sz="4" w:space="0"/>
            </w:tcBorders>
            <w:vAlign w:val="center"/>
          </w:tcPr>
          <w:p>
            <w:pPr>
              <w:jc w:val="left"/>
              <w:rPr>
                <w:rFonts w:ascii="仿宋_GB2312" w:hAnsi="仿宋_GB2312" w:eastAsia="仿宋_GB2312" w:cs="宋体"/>
                <w:color w:val="000000"/>
                <w:kern w:val="0"/>
                <w:szCs w:val="21"/>
              </w:rPr>
            </w:pPr>
          </w:p>
        </w:tc>
        <w:tc>
          <w:tcPr>
            <w:tcW w:w="847" w:type="pct"/>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上年结转资金</w:t>
            </w:r>
          </w:p>
        </w:tc>
        <w:tc>
          <w:tcPr>
            <w:tcW w:w="508" w:type="pct"/>
            <w:gridSpan w:val="2"/>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w:t>
            </w:r>
          </w:p>
        </w:tc>
        <w:tc>
          <w:tcPr>
            <w:tcW w:w="692"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w:t>
            </w:r>
          </w:p>
        </w:tc>
        <w:tc>
          <w:tcPr>
            <w:tcW w:w="561" w:type="pct"/>
            <w:gridSpan w:val="3"/>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c>
          <w:tcPr>
            <w:tcW w:w="347" w:type="pct"/>
            <w:gridSpan w:val="2"/>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w:t>
            </w:r>
          </w:p>
        </w:tc>
      </w:tr>
      <w:tr>
        <w:tblPrEx>
          <w:tblCellMar>
            <w:top w:w="0" w:type="dxa"/>
            <w:left w:w="108" w:type="dxa"/>
            <w:bottom w:w="0" w:type="dxa"/>
            <w:right w:w="108" w:type="dxa"/>
          </w:tblCellMar>
        </w:tblPrEx>
        <w:trPr>
          <w:wAfter w:w="0" w:type="auto"/>
          <w:trHeight w:val="20" w:hRule="atLeast"/>
        </w:trPr>
        <w:tc>
          <w:tcPr>
            <w:tcW w:w="665" w:type="pct"/>
            <w:gridSpan w:val="3"/>
            <w:vMerge w:val="continue"/>
            <w:tcBorders>
              <w:top w:val="single" w:color="auto" w:sz="4" w:space="0"/>
              <w:left w:val="single" w:color="auto" w:sz="4" w:space="0"/>
              <w:bottom w:val="single" w:color="000000" w:sz="4" w:space="0"/>
              <w:right w:val="single" w:color="000000" w:sz="4" w:space="0"/>
            </w:tcBorders>
            <w:vAlign w:val="center"/>
          </w:tcPr>
          <w:p>
            <w:pPr>
              <w:jc w:val="left"/>
              <w:rPr>
                <w:rFonts w:ascii="仿宋_GB2312" w:hAnsi="仿宋_GB2312" w:eastAsia="仿宋_GB2312" w:cs="宋体"/>
                <w:color w:val="000000"/>
                <w:kern w:val="0"/>
                <w:szCs w:val="21"/>
              </w:rPr>
            </w:pPr>
          </w:p>
        </w:tc>
        <w:tc>
          <w:tcPr>
            <w:tcW w:w="847" w:type="pct"/>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其他资金</w:t>
            </w:r>
          </w:p>
        </w:tc>
        <w:tc>
          <w:tcPr>
            <w:tcW w:w="508" w:type="pct"/>
            <w:gridSpan w:val="2"/>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w:t>
            </w:r>
          </w:p>
        </w:tc>
        <w:tc>
          <w:tcPr>
            <w:tcW w:w="692"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c>
          <w:tcPr>
            <w:tcW w:w="775"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w:t>
            </w:r>
          </w:p>
        </w:tc>
        <w:tc>
          <w:tcPr>
            <w:tcW w:w="561" w:type="pct"/>
            <w:gridSpan w:val="3"/>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c>
          <w:tcPr>
            <w:tcW w:w="347" w:type="pct"/>
            <w:gridSpan w:val="2"/>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w:t>
            </w:r>
          </w:p>
        </w:tc>
      </w:tr>
      <w:tr>
        <w:tblPrEx>
          <w:tblCellMar>
            <w:top w:w="0" w:type="dxa"/>
            <w:left w:w="108" w:type="dxa"/>
            <w:bottom w:w="0" w:type="dxa"/>
            <w:right w:w="108" w:type="dxa"/>
          </w:tblCellMar>
        </w:tblPrEx>
        <w:trPr>
          <w:wAfter w:w="0" w:type="auto"/>
          <w:trHeight w:val="20" w:hRule="atLeast"/>
        </w:trPr>
        <w:tc>
          <w:tcPr>
            <w:tcW w:w="237"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年度总体目标</w:t>
            </w:r>
          </w:p>
        </w:tc>
        <w:tc>
          <w:tcPr>
            <w:tcW w:w="2476" w:type="pct"/>
            <w:gridSpan w:val="6"/>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预期目标</w:t>
            </w:r>
          </w:p>
        </w:tc>
        <w:tc>
          <w:tcPr>
            <w:tcW w:w="2285" w:type="pct"/>
            <w:gridSpan w:val="9"/>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实际完成情况</w:t>
            </w:r>
          </w:p>
        </w:tc>
      </w:tr>
      <w:tr>
        <w:tblPrEx>
          <w:tblCellMar>
            <w:top w:w="0" w:type="dxa"/>
            <w:left w:w="108" w:type="dxa"/>
            <w:bottom w:w="0" w:type="dxa"/>
            <w:right w:w="108" w:type="dxa"/>
          </w:tblCellMar>
        </w:tblPrEx>
        <w:trPr>
          <w:wAfter w:w="0" w:type="auto"/>
          <w:trHeight w:val="20" w:hRule="atLeast"/>
        </w:trPr>
        <w:tc>
          <w:tcPr>
            <w:tcW w:w="237"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476" w:type="pct"/>
            <w:gridSpan w:val="6"/>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1.从问题解决的角度出发，通过课题引领的方式开展行动研究，形成具有一定推广价值的专题研究报告；</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2.聘请专家和导师对项目学校课题研究进行指导，为学校提供育人问题的解决提供策略研究指导和方法指导；</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3.组织北京市各区优秀德育骨干参与课题研究，在“做中学”，发挥其专业引领与带动作用；</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4.搭建交流研讨平台，增加区、校之间多种形式的交流研讨，将经验分享给更多教师，提供优秀中小学考察、学习、交流机会；</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5.组织研究成果总结表彰会，在全市范围内推广和共享项目实践成果，让更多教师共享策略研究成果，让更多学校共享德育工作经验；</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6.组建高水平专家团队，深入16个区及燕山地区对区德育工作和中小学德育工作提出改进意见和建议，提供专业的指导与支持；</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7.开展家庭教育专题研究，研发《北京市家庭教育指导手册》；</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8.组织区德育骨干外出学习，提升德育管理工作实效性，提升德育骨干管理水平和能力。</w:t>
            </w:r>
          </w:p>
        </w:tc>
        <w:tc>
          <w:tcPr>
            <w:tcW w:w="2285" w:type="pct"/>
            <w:gridSpan w:val="9"/>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1.从问题解决的角度出发，通过课题引领的方式，针对四个德育专题开展课题研究，课题校覆盖北京市16个区及燕山地区，形成了具有一定推广价值的研究成果；</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2.聘请4位市级专题导师、17名区级导师、多名课题组研究员对课题学校研究进行指导，为学校提供策略研究指导和方法指导；</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3.组织北京市16个区及燕山地区优秀德育骨干20余人参与课题研究及区域德育工作研究，在“做中学”，发挥其专业引领与带动作用；</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4.搭建交流研讨平台，增加区、校之间多种形式的交流研讨，将经验分享给更多教师，期间提供多次学习交流机会；</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5.组织研究成果总结表彰会，在全市范围内推广和共享项目实践成果，让更多教师共享策略研究成果，让更多学校共享德育工作经验；</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6.组建高水平专家团队，深入16个区及燕山地区对区德育工作和中小学德育工作提出改进意见和建议，提供专业的指导与支持；</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7.开展家庭教育专题研究，研发《北京市家庭教育指导手册》；</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8.组织区德育骨干外出学习工作因受2020年全球新冠疫情影响，暂定延续至2021年完成。</w:t>
            </w:r>
          </w:p>
        </w:tc>
      </w:tr>
      <w:tr>
        <w:tblPrEx>
          <w:tblCellMar>
            <w:top w:w="0" w:type="dxa"/>
            <w:left w:w="108" w:type="dxa"/>
            <w:bottom w:w="0" w:type="dxa"/>
            <w:right w:w="108" w:type="dxa"/>
          </w:tblCellMar>
        </w:tblPrEx>
        <w:trPr>
          <w:gridAfter w:val="1"/>
          <w:wAfter w:w="8" w:type="pct"/>
          <w:trHeight w:val="20" w:hRule="atLeast"/>
        </w:trPr>
        <w:tc>
          <w:tcPr>
            <w:tcW w:w="237" w:type="pct"/>
            <w:vMerge w:val="restart"/>
            <w:tcBorders>
              <w:top w:val="nil"/>
              <w:left w:val="single" w:color="auto" w:sz="4" w:space="0"/>
              <w:bottom w:val="nil"/>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绩效指标</w:t>
            </w:r>
          </w:p>
        </w:tc>
        <w:tc>
          <w:tcPr>
            <w:tcW w:w="205" w:type="pct"/>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一级指标</w:t>
            </w:r>
          </w:p>
        </w:tc>
        <w:tc>
          <w:tcPr>
            <w:tcW w:w="222" w:type="pct"/>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二级指标</w:t>
            </w: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三级指标</w:t>
            </w:r>
          </w:p>
        </w:tc>
        <w:tc>
          <w:tcPr>
            <w:tcW w:w="1129" w:type="pct"/>
            <w:gridSpan w:val="2"/>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年度指标值</w:t>
            </w:r>
          </w:p>
        </w:tc>
        <w:tc>
          <w:tcPr>
            <w:tcW w:w="1197" w:type="pct"/>
            <w:gridSpan w:val="3"/>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实际完成值</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分值</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得分</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偏差原因分析及改进措施</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产出指标</w:t>
            </w:r>
          </w:p>
        </w:tc>
        <w:tc>
          <w:tcPr>
            <w:tcW w:w="222"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数量指标</w:t>
            </w: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指标1：理想信念专题研究培训及专题报告</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1.针对专题进行专题培训1次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2.开题答辩1次、结题答辩1次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3.项目学校一对一指导5次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4.多次审核课题成果并持续日常指导多次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5.完成专题研究报告10份</w:t>
            </w:r>
          </w:p>
        </w:tc>
        <w:tc>
          <w:tcPr>
            <w:tcW w:w="1197" w:type="pct"/>
            <w:gridSpan w:val="3"/>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100%</w:t>
            </w:r>
          </w:p>
        </w:tc>
        <w:tc>
          <w:tcPr>
            <w:tcW w:w="222" w:type="pct"/>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指标2：心理健康专题研究培训及专题报告</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1.针对专题进行专题培训1次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2.开题答辩1次、结题答辩1次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3.项目学校一对一指导5次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4.多次审核课题成果并持续日常指导多次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5.完成专题研究报告10份</w:t>
            </w:r>
          </w:p>
        </w:tc>
        <w:tc>
          <w:tcPr>
            <w:tcW w:w="1197" w:type="pct"/>
            <w:gridSpan w:val="3"/>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100%</w:t>
            </w:r>
          </w:p>
        </w:tc>
        <w:tc>
          <w:tcPr>
            <w:tcW w:w="222" w:type="pct"/>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指标3：行为规范专题研究培训及专题报告</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1.针对专题进行专题培训1次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2.开题答辩1次、结题答辩1次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3.项目学校一对一指导5次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4.多次审核课题成果并持续日常指导多次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5.完成专题研究报告10份</w:t>
            </w:r>
          </w:p>
        </w:tc>
        <w:tc>
          <w:tcPr>
            <w:tcW w:w="1197" w:type="pct"/>
            <w:gridSpan w:val="3"/>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100%</w:t>
            </w:r>
          </w:p>
        </w:tc>
        <w:tc>
          <w:tcPr>
            <w:tcW w:w="222" w:type="pct"/>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指标4：家校协同专题研究培训及专题报告</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1.针对专题进行专题培训1次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2.开题答辩1次、结题答辩1次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3.项目学校一对一指导5次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4.多次审核课题成果并持续日常指导多次</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5.完成专题研究报告10份</w:t>
            </w:r>
          </w:p>
        </w:tc>
        <w:tc>
          <w:tcPr>
            <w:tcW w:w="1197" w:type="pct"/>
            <w:gridSpan w:val="3"/>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100%</w:t>
            </w:r>
          </w:p>
        </w:tc>
        <w:tc>
          <w:tcPr>
            <w:tcW w:w="222" w:type="pct"/>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指标5：研发《家庭教育指导手册》一套</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1.文献综述1份</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2.调查报告1本</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3.手册框架1套</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4.分学段家庭教育指导手册1套</w:t>
            </w:r>
          </w:p>
        </w:tc>
        <w:tc>
          <w:tcPr>
            <w:tcW w:w="1197" w:type="pct"/>
            <w:gridSpan w:val="3"/>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100%</w:t>
            </w:r>
          </w:p>
        </w:tc>
        <w:tc>
          <w:tcPr>
            <w:tcW w:w="222" w:type="pct"/>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指标6：德育骨干培训</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1.德育骨干参与课题研究及培训</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2.德育骨干参与区域交流及入区指导</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3.德育骨干外出学习培训1次</w:t>
            </w:r>
          </w:p>
        </w:tc>
        <w:tc>
          <w:tcPr>
            <w:tcW w:w="1197" w:type="pct"/>
            <w:gridSpan w:val="3"/>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85%</w:t>
            </w:r>
          </w:p>
        </w:tc>
        <w:tc>
          <w:tcPr>
            <w:tcW w:w="222" w:type="pct"/>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受2020年新冠疫情影响外出学习活动延后至2021年开展</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指标7：研究成果宣传推广</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1.汇编专题策略与方法集1套</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2.召开研究成果总结交流会1场</w:t>
            </w:r>
          </w:p>
        </w:tc>
        <w:tc>
          <w:tcPr>
            <w:tcW w:w="1197" w:type="pct"/>
            <w:gridSpan w:val="3"/>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100%</w:t>
            </w:r>
          </w:p>
        </w:tc>
        <w:tc>
          <w:tcPr>
            <w:tcW w:w="222" w:type="pct"/>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质量指标</w:t>
            </w: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指标1：项目学校得到课题研究指导与相关培训，取得课题研究成果</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参训率、结题率</w:t>
            </w:r>
          </w:p>
        </w:tc>
        <w:tc>
          <w:tcPr>
            <w:tcW w:w="1197" w:type="pct"/>
            <w:gridSpan w:val="3"/>
            <w:tcBorders>
              <w:top w:val="nil"/>
              <w:left w:val="nil"/>
              <w:bottom w:val="single" w:color="auto" w:sz="4" w:space="0"/>
              <w:right w:val="single" w:color="auto" w:sz="4" w:space="0"/>
            </w:tcBorders>
            <w:shd w:val="clear" w:color="auto" w:fill="auto"/>
            <w:noWrap/>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参与课题培训，参训率达85%以上；完成课题研究报告，结题率达85%以上</w:t>
            </w:r>
          </w:p>
        </w:tc>
        <w:tc>
          <w:tcPr>
            <w:tcW w:w="222" w:type="pct"/>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指标2：项目学校得到课题研究指导与相关培训，取得课题研究成果</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参训率、结题率</w:t>
            </w:r>
          </w:p>
        </w:tc>
        <w:tc>
          <w:tcPr>
            <w:tcW w:w="1197" w:type="pct"/>
            <w:gridSpan w:val="3"/>
            <w:tcBorders>
              <w:top w:val="nil"/>
              <w:left w:val="nil"/>
              <w:bottom w:val="single" w:color="auto" w:sz="4" w:space="0"/>
              <w:right w:val="single" w:color="auto" w:sz="4" w:space="0"/>
            </w:tcBorders>
            <w:shd w:val="clear" w:color="auto" w:fill="auto"/>
            <w:noWrap/>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参与课题培训，参训率达85%以上；完成课题研究报告，结题率达85%以上</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指标3：项目学校得到课题研究指导与相关培训，取得课题研究成果</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参训率、结题率</w:t>
            </w:r>
          </w:p>
        </w:tc>
        <w:tc>
          <w:tcPr>
            <w:tcW w:w="1197" w:type="pct"/>
            <w:gridSpan w:val="3"/>
            <w:tcBorders>
              <w:top w:val="nil"/>
              <w:left w:val="nil"/>
              <w:bottom w:val="single" w:color="auto" w:sz="4" w:space="0"/>
              <w:right w:val="single" w:color="auto" w:sz="4" w:space="0"/>
            </w:tcBorders>
            <w:shd w:val="clear" w:color="auto" w:fill="auto"/>
            <w:noWrap/>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参与课题培训，参训率达85%以上；完成课题研究报告，结题率达85%以上</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指标4：项目学校得到课题研究指导与相关培训，取得课题研究成果</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参训率、结题率</w:t>
            </w:r>
          </w:p>
        </w:tc>
        <w:tc>
          <w:tcPr>
            <w:tcW w:w="1197" w:type="pct"/>
            <w:gridSpan w:val="3"/>
            <w:tcBorders>
              <w:top w:val="nil"/>
              <w:left w:val="nil"/>
              <w:bottom w:val="single" w:color="auto" w:sz="4" w:space="0"/>
              <w:right w:val="single" w:color="auto" w:sz="4" w:space="0"/>
            </w:tcBorders>
            <w:shd w:val="clear" w:color="auto" w:fill="auto"/>
            <w:noWrap/>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参与课题培训，参训率达85%以上；完成课题研究报告，结题率达85%以上</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指标5：研发《家庭教育指导手册》一套</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研发、出版</w:t>
            </w:r>
          </w:p>
        </w:tc>
        <w:tc>
          <w:tcPr>
            <w:tcW w:w="1197" w:type="pct"/>
            <w:gridSpan w:val="3"/>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1.完成手册内容研发</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2.内容符合出版要求</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3.签订出版协议</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4.完成出版流程并正式出版</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出版协议已签署，流程未完成，已在推进中，预计2021年完成出版</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指标6：德育骨干拓展眼界提升管理素养</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提升</w:t>
            </w:r>
          </w:p>
        </w:tc>
        <w:tc>
          <w:tcPr>
            <w:tcW w:w="1197" w:type="pct"/>
            <w:gridSpan w:val="3"/>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1.德育骨干研究能力得到提升</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2.德育骨干专业能力得到提升</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3.德育骨干眼界视野得到拓展</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受2020年新冠疫情影响外出学习活动延后至2021年开展</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指标7：育人策略研究成果推广与共享</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市级范围内宣传推广</w:t>
            </w:r>
          </w:p>
        </w:tc>
        <w:tc>
          <w:tcPr>
            <w:tcW w:w="1197" w:type="pct"/>
            <w:gridSpan w:val="3"/>
            <w:tcBorders>
              <w:top w:val="nil"/>
              <w:left w:val="nil"/>
              <w:bottom w:val="single" w:color="auto" w:sz="4" w:space="0"/>
              <w:right w:val="single" w:color="auto" w:sz="4" w:space="0"/>
            </w:tcBorders>
            <w:shd w:val="clear" w:color="auto" w:fill="auto"/>
            <w:noWrap/>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达成年度指标</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时效指标</w:t>
            </w: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指标1：项目工作结束时间</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在限定时间内完成所有工作</w:t>
            </w:r>
          </w:p>
        </w:tc>
        <w:tc>
          <w:tcPr>
            <w:tcW w:w="1197" w:type="pct"/>
            <w:gridSpan w:val="3"/>
            <w:tcBorders>
              <w:top w:val="nil"/>
              <w:left w:val="nil"/>
              <w:bottom w:val="single" w:color="auto" w:sz="4" w:space="0"/>
              <w:right w:val="single" w:color="auto" w:sz="4" w:space="0"/>
            </w:tcBorders>
            <w:shd w:val="clear" w:color="auto" w:fill="auto"/>
            <w:noWrap/>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项目截止前完成所有指标</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指标2：项目资金使用进度</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按计划的进度完成资金的使用</w:t>
            </w:r>
          </w:p>
        </w:tc>
        <w:tc>
          <w:tcPr>
            <w:tcW w:w="1197" w:type="pct"/>
            <w:gridSpan w:val="3"/>
            <w:tcBorders>
              <w:top w:val="nil"/>
              <w:left w:val="nil"/>
              <w:bottom w:val="single" w:color="auto" w:sz="4" w:space="0"/>
              <w:right w:val="single" w:color="auto" w:sz="4" w:space="0"/>
            </w:tcBorders>
            <w:shd w:val="clear" w:color="auto" w:fill="auto"/>
            <w:noWrap/>
            <w:vAlign w:val="center"/>
          </w:tcPr>
          <w:p>
            <w:pP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项目截止前完成所有指标</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成本指标</w:t>
            </w:r>
          </w:p>
        </w:tc>
        <w:tc>
          <w:tcPr>
            <w:tcW w:w="918" w:type="pct"/>
            <w:gridSpan w:val="2"/>
            <w:tcBorders>
              <w:top w:val="single" w:color="auto" w:sz="4" w:space="0"/>
              <w:left w:val="nil"/>
              <w:bottom w:val="single" w:color="auto" w:sz="4" w:space="0"/>
              <w:right w:val="single" w:color="000000"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指标1：控制成本</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200万元</w:t>
            </w:r>
          </w:p>
        </w:tc>
        <w:tc>
          <w:tcPr>
            <w:tcW w:w="1197" w:type="pct"/>
            <w:gridSpan w:val="3"/>
            <w:tcBorders>
              <w:top w:val="nil"/>
              <w:left w:val="nil"/>
              <w:bottom w:val="single" w:color="auto" w:sz="4" w:space="0"/>
              <w:right w:val="single" w:color="auto" w:sz="4" w:space="0"/>
            </w:tcBorders>
            <w:shd w:val="clear" w:color="auto" w:fill="auto"/>
            <w:noWrap/>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200万</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4</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4</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效益指标</w:t>
            </w:r>
          </w:p>
        </w:tc>
        <w:tc>
          <w:tcPr>
            <w:tcW w:w="222" w:type="pct"/>
            <w:tcBorders>
              <w:top w:val="nil"/>
              <w:left w:val="nil"/>
              <w:bottom w:val="nil"/>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社会效益指标</w:t>
            </w:r>
          </w:p>
        </w:tc>
        <w:tc>
          <w:tcPr>
            <w:tcW w:w="918" w:type="pct"/>
            <w:gridSpan w:val="2"/>
            <w:tcBorders>
              <w:top w:val="single" w:color="auto" w:sz="4" w:space="0"/>
              <w:left w:val="nil"/>
              <w:bottom w:val="single" w:color="auto" w:sz="4" w:space="0"/>
              <w:right w:val="single" w:color="000000"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育人理念，德育工作，家庭教育等教育理念</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深入，提高</w:t>
            </w:r>
          </w:p>
        </w:tc>
        <w:tc>
          <w:tcPr>
            <w:tcW w:w="1197" w:type="pct"/>
            <w:gridSpan w:val="3"/>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1.更新教师育人理念，提升课题研究能力，形成具有推广价值的育人策略研究成果，促进区域间、校际间交流与研讨，推广和共享育人策略研究成果</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2.针对北京市17个区对本区德育工作的反思与行动计划，协助各区开展育人专题研究，深入17个区提供专业力量的支持和指导3.针对家庭教育专题开展深入研究，研发并撰写一套适用于北京市中小学的家庭教育指导手册，供学校教师和学生家长参考使用</w:t>
            </w:r>
            <w:r>
              <w:rPr>
                <w:rFonts w:hint="eastAsia" w:ascii="仿宋_GB2312" w:hAnsi="仿宋_GB2312" w:eastAsia="仿宋_GB2312" w:cs="宋体"/>
                <w:color w:val="000000"/>
                <w:kern w:val="0"/>
                <w:szCs w:val="21"/>
              </w:rPr>
              <w:br w:type="textWrapping"/>
            </w:r>
            <w:r>
              <w:rPr>
                <w:rFonts w:hint="eastAsia" w:ascii="仿宋_GB2312" w:hAnsi="仿宋_GB2312" w:eastAsia="仿宋_GB2312" w:cs="宋体"/>
                <w:color w:val="000000"/>
                <w:kern w:val="0"/>
                <w:szCs w:val="21"/>
              </w:rPr>
              <w:t>4.组织北京市各区德育骨干参与研究提升研究能力，参与区域德育工作指导提升专业能力，开展外出观摩与学习，拓展经验交流的渠道，增强德育骨干管理水平</w:t>
            </w:r>
          </w:p>
        </w:tc>
        <w:tc>
          <w:tcPr>
            <w:tcW w:w="222" w:type="pct"/>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20</w:t>
            </w:r>
          </w:p>
        </w:tc>
        <w:tc>
          <w:tcPr>
            <w:tcW w:w="249" w:type="pct"/>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19</w:t>
            </w:r>
          </w:p>
        </w:tc>
        <w:tc>
          <w:tcPr>
            <w:tcW w:w="606" w:type="pct"/>
            <w:gridSpan w:val="2"/>
            <w:tcBorders>
              <w:top w:val="single" w:color="auto" w:sz="4" w:space="0"/>
              <w:left w:val="nil"/>
              <w:bottom w:val="single" w:color="auto" w:sz="4" w:space="0"/>
              <w:right w:val="single" w:color="000000"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受2020年新冠疫情影响外出学习活动延后至2021年开展；家庭教育指导手册未完成出版流程，已在推进中预计2021年完成出版</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222"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可持续影响指标</w:t>
            </w: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北京市中小学生思想道德发展水平，教师育人能力</w:t>
            </w:r>
            <w:r>
              <w:rPr>
                <w:rFonts w:ascii="仿宋_GB2312" w:hAnsi="仿宋_GB2312" w:eastAsia="仿宋_GB2312" w:cs="宋体"/>
                <w:color w:val="000000"/>
                <w:kern w:val="0"/>
                <w:szCs w:val="21"/>
              </w:rPr>
              <w:t xml:space="preserve"> </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提升</w:t>
            </w:r>
          </w:p>
        </w:tc>
        <w:tc>
          <w:tcPr>
            <w:tcW w:w="1197" w:type="pct"/>
            <w:gridSpan w:val="3"/>
            <w:tcBorders>
              <w:top w:val="nil"/>
              <w:left w:val="nil"/>
              <w:bottom w:val="single" w:color="auto" w:sz="4" w:space="0"/>
              <w:right w:val="single" w:color="auto" w:sz="4" w:space="0"/>
            </w:tcBorders>
            <w:shd w:val="clear" w:color="auto" w:fill="auto"/>
            <w:noWrap/>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提升北京市中小学生思想道德发展水平，提升教师育人能力，为学校提供育人问题的解决途径与方法，建立并持续助力培养一支优秀的德育人员团队，为进一步落实党和国家的教育方针，深化教育领域综合改，落实立德树人提供有力支撑</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restart"/>
            <w:tcBorders>
              <w:top w:val="nil"/>
              <w:left w:val="single" w:color="auto" w:sz="4" w:space="0"/>
              <w:bottom w:val="nil"/>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满意度指标</w:t>
            </w:r>
          </w:p>
        </w:tc>
        <w:tc>
          <w:tcPr>
            <w:tcW w:w="222"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服务对象满意度标</w:t>
            </w: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指标1：项目学校满意度</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满意度达85%以上</w:t>
            </w:r>
          </w:p>
        </w:tc>
        <w:tc>
          <w:tcPr>
            <w:tcW w:w="1197" w:type="pct"/>
            <w:gridSpan w:val="3"/>
            <w:tcBorders>
              <w:top w:val="nil"/>
              <w:left w:val="nil"/>
              <w:bottom w:val="single" w:color="auto" w:sz="4" w:space="0"/>
              <w:right w:val="single" w:color="auto" w:sz="4" w:space="0"/>
            </w:tcBorders>
            <w:shd w:val="clear" w:color="auto" w:fill="auto"/>
            <w:noWrap/>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95%</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4</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4</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指标2：区教委满意度</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满意度达85%以上</w:t>
            </w:r>
          </w:p>
        </w:tc>
        <w:tc>
          <w:tcPr>
            <w:tcW w:w="1197" w:type="pct"/>
            <w:gridSpan w:val="3"/>
            <w:tcBorders>
              <w:top w:val="nil"/>
              <w:left w:val="nil"/>
              <w:bottom w:val="single" w:color="auto" w:sz="4" w:space="0"/>
              <w:right w:val="single" w:color="auto" w:sz="4" w:space="0"/>
            </w:tcBorders>
            <w:shd w:val="clear" w:color="auto" w:fill="auto"/>
            <w:noWrap/>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95%</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gridAfter w:val="1"/>
          <w:wAfter w:w="8" w:type="pct"/>
          <w:trHeight w:val="20" w:hRule="atLeast"/>
        </w:trPr>
        <w:tc>
          <w:tcPr>
            <w:tcW w:w="237"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05" w:type="pct"/>
            <w:vMerge w:val="continue"/>
            <w:tcBorders>
              <w:top w:val="nil"/>
              <w:left w:val="single" w:color="auto" w:sz="4" w:space="0"/>
              <w:bottom w:val="nil"/>
              <w:right w:val="single" w:color="auto" w:sz="4" w:space="0"/>
            </w:tcBorders>
            <w:vAlign w:val="center"/>
          </w:tcPr>
          <w:p>
            <w:pPr>
              <w:jc w:val="left"/>
              <w:rPr>
                <w:rFonts w:ascii="仿宋_GB2312" w:hAnsi="仿宋_GB2312" w:eastAsia="仿宋_GB2312" w:cs="宋体"/>
                <w:color w:val="000000"/>
                <w:kern w:val="0"/>
                <w:szCs w:val="21"/>
              </w:rPr>
            </w:pPr>
          </w:p>
        </w:tc>
        <w:tc>
          <w:tcPr>
            <w:tcW w:w="222" w:type="pct"/>
            <w:vMerge w:val="continue"/>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宋体"/>
                <w:color w:val="000000"/>
                <w:kern w:val="0"/>
                <w:szCs w:val="21"/>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指标3：区研究部门满意度</w:t>
            </w:r>
          </w:p>
        </w:tc>
        <w:tc>
          <w:tcPr>
            <w:tcW w:w="1129" w:type="pct"/>
            <w:gridSpan w:val="2"/>
            <w:tcBorders>
              <w:top w:val="nil"/>
              <w:left w:val="nil"/>
              <w:bottom w:val="single" w:color="auto" w:sz="4" w:space="0"/>
              <w:right w:val="single" w:color="auto" w:sz="4" w:space="0"/>
            </w:tcBorders>
            <w:shd w:val="clear" w:color="auto" w:fill="auto"/>
            <w:vAlign w:val="center"/>
          </w:tcPr>
          <w:p>
            <w:pPr>
              <w:jc w:val="left"/>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满意度达85%以上</w:t>
            </w:r>
          </w:p>
        </w:tc>
        <w:tc>
          <w:tcPr>
            <w:tcW w:w="1197" w:type="pct"/>
            <w:gridSpan w:val="3"/>
            <w:tcBorders>
              <w:top w:val="nil"/>
              <w:left w:val="nil"/>
              <w:bottom w:val="single" w:color="auto" w:sz="4" w:space="0"/>
              <w:right w:val="single" w:color="auto" w:sz="4" w:space="0"/>
            </w:tcBorders>
            <w:shd w:val="clear" w:color="auto" w:fill="auto"/>
            <w:noWrap/>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95%</w:t>
            </w:r>
          </w:p>
        </w:tc>
        <w:tc>
          <w:tcPr>
            <w:tcW w:w="222" w:type="pct"/>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249" w:type="pct"/>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3</w:t>
            </w:r>
          </w:p>
        </w:tc>
        <w:tc>
          <w:tcPr>
            <w:tcW w:w="606" w:type="pct"/>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tr>
        <w:tblPrEx>
          <w:tblCellMar>
            <w:top w:w="0" w:type="dxa"/>
            <w:left w:w="108" w:type="dxa"/>
            <w:bottom w:w="0" w:type="dxa"/>
            <w:right w:w="108" w:type="dxa"/>
          </w:tblCellMar>
        </w:tblPrEx>
        <w:trPr>
          <w:wAfter w:w="0" w:type="auto"/>
          <w:trHeight w:val="20" w:hRule="atLeast"/>
        </w:trPr>
        <w:tc>
          <w:tcPr>
            <w:tcW w:w="3912" w:type="pct"/>
            <w:gridSpan w:val="10"/>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总分</w:t>
            </w:r>
          </w:p>
        </w:tc>
        <w:tc>
          <w:tcPr>
            <w:tcW w:w="222" w:type="pct"/>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100</w:t>
            </w:r>
          </w:p>
        </w:tc>
        <w:tc>
          <w:tcPr>
            <w:tcW w:w="249" w:type="pct"/>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96</w:t>
            </w:r>
          </w:p>
        </w:tc>
        <w:tc>
          <w:tcPr>
            <w:tcW w:w="615" w:type="pct"/>
            <w:gridSpan w:val="3"/>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hAnsi="仿宋_GB2312" w:eastAsia="仿宋_GB2312" w:cs="宋体"/>
                <w:color w:val="000000"/>
                <w:kern w:val="0"/>
                <w:szCs w:val="21"/>
              </w:rPr>
            </w:pPr>
            <w:r>
              <w:rPr>
                <w:rFonts w:hint="eastAsia" w:ascii="仿宋_GB2312" w:hAnsi="仿宋_GB2312" w:eastAsia="仿宋_GB2312" w:cs="宋体"/>
                <w:color w:val="000000"/>
                <w:kern w:val="0"/>
                <w:szCs w:val="21"/>
              </w:rPr>
              <w:t>　</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仿宋_GB2312">
    <w:altName w:val="仿宋"/>
    <w:panose1 w:val="00000000000000000000"/>
    <w:charset w:val="86"/>
    <w:family w:val="script"/>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1C6A"/>
    <w:rsid w:val="00095D9E"/>
    <w:rsid w:val="00200885"/>
    <w:rsid w:val="003F67E7"/>
    <w:rsid w:val="004075AE"/>
    <w:rsid w:val="00411C6A"/>
    <w:rsid w:val="00610D90"/>
    <w:rsid w:val="006956E0"/>
    <w:rsid w:val="00991CA4"/>
    <w:rsid w:val="009F51D7"/>
    <w:rsid w:val="00AA1B21"/>
    <w:rsid w:val="00B82487"/>
    <w:rsid w:val="00CC7E2C"/>
    <w:rsid w:val="00E426E0"/>
    <w:rsid w:val="00F1270D"/>
    <w:rsid w:val="374673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rFonts w:ascii="Times New Roman" w:hAnsi="Times New Roman" w:eastAsia="宋体" w:cs="Times New Roman"/>
      <w:sz w:val="18"/>
      <w:szCs w:val="18"/>
    </w:rPr>
  </w:style>
  <w:style w:type="character" w:customStyle="1" w:styleId="7">
    <w:name w:val="页脚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488</Words>
  <Characters>2783</Characters>
  <Lines>23</Lines>
  <Paragraphs>6</Paragraphs>
  <TotalTime>6</TotalTime>
  <ScaleCrop>false</ScaleCrop>
  <LinksUpToDate>false</LinksUpToDate>
  <CharactersWithSpaces>3265</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2021-05-25T01:24:00Z</dcterms:created>
  <dc:creator>Microsoft Office User</dc:creator>
  <cp:lastModifiedBy>S</cp:lastModifiedBy>
  <dcterms:modified xsi:type="dcterms:W3CDTF">2021-05-27T02:42:40Z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4835E768F03848879ECD3BB4D23ED8BE</vt:lpwstr>
  </property>
</Properties>
</file>