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ascii="黑体" w:hAnsi="黑体" w:eastAsia="黑体"/>
          <w:sz w:val="32"/>
          <w:szCs w:val="32"/>
        </w:rPr>
        <w:t>附件3</w:t>
      </w:r>
    </w:p>
    <w:p/>
    <w:tbl>
      <w:tblPr>
        <w:tblStyle w:val="4"/>
        <w:tblW w:w="9639" w:type="dxa"/>
        <w:tblInd w:w="0" w:type="dxa"/>
        <w:tblLayout w:type="fixed"/>
        <w:tblCellMar>
          <w:top w:w="0" w:type="dxa"/>
          <w:left w:w="108" w:type="dxa"/>
          <w:bottom w:w="0" w:type="dxa"/>
          <w:right w:w="108" w:type="dxa"/>
        </w:tblCellMar>
      </w:tblPr>
      <w:tblGrid>
        <w:gridCol w:w="1137"/>
        <w:gridCol w:w="426"/>
        <w:gridCol w:w="567"/>
        <w:gridCol w:w="708"/>
        <w:gridCol w:w="699"/>
        <w:gridCol w:w="577"/>
        <w:gridCol w:w="1275"/>
        <w:gridCol w:w="1133"/>
        <w:gridCol w:w="142"/>
        <w:gridCol w:w="841"/>
        <w:gridCol w:w="151"/>
        <w:gridCol w:w="700"/>
        <w:gridCol w:w="292"/>
        <w:gridCol w:w="991"/>
      </w:tblGrid>
      <w:tr>
        <w:tblPrEx>
          <w:tblCellMar>
            <w:top w:w="0" w:type="dxa"/>
            <w:left w:w="108" w:type="dxa"/>
            <w:bottom w:w="0" w:type="dxa"/>
            <w:right w:w="108" w:type="dxa"/>
          </w:tblCellMar>
        </w:tblPrEx>
        <w:trPr>
          <w:trHeight w:val="800" w:hRule="atLeast"/>
        </w:trPr>
        <w:tc>
          <w:tcPr>
            <w:tcW w:w="9639" w:type="dxa"/>
            <w:gridSpan w:val="14"/>
            <w:tcBorders>
              <w:bottom w:val="nil"/>
            </w:tcBorders>
            <w:shd w:val="clear" w:color="auto" w:fill="auto"/>
            <w:noWrap/>
            <w:vAlign w:val="center"/>
          </w:tcPr>
          <w:p>
            <w:pPr>
              <w:spacing w:line="480" w:lineRule="exact"/>
              <w:jc w:val="center"/>
              <w:rPr>
                <w:rFonts w:ascii="仿宋" w:hAnsi="仿宋" w:eastAsia="仿宋" w:cs="方正小标宋简体"/>
                <w:b/>
                <w:bCs/>
                <w:color w:val="000000"/>
                <w:kern w:val="0"/>
                <w:szCs w:val="21"/>
              </w:rPr>
            </w:pPr>
            <w:r>
              <w:rPr>
                <w:rFonts w:hint="eastAsia" w:ascii="方正小标宋简体" w:hAnsi="Times New Roman" w:eastAsia="方正小标宋简体" w:cs="Times New Roman"/>
                <w:sz w:val="36"/>
                <w:szCs w:val="36"/>
              </w:rPr>
              <w:t>项目支出绩效自评表</w:t>
            </w:r>
          </w:p>
        </w:tc>
      </w:tr>
      <w:tr>
        <w:tblPrEx>
          <w:tblCellMar>
            <w:top w:w="0" w:type="dxa"/>
            <w:left w:w="108" w:type="dxa"/>
            <w:bottom w:w="0" w:type="dxa"/>
            <w:right w:w="108" w:type="dxa"/>
          </w:tblCellMar>
        </w:tblPrEx>
        <w:trPr>
          <w:trHeight w:val="340" w:hRule="atLeast"/>
        </w:trPr>
        <w:tc>
          <w:tcPr>
            <w:tcW w:w="9639" w:type="dxa"/>
            <w:gridSpan w:val="14"/>
            <w:tcBorders>
              <w:top w:val="nil"/>
              <w:bottom w:val="single" w:color="auto" w:sz="8" w:space="0"/>
            </w:tcBorders>
            <w:shd w:val="clear" w:color="auto" w:fill="auto"/>
            <w:noWrap/>
            <w:vAlign w:val="center"/>
          </w:tcPr>
          <w:p>
            <w:pPr>
              <w:widowControl/>
              <w:jc w:val="center"/>
              <w:rPr>
                <w:rFonts w:ascii="仿宋" w:hAnsi="仿宋" w:eastAsia="仿宋" w:cs="仿宋_GB2312"/>
                <w:color w:val="000000"/>
                <w:kern w:val="0"/>
                <w:szCs w:val="21"/>
              </w:rPr>
            </w:pPr>
            <w:r>
              <w:rPr>
                <w:rFonts w:hint="eastAsia" w:ascii="仿宋_GB2312" w:hAnsi="宋体" w:eastAsia="仿宋_GB2312"/>
                <w:sz w:val="28"/>
                <w:szCs w:val="28"/>
              </w:rPr>
              <w:t xml:space="preserve">  （ 2020 年度）</w:t>
            </w:r>
          </w:p>
        </w:tc>
      </w:tr>
      <w:tr>
        <w:tblPrEx>
          <w:tblCellMar>
            <w:top w:w="0" w:type="dxa"/>
            <w:left w:w="108" w:type="dxa"/>
            <w:bottom w:w="0" w:type="dxa"/>
            <w:right w:w="108" w:type="dxa"/>
          </w:tblCellMar>
        </w:tblPrEx>
        <w:trPr>
          <w:trHeight w:val="320" w:hRule="atLeast"/>
        </w:trPr>
        <w:tc>
          <w:tcPr>
            <w:tcW w:w="1137" w:type="dxa"/>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8502" w:type="dxa"/>
            <w:gridSpan w:val="13"/>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向基础教育倾斜—北京市中小学生时事政策教育研究与实践</w:t>
            </w:r>
          </w:p>
        </w:tc>
      </w:tr>
      <w:tr>
        <w:tblPrEx>
          <w:tblCellMar>
            <w:top w:w="0" w:type="dxa"/>
            <w:left w:w="108" w:type="dxa"/>
            <w:bottom w:w="0" w:type="dxa"/>
            <w:right w:w="108" w:type="dxa"/>
          </w:tblCellMar>
        </w:tblPrEx>
        <w:trPr>
          <w:trHeight w:val="320" w:hRule="atLeast"/>
        </w:trPr>
        <w:tc>
          <w:tcPr>
            <w:tcW w:w="1137" w:type="dxa"/>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252" w:type="dxa"/>
            <w:gridSpan w:val="6"/>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北京市教育委员会</w:t>
            </w:r>
          </w:p>
        </w:tc>
        <w:tc>
          <w:tcPr>
            <w:tcW w:w="1133"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3117" w:type="dxa"/>
            <w:gridSpan w:val="6"/>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市教委本级事业</w:t>
            </w:r>
          </w:p>
        </w:tc>
      </w:tr>
      <w:tr>
        <w:tblPrEx>
          <w:tblCellMar>
            <w:top w:w="0" w:type="dxa"/>
            <w:left w:w="108" w:type="dxa"/>
            <w:bottom w:w="0" w:type="dxa"/>
            <w:right w:w="108" w:type="dxa"/>
          </w:tblCellMar>
        </w:tblPrEx>
        <w:trPr>
          <w:trHeight w:val="320" w:hRule="atLeast"/>
        </w:trPr>
        <w:tc>
          <w:tcPr>
            <w:tcW w:w="1137" w:type="dxa"/>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252" w:type="dxa"/>
            <w:gridSpan w:val="6"/>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陈德时</w:t>
            </w:r>
          </w:p>
        </w:tc>
        <w:tc>
          <w:tcPr>
            <w:tcW w:w="1133"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3117" w:type="dxa"/>
            <w:gridSpan w:val="6"/>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600" w:hRule="atLeast"/>
        </w:trPr>
        <w:tc>
          <w:tcPr>
            <w:tcW w:w="1137" w:type="dxa"/>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项目资金</w:t>
            </w:r>
            <w:r>
              <w:rPr>
                <w:rFonts w:hint="eastAsia" w:ascii="仿宋_GB2312" w:hAnsi="宋体" w:eastAsia="仿宋_GB2312" w:cs="宋体"/>
                <w:kern w:val="0"/>
                <w:szCs w:val="21"/>
              </w:rPr>
              <w:t>（万元）</w:t>
            </w:r>
          </w:p>
        </w:tc>
        <w:tc>
          <w:tcPr>
            <w:tcW w:w="1701" w:type="dxa"/>
            <w:gridSpan w:val="3"/>
            <w:tcBorders>
              <w:top w:val="single" w:color="auto" w:sz="8" w:space="0"/>
              <w:left w:val="nil"/>
              <w:bottom w:val="nil"/>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76" w:type="dxa"/>
            <w:gridSpan w:val="2"/>
            <w:tcBorders>
              <w:top w:val="single" w:color="auto" w:sz="8" w:space="0"/>
              <w:left w:val="nil"/>
              <w:bottom w:val="nil"/>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年初预</w:t>
            </w:r>
            <w:r>
              <w:rPr>
                <w:rFonts w:hint="eastAsia" w:ascii="仿宋_GB2312" w:hAnsi="宋体" w:eastAsia="仿宋_GB2312" w:cs="宋体"/>
                <w:kern w:val="0"/>
                <w:szCs w:val="21"/>
              </w:rPr>
              <w:t>算数</w:t>
            </w:r>
          </w:p>
        </w:tc>
        <w:tc>
          <w:tcPr>
            <w:tcW w:w="1275" w:type="dxa"/>
            <w:tcBorders>
              <w:top w:val="nil"/>
              <w:left w:val="nil"/>
              <w:bottom w:val="nil"/>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全年预</w:t>
            </w:r>
            <w:r>
              <w:rPr>
                <w:rFonts w:hint="eastAsia" w:ascii="仿宋_GB2312" w:hAnsi="宋体" w:eastAsia="仿宋_GB2312" w:cs="宋体"/>
                <w:kern w:val="0"/>
                <w:szCs w:val="21"/>
              </w:rPr>
              <w:t>算数</w:t>
            </w:r>
          </w:p>
        </w:tc>
        <w:tc>
          <w:tcPr>
            <w:tcW w:w="1133" w:type="dxa"/>
            <w:tcBorders>
              <w:top w:val="single" w:color="auto" w:sz="8" w:space="0"/>
              <w:left w:val="nil"/>
              <w:bottom w:val="nil"/>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全年执行数</w:t>
            </w:r>
          </w:p>
        </w:tc>
        <w:tc>
          <w:tcPr>
            <w:tcW w:w="1134" w:type="dxa"/>
            <w:gridSpan w:val="3"/>
            <w:tcBorders>
              <w:top w:val="single" w:color="auto" w:sz="8" w:space="0"/>
              <w:left w:val="nil"/>
              <w:bottom w:val="nil"/>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992" w:type="dxa"/>
            <w:gridSpan w:val="2"/>
            <w:tcBorders>
              <w:top w:val="single" w:color="auto" w:sz="8" w:space="0"/>
              <w:left w:val="nil"/>
              <w:bottom w:val="nil"/>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991" w:type="dxa"/>
            <w:tcBorders>
              <w:top w:val="nil"/>
              <w:left w:val="nil"/>
              <w:bottom w:val="nil"/>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20" w:hRule="atLeast"/>
        </w:trPr>
        <w:tc>
          <w:tcPr>
            <w:tcW w:w="1137" w:type="dxa"/>
            <w:vMerge w:val="continue"/>
            <w:tcBorders>
              <w:top w:val="single" w:color="auto" w:sz="8" w:space="0"/>
              <w:left w:val="single" w:color="auto" w:sz="8" w:space="0"/>
              <w:bottom w:val="single" w:color="000000" w:sz="8" w:space="0"/>
              <w:right w:val="single" w:color="000000" w:sz="8" w:space="0"/>
            </w:tcBorders>
            <w:vAlign w:val="center"/>
          </w:tcPr>
          <w:p>
            <w:pPr>
              <w:widowControl/>
              <w:spacing w:line="240" w:lineRule="exact"/>
              <w:jc w:val="center"/>
              <w:rPr>
                <w:rFonts w:ascii="仿宋_GB2312" w:hAnsi="宋体" w:eastAsia="仿宋_GB2312" w:cs="宋体"/>
                <w:kern w:val="0"/>
                <w:szCs w:val="21"/>
              </w:rPr>
            </w:pPr>
          </w:p>
        </w:tc>
        <w:tc>
          <w:tcPr>
            <w:tcW w:w="1701" w:type="dxa"/>
            <w:gridSpan w:val="3"/>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276"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1275"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1133"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29.9</w:t>
            </w:r>
          </w:p>
        </w:tc>
        <w:tc>
          <w:tcPr>
            <w:tcW w:w="1134" w:type="dxa"/>
            <w:gridSpan w:val="3"/>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992"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99.67%</w:t>
            </w:r>
          </w:p>
        </w:tc>
        <w:tc>
          <w:tcPr>
            <w:tcW w:w="991"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tblPrEx>
          <w:tblCellMar>
            <w:top w:w="0" w:type="dxa"/>
            <w:left w:w="108" w:type="dxa"/>
            <w:bottom w:w="0" w:type="dxa"/>
            <w:right w:w="108" w:type="dxa"/>
          </w:tblCellMar>
        </w:tblPrEx>
        <w:trPr>
          <w:trHeight w:val="320" w:hRule="atLeast"/>
        </w:trPr>
        <w:tc>
          <w:tcPr>
            <w:tcW w:w="1137" w:type="dxa"/>
            <w:vMerge w:val="continue"/>
            <w:tcBorders>
              <w:top w:val="single" w:color="auto" w:sz="8" w:space="0"/>
              <w:left w:val="single" w:color="auto" w:sz="8" w:space="0"/>
              <w:bottom w:val="single" w:color="000000" w:sz="8" w:space="0"/>
              <w:right w:val="single" w:color="000000" w:sz="8" w:space="0"/>
            </w:tcBorders>
            <w:vAlign w:val="center"/>
          </w:tcPr>
          <w:p>
            <w:pPr>
              <w:widowControl/>
              <w:spacing w:line="240" w:lineRule="exact"/>
              <w:jc w:val="center"/>
              <w:rPr>
                <w:rFonts w:ascii="仿宋_GB2312" w:hAnsi="宋体" w:eastAsia="仿宋_GB2312" w:cs="宋体"/>
                <w:kern w:val="0"/>
                <w:szCs w:val="21"/>
              </w:rPr>
            </w:pPr>
          </w:p>
        </w:tc>
        <w:tc>
          <w:tcPr>
            <w:tcW w:w="1701" w:type="dxa"/>
            <w:gridSpan w:val="3"/>
            <w:tcBorders>
              <w:top w:val="single" w:color="auto" w:sz="8" w:space="0"/>
              <w:left w:val="nil"/>
              <w:bottom w:val="nil"/>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tc>
        <w:tc>
          <w:tcPr>
            <w:tcW w:w="1276"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1275"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1133" w:type="dxa"/>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29.9</w:t>
            </w:r>
          </w:p>
        </w:tc>
        <w:tc>
          <w:tcPr>
            <w:tcW w:w="1134" w:type="dxa"/>
            <w:gridSpan w:val="3"/>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92"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99.67%</w:t>
            </w:r>
          </w:p>
        </w:tc>
        <w:tc>
          <w:tcPr>
            <w:tcW w:w="991"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20" w:hRule="atLeast"/>
        </w:trPr>
        <w:tc>
          <w:tcPr>
            <w:tcW w:w="1137" w:type="dxa"/>
            <w:vMerge w:val="continue"/>
            <w:tcBorders>
              <w:top w:val="single" w:color="auto" w:sz="8" w:space="0"/>
              <w:left w:val="single" w:color="auto" w:sz="8" w:space="0"/>
              <w:bottom w:val="single" w:color="000000" w:sz="8" w:space="0"/>
              <w:right w:val="single" w:color="000000" w:sz="8" w:space="0"/>
            </w:tcBorders>
            <w:vAlign w:val="center"/>
          </w:tcPr>
          <w:p>
            <w:pPr>
              <w:widowControl/>
              <w:spacing w:line="240" w:lineRule="exact"/>
              <w:jc w:val="center"/>
              <w:rPr>
                <w:rFonts w:ascii="仿宋_GB2312" w:hAnsi="宋体" w:eastAsia="仿宋_GB2312" w:cs="宋体"/>
                <w:kern w:val="0"/>
                <w:szCs w:val="21"/>
              </w:rPr>
            </w:pPr>
          </w:p>
        </w:tc>
        <w:tc>
          <w:tcPr>
            <w:tcW w:w="1701" w:type="dxa"/>
            <w:gridSpan w:val="3"/>
            <w:tcBorders>
              <w:top w:val="nil"/>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276" w:type="dxa"/>
            <w:gridSpan w:val="2"/>
            <w:vMerge w:val="continue"/>
            <w:tcBorders>
              <w:top w:val="single" w:color="auto" w:sz="8" w:space="0"/>
              <w:left w:val="single" w:color="auto" w:sz="8" w:space="0"/>
              <w:bottom w:val="single" w:color="000000" w:sz="8" w:space="0"/>
              <w:right w:val="single" w:color="000000" w:sz="8" w:space="0"/>
            </w:tcBorders>
            <w:vAlign w:val="center"/>
          </w:tcPr>
          <w:p>
            <w:pPr>
              <w:widowControl/>
              <w:spacing w:line="240" w:lineRule="exact"/>
              <w:jc w:val="center"/>
              <w:rPr>
                <w:rFonts w:ascii="仿宋_GB2312" w:hAnsi="宋体" w:eastAsia="仿宋_GB2312" w:cs="宋体"/>
                <w:kern w:val="0"/>
                <w:szCs w:val="21"/>
              </w:rPr>
            </w:pPr>
          </w:p>
        </w:tc>
        <w:tc>
          <w:tcPr>
            <w:tcW w:w="1275"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1133" w:type="dxa"/>
            <w:vMerge w:val="continue"/>
            <w:tcBorders>
              <w:top w:val="single" w:color="auto" w:sz="8" w:space="0"/>
              <w:left w:val="single" w:color="auto" w:sz="8" w:space="0"/>
              <w:bottom w:val="single" w:color="000000" w:sz="8" w:space="0"/>
              <w:right w:val="single" w:color="000000" w:sz="8" w:space="0"/>
            </w:tcBorders>
            <w:vAlign w:val="center"/>
          </w:tcPr>
          <w:p>
            <w:pPr>
              <w:widowControl/>
              <w:spacing w:line="240" w:lineRule="exact"/>
              <w:jc w:val="center"/>
              <w:rPr>
                <w:rFonts w:ascii="仿宋_GB2312" w:hAnsi="宋体" w:eastAsia="仿宋_GB2312" w:cs="宋体"/>
                <w:kern w:val="0"/>
                <w:szCs w:val="21"/>
              </w:rPr>
            </w:pPr>
          </w:p>
        </w:tc>
        <w:tc>
          <w:tcPr>
            <w:tcW w:w="1134"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spacing w:line="240" w:lineRule="exact"/>
              <w:jc w:val="center"/>
              <w:rPr>
                <w:rFonts w:ascii="仿宋_GB2312" w:hAnsi="宋体" w:eastAsia="仿宋_GB2312" w:cs="宋体"/>
                <w:kern w:val="0"/>
                <w:szCs w:val="21"/>
              </w:rPr>
            </w:pPr>
          </w:p>
        </w:tc>
        <w:tc>
          <w:tcPr>
            <w:tcW w:w="992" w:type="dxa"/>
            <w:gridSpan w:val="2"/>
            <w:vMerge w:val="continue"/>
            <w:tcBorders>
              <w:top w:val="single" w:color="auto" w:sz="8" w:space="0"/>
              <w:left w:val="single" w:color="auto" w:sz="8" w:space="0"/>
              <w:bottom w:val="single" w:color="000000" w:sz="8" w:space="0"/>
              <w:right w:val="single" w:color="000000" w:sz="8" w:space="0"/>
            </w:tcBorders>
            <w:vAlign w:val="center"/>
          </w:tcPr>
          <w:p>
            <w:pPr>
              <w:widowControl/>
              <w:spacing w:line="240" w:lineRule="exact"/>
              <w:jc w:val="center"/>
              <w:rPr>
                <w:rFonts w:ascii="仿宋_GB2312" w:hAnsi="宋体" w:eastAsia="仿宋_GB2312" w:cs="宋体"/>
                <w:kern w:val="0"/>
                <w:szCs w:val="21"/>
              </w:rPr>
            </w:pPr>
          </w:p>
        </w:tc>
        <w:tc>
          <w:tcPr>
            <w:tcW w:w="991"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20" w:hRule="atLeast"/>
        </w:trPr>
        <w:tc>
          <w:tcPr>
            <w:tcW w:w="1137" w:type="dxa"/>
            <w:vMerge w:val="continue"/>
            <w:tcBorders>
              <w:top w:val="single" w:color="auto" w:sz="8" w:space="0"/>
              <w:left w:val="single" w:color="auto" w:sz="8" w:space="0"/>
              <w:bottom w:val="single" w:color="000000" w:sz="8" w:space="0"/>
              <w:right w:val="single" w:color="000000" w:sz="8" w:space="0"/>
            </w:tcBorders>
            <w:vAlign w:val="center"/>
          </w:tcPr>
          <w:p>
            <w:pPr>
              <w:widowControl/>
              <w:spacing w:line="240" w:lineRule="exact"/>
              <w:jc w:val="center"/>
              <w:rPr>
                <w:rFonts w:ascii="仿宋_GB2312" w:hAnsi="宋体" w:eastAsia="仿宋_GB2312" w:cs="宋体"/>
                <w:kern w:val="0"/>
                <w:szCs w:val="21"/>
              </w:rPr>
            </w:pPr>
          </w:p>
        </w:tc>
        <w:tc>
          <w:tcPr>
            <w:tcW w:w="1701" w:type="dxa"/>
            <w:gridSpan w:val="3"/>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275" w:type="dxa"/>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133"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gridSpan w:val="3"/>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9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991" w:type="dxa"/>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20" w:hRule="atLeast"/>
        </w:trPr>
        <w:tc>
          <w:tcPr>
            <w:tcW w:w="1137" w:type="dxa"/>
            <w:vMerge w:val="continue"/>
            <w:tcBorders>
              <w:top w:val="single" w:color="auto" w:sz="8" w:space="0"/>
              <w:left w:val="single" w:color="auto" w:sz="8" w:space="0"/>
              <w:bottom w:val="single" w:color="000000" w:sz="8" w:space="0"/>
              <w:right w:val="single" w:color="000000" w:sz="8" w:space="0"/>
            </w:tcBorders>
            <w:vAlign w:val="center"/>
          </w:tcPr>
          <w:p>
            <w:pPr>
              <w:widowControl/>
              <w:spacing w:line="240" w:lineRule="exact"/>
              <w:jc w:val="center"/>
              <w:rPr>
                <w:rFonts w:ascii="仿宋_GB2312" w:hAnsi="宋体" w:eastAsia="仿宋_GB2312" w:cs="宋体"/>
                <w:kern w:val="0"/>
                <w:szCs w:val="21"/>
              </w:rPr>
            </w:pPr>
          </w:p>
        </w:tc>
        <w:tc>
          <w:tcPr>
            <w:tcW w:w="1701" w:type="dxa"/>
            <w:gridSpan w:val="3"/>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bookmarkStart w:id="0" w:name="_GoBack"/>
            <w:bookmarkEnd w:id="0"/>
          </w:p>
        </w:tc>
        <w:tc>
          <w:tcPr>
            <w:tcW w:w="1275" w:type="dxa"/>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133"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gridSpan w:val="3"/>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9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991" w:type="dxa"/>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20" w:hRule="atLeast"/>
        </w:trPr>
        <w:tc>
          <w:tcPr>
            <w:tcW w:w="1137" w:type="dxa"/>
            <w:vMerge w:val="restart"/>
            <w:tcBorders>
              <w:top w:val="nil"/>
              <w:left w:val="single" w:color="auto" w:sz="8" w:space="0"/>
              <w:bottom w:val="nil"/>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4252" w:type="dxa"/>
            <w:gridSpan w:val="6"/>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4250" w:type="dxa"/>
            <w:gridSpan w:val="7"/>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1220" w:hRule="atLeast"/>
        </w:trPr>
        <w:tc>
          <w:tcPr>
            <w:tcW w:w="1137" w:type="dxa"/>
            <w:vMerge w:val="continue"/>
            <w:tcBorders>
              <w:top w:val="nil"/>
              <w:left w:val="single" w:color="auto" w:sz="8" w:space="0"/>
              <w:bottom w:val="nil"/>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52" w:type="dxa"/>
            <w:gridSpan w:val="6"/>
            <w:tcBorders>
              <w:top w:val="single" w:color="auto" w:sz="8" w:space="0"/>
              <w:left w:val="nil"/>
              <w:bottom w:val="nil"/>
              <w:right w:val="single" w:color="000000" w:sz="8"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1.通过调研、研究、组织示范与培训，形成北京市中小学生升旗仪式教育规范标准及指导意见，促进以升旗仪式为抓手的爱国主义教育内涵发展。</w:t>
            </w:r>
          </w:p>
        </w:tc>
        <w:tc>
          <w:tcPr>
            <w:tcW w:w="4250" w:type="dxa"/>
            <w:gridSpan w:val="7"/>
            <w:tcBorders>
              <w:top w:val="single" w:color="auto" w:sz="8" w:space="0"/>
              <w:left w:val="nil"/>
              <w:bottom w:val="nil"/>
              <w:right w:val="single" w:color="auto" w:sz="8"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规范升旗仪式：面向16区及燕山地区征集国旗下演讲实录及视频共计194项，评选出小学组一等奖17项、二等奖28项、三等奖54项；中学组一等奖13项、二等奖23项、三等奖43项。参评作品将成为升旗仪式规范化指导意见的重要参考资料。</w:t>
            </w:r>
          </w:p>
        </w:tc>
      </w:tr>
      <w:tr>
        <w:tblPrEx>
          <w:tblCellMar>
            <w:top w:w="0" w:type="dxa"/>
            <w:left w:w="108" w:type="dxa"/>
            <w:bottom w:w="0" w:type="dxa"/>
            <w:right w:w="108" w:type="dxa"/>
          </w:tblCellMar>
        </w:tblPrEx>
        <w:trPr>
          <w:trHeight w:val="1700" w:hRule="atLeast"/>
        </w:trPr>
        <w:tc>
          <w:tcPr>
            <w:tcW w:w="1137" w:type="dxa"/>
            <w:vMerge w:val="continue"/>
            <w:tcBorders>
              <w:top w:val="nil"/>
              <w:left w:val="single" w:color="auto" w:sz="8" w:space="0"/>
              <w:bottom w:val="nil"/>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52" w:type="dxa"/>
            <w:gridSpan w:val="6"/>
            <w:tcBorders>
              <w:top w:val="nil"/>
              <w:left w:val="nil"/>
              <w:bottom w:val="nil"/>
              <w:right w:val="single" w:color="000000" w:sz="8"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2. 通过赛事活动，帮助学生养成关心时政的习惯，正确认识国内国际形势变化的原因及发展趋势，深入理解党的路线、方针和政策，进而培养学生的爱国主义精神和社会责任感，培育和践行社会主义核心价值观，将所学知识内化为思想道德素质，提高自身核心素养。</w:t>
            </w:r>
          </w:p>
        </w:tc>
        <w:tc>
          <w:tcPr>
            <w:tcW w:w="4250" w:type="dxa"/>
            <w:gridSpan w:val="7"/>
            <w:tcBorders>
              <w:top w:val="nil"/>
              <w:left w:val="nil"/>
              <w:bottom w:val="nil"/>
              <w:right w:val="single" w:color="auto" w:sz="8"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2.第四届北京中学生时事辩论赛：2020年11月28日开赛，历时3周，共有全市16区及燕山地区42支学校代表队参加市赛（东城、朝阳、顺义等区进行了区赛选拔，覆盖学校超百所），历经56场比赛。组委会邀请中学一线名师、教研员、大学思政课教师等10多位专家制定了50余道辩题，邀请多领域专业人士30余人担任评委，200人次大学生、中学生志愿者亦参与其中。</w:t>
            </w:r>
          </w:p>
        </w:tc>
      </w:tr>
      <w:tr>
        <w:tblPrEx>
          <w:tblCellMar>
            <w:top w:w="0" w:type="dxa"/>
            <w:left w:w="108" w:type="dxa"/>
            <w:bottom w:w="0" w:type="dxa"/>
            <w:right w:w="108" w:type="dxa"/>
          </w:tblCellMar>
        </w:tblPrEx>
        <w:trPr>
          <w:trHeight w:val="1520" w:hRule="atLeast"/>
        </w:trPr>
        <w:tc>
          <w:tcPr>
            <w:tcW w:w="1137" w:type="dxa"/>
            <w:vMerge w:val="continue"/>
            <w:tcBorders>
              <w:top w:val="nil"/>
              <w:left w:val="single" w:color="auto" w:sz="8" w:space="0"/>
              <w:bottom w:val="nil"/>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52" w:type="dxa"/>
            <w:gridSpan w:val="6"/>
            <w:tcBorders>
              <w:top w:val="nil"/>
              <w:left w:val="nil"/>
              <w:bottom w:val="nil"/>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4250" w:type="dxa"/>
            <w:gridSpan w:val="7"/>
            <w:tcBorders>
              <w:top w:val="nil"/>
              <w:left w:val="nil"/>
              <w:bottom w:val="nil"/>
              <w:right w:val="single" w:color="auto" w:sz="8"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3.第八届北京中学生社会实践挑战赛：2020年3月开启，以“垃圾分类，从我做起”“节约粮食，践行光盘行动”为主题，号召全市中学围绕垃圾分类和节约粮食组织学生开展丰富多样的社会实践活动，共收到区级优秀作品三百余项，评出共五大类别的各一二三等奖二百余项。</w:t>
            </w:r>
          </w:p>
        </w:tc>
      </w:tr>
      <w:tr>
        <w:tblPrEx>
          <w:tblCellMar>
            <w:top w:w="0" w:type="dxa"/>
            <w:left w:w="108" w:type="dxa"/>
            <w:bottom w:w="0" w:type="dxa"/>
            <w:right w:w="108" w:type="dxa"/>
          </w:tblCellMar>
        </w:tblPrEx>
        <w:trPr>
          <w:trHeight w:val="1220" w:hRule="atLeast"/>
        </w:trPr>
        <w:tc>
          <w:tcPr>
            <w:tcW w:w="1137" w:type="dxa"/>
            <w:vMerge w:val="continue"/>
            <w:tcBorders>
              <w:top w:val="nil"/>
              <w:left w:val="single" w:color="auto" w:sz="8" w:space="0"/>
              <w:bottom w:val="nil"/>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52" w:type="dxa"/>
            <w:gridSpan w:val="6"/>
            <w:tcBorders>
              <w:top w:val="nil"/>
              <w:left w:val="nil"/>
              <w:bottom w:val="nil"/>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4250" w:type="dxa"/>
            <w:gridSpan w:val="7"/>
            <w:tcBorders>
              <w:top w:val="nil"/>
              <w:left w:val="nil"/>
              <w:bottom w:val="single" w:color="auto" w:sz="8" w:space="0"/>
              <w:right w:val="single" w:color="auto" w:sz="8"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4.传唱新童谣评选：2020年的主题为“垃圾分类，从我做起”“节约粮食，践行光盘行动”。16区及燕山地区征集童谣作品共计108项，评选出一等奖20项、二等奖30项、三等奖53项。</w:t>
            </w:r>
          </w:p>
        </w:tc>
      </w:tr>
      <w:tr>
        <w:tblPrEx>
          <w:tblCellMar>
            <w:top w:w="0" w:type="dxa"/>
            <w:left w:w="108" w:type="dxa"/>
            <w:bottom w:w="0" w:type="dxa"/>
            <w:right w:w="108" w:type="dxa"/>
          </w:tblCellMar>
        </w:tblPrEx>
        <w:trPr>
          <w:trHeight w:val="880" w:hRule="atLeast"/>
        </w:trPr>
        <w:tc>
          <w:tcPr>
            <w:tcW w:w="1137"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绩效指标</w:t>
            </w:r>
          </w:p>
        </w:tc>
        <w:tc>
          <w:tcPr>
            <w:tcW w:w="426" w:type="dxa"/>
            <w:tcBorders>
              <w:top w:val="single" w:color="auto" w:sz="8" w:space="0"/>
              <w:left w:val="nil"/>
              <w:bottom w:val="nil"/>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567" w:type="dxa"/>
            <w:tcBorders>
              <w:top w:val="single" w:color="auto" w:sz="8" w:space="0"/>
              <w:left w:val="nil"/>
              <w:bottom w:val="nil"/>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852" w:type="dxa"/>
            <w:gridSpan w:val="2"/>
            <w:tcBorders>
              <w:top w:val="single" w:color="auto" w:sz="8" w:space="0"/>
              <w:left w:val="nil"/>
              <w:bottom w:val="nil"/>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年度</w:t>
            </w:r>
            <w:r>
              <w:rPr>
                <w:rFonts w:hint="eastAsia" w:ascii="仿宋_GB2312" w:hAnsi="宋体" w:eastAsia="仿宋_GB2312" w:cs="宋体"/>
                <w:kern w:val="0"/>
                <w:szCs w:val="21"/>
              </w:rPr>
              <w:t>指标值</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实际</w:t>
            </w:r>
            <w:r>
              <w:rPr>
                <w:rFonts w:hint="eastAsia" w:ascii="仿宋_GB2312" w:hAnsi="宋体" w:eastAsia="仿宋_GB2312" w:cs="宋体"/>
                <w:kern w:val="0"/>
                <w:szCs w:val="21"/>
              </w:rPr>
              <w:t>完成值</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283" w:type="dxa"/>
            <w:gridSpan w:val="2"/>
            <w:tcBorders>
              <w:top w:val="nil"/>
              <w:left w:val="nil"/>
              <w:bottom w:val="nil"/>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偏差原因分析及改进</w:t>
            </w: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98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567"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规范中小学升旗仪式</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16区及燕山地区100所学校</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70%</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r>
              <w:rPr>
                <w:rFonts w:ascii="仿宋_GB2312" w:hAnsi="宋体" w:eastAsia="仿宋_GB2312" w:cs="宋体"/>
                <w:kern w:val="0"/>
                <w:szCs w:val="21"/>
              </w:rPr>
              <w:t>.5</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受2020年新冠疫情影响活动延后至2021年开展</w:t>
            </w:r>
          </w:p>
        </w:tc>
      </w:tr>
      <w:tr>
        <w:tblPrEx>
          <w:tblCellMar>
            <w:top w:w="0" w:type="dxa"/>
            <w:left w:w="108" w:type="dxa"/>
            <w:bottom w:w="0" w:type="dxa"/>
            <w:right w:w="108" w:type="dxa"/>
          </w:tblCellMar>
        </w:tblPrEx>
        <w:trPr>
          <w:trHeight w:val="32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中学生时事辩论赛</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16区及燕山地区48所学校</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2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中学生社会实践挑战赛</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16区及燕山地区1</w:t>
            </w:r>
            <w:r>
              <w:rPr>
                <w:rFonts w:ascii="仿宋_GB2312" w:hAnsi="宋体" w:eastAsia="仿宋_GB2312" w:cs="宋体"/>
                <w:kern w:val="0"/>
                <w:szCs w:val="21"/>
              </w:rPr>
              <w:t>00</w:t>
            </w:r>
            <w:r>
              <w:rPr>
                <w:rFonts w:hint="eastAsia" w:ascii="仿宋_GB2312" w:hAnsi="宋体" w:eastAsia="仿宋_GB2312" w:cs="宋体"/>
                <w:kern w:val="0"/>
                <w:szCs w:val="21"/>
              </w:rPr>
              <w:t>所学校</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2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567"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评选获奖学生</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600名左右</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100%优秀获奖学生</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2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评选优秀指导教师</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300名左右</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100%优秀指导教师</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2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评选优秀组织学校</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20～30个</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100%优秀组织学校</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2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567" w:type="dxa"/>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各类项目完成进度</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严格按照计划执行</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项目截止前完成所有指标</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2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567" w:type="dxa"/>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项目预算控制数 </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30万</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29.9万</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78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567"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社会效益</w:t>
            </w:r>
            <w:r>
              <w:rPr>
                <w:rFonts w:hint="eastAsia" w:ascii="仿宋_GB2312" w:hAnsi="宋体" w:eastAsia="仿宋_GB2312" w:cs="宋体"/>
                <w:kern w:val="0"/>
                <w:szCs w:val="21"/>
              </w:rPr>
              <w:t>指标</w:t>
            </w: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中小学升旗仪式的规范化与质量</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有所提升</w:t>
            </w:r>
          </w:p>
        </w:tc>
        <w:tc>
          <w:tcPr>
            <w:tcW w:w="1275" w:type="dxa"/>
            <w:gridSpan w:val="2"/>
            <w:tcBorders>
              <w:top w:val="nil"/>
              <w:left w:val="nil"/>
              <w:bottom w:val="nil"/>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达成年度指标</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84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参赛学校学生对时事辩论及社会实践的兴趣度与综合能力</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所有增强</w:t>
            </w:r>
          </w:p>
        </w:tc>
        <w:tc>
          <w:tcPr>
            <w:tcW w:w="1275"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达成年度指标</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2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教师的相关教学能力</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所有增强</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达成年度指标</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62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567"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区域内和区域间学校的特色经验共享</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有所推动</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达成年度指标</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76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北京市中小学时事政策教育理论与实践体系</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持续完善</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达成年度指标</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2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满意度指标</w:t>
            </w:r>
          </w:p>
        </w:tc>
        <w:tc>
          <w:tcPr>
            <w:tcW w:w="567"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相关培训教师满意度</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≥90%</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95%</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2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相关项目学校满意度</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≥90%</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95%</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20" w:hRule="atLeast"/>
        </w:trPr>
        <w:tc>
          <w:tcPr>
            <w:tcW w:w="113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426"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nil"/>
              <w:left w:val="single" w:color="auto" w:sz="8" w:space="0"/>
              <w:bottom w:val="single" w:color="000000" w:sz="8" w:space="0"/>
              <w:right w:val="single" w:color="auto" w:sz="8" w:space="0"/>
            </w:tcBorders>
            <w:vAlign w:val="center"/>
          </w:tcPr>
          <w:p>
            <w:pPr>
              <w:widowControl/>
              <w:spacing w:line="240" w:lineRule="exact"/>
              <w:jc w:val="center"/>
              <w:rPr>
                <w:rFonts w:ascii="仿宋_GB2312" w:hAnsi="宋体" w:eastAsia="仿宋_GB2312" w:cs="宋体"/>
                <w:kern w:val="0"/>
                <w:szCs w:val="21"/>
              </w:rPr>
            </w:pPr>
          </w:p>
        </w:tc>
        <w:tc>
          <w:tcPr>
            <w:tcW w:w="1407"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相关项目学校学生和家长</w:t>
            </w:r>
          </w:p>
        </w:tc>
        <w:tc>
          <w:tcPr>
            <w:tcW w:w="1852"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≥90%</w:t>
            </w:r>
          </w:p>
        </w:tc>
        <w:tc>
          <w:tcPr>
            <w:tcW w:w="1275" w:type="dxa"/>
            <w:gridSpan w:val="2"/>
            <w:tcBorders>
              <w:top w:val="nil"/>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95%</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20" w:hRule="atLeast"/>
        </w:trPr>
        <w:tc>
          <w:tcPr>
            <w:tcW w:w="6664" w:type="dxa"/>
            <w:gridSpan w:val="9"/>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总分</w:t>
            </w:r>
          </w:p>
        </w:tc>
        <w:tc>
          <w:tcPr>
            <w:tcW w:w="841" w:type="dxa"/>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51"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r>
              <w:rPr>
                <w:rFonts w:ascii="仿宋_GB2312" w:hAnsi="宋体" w:eastAsia="仿宋_GB2312" w:cs="宋体"/>
                <w:kern w:val="0"/>
                <w:szCs w:val="21"/>
              </w:rPr>
              <w:t>8.5</w:t>
            </w:r>
          </w:p>
        </w:tc>
        <w:tc>
          <w:tcPr>
            <w:tcW w:w="1283"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bl>
    <w:p>
      <w:pPr>
        <w:widowControl/>
        <w:spacing w:line="240" w:lineRule="exact"/>
        <w:jc w:val="center"/>
        <w:rPr>
          <w:rFonts w:ascii="仿宋_GB2312" w:hAnsi="宋体" w:eastAsia="仿宋_GB2312" w:cs="宋体"/>
          <w:kern w:val="0"/>
          <w:szCs w:val="21"/>
        </w:rPr>
      </w:pPr>
    </w:p>
    <w:sectPr>
      <w:pgSz w:w="11906" w:h="16838"/>
      <w:pgMar w:top="1440" w:right="1440" w:bottom="1440"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10" w:usb3="00000000" w:csb0="000401FF" w:csb1="00000000"/>
  </w:font>
  <w:font w:name="仿宋_GB2312">
    <w:altName w:val="仿宋"/>
    <w:panose1 w:val="00000000000000000000"/>
    <w:charset w:val="86"/>
    <w:family w:val="script"/>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66FB7"/>
    <w:rsid w:val="00105807"/>
    <w:rsid w:val="002B0A67"/>
    <w:rsid w:val="0045353F"/>
    <w:rsid w:val="0046516A"/>
    <w:rsid w:val="00480F7D"/>
    <w:rsid w:val="004C06D8"/>
    <w:rsid w:val="0077399D"/>
    <w:rsid w:val="00925873"/>
    <w:rsid w:val="00966FB7"/>
    <w:rsid w:val="00AB7844"/>
    <w:rsid w:val="00BA203E"/>
    <w:rsid w:val="00BB6C55"/>
    <w:rsid w:val="00C56C47"/>
    <w:rsid w:val="00C820F0"/>
    <w:rsid w:val="00D12595"/>
    <w:rsid w:val="00D237E4"/>
    <w:rsid w:val="00D23C02"/>
    <w:rsid w:val="00D35BA9"/>
    <w:rsid w:val="00E46458"/>
    <w:rsid w:val="00FD43A0"/>
    <w:rsid w:val="05FE15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258</Words>
  <Characters>1471</Characters>
  <Lines>12</Lines>
  <Paragraphs>3</Paragraphs>
  <TotalTime>49</TotalTime>
  <ScaleCrop>false</ScaleCrop>
  <LinksUpToDate>false</LinksUpToDate>
  <CharactersWithSpaces>1726</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2021-05-24T14:41:00Z</dcterms:created>
  <dc:creator>大人 水</dc:creator>
  <cp:lastModifiedBy>S</cp:lastModifiedBy>
  <dcterms:modified xsi:type="dcterms:W3CDTF">2021-05-27T02:35:06Z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EE8C92F900E6436BB1240C26746A8B15</vt:lpwstr>
  </property>
</Properties>
</file>