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104" w:rsidRDefault="00026D26" w:rsidP="00811A63">
      <w:pPr>
        <w:spacing w:beforeLines="100" w:line="560" w:lineRule="exact"/>
        <w:jc w:val="center"/>
        <w:rPr>
          <w:rFonts w:ascii="方正小标宋简体" w:eastAsia="方正小标宋简体"/>
          <w:sz w:val="44"/>
          <w:szCs w:val="44"/>
        </w:rPr>
      </w:pPr>
      <w:r>
        <w:rPr>
          <w:rFonts w:ascii="方正小标宋简体" w:eastAsia="方正小标宋简体" w:hint="eastAsia"/>
          <w:sz w:val="44"/>
          <w:szCs w:val="44"/>
        </w:rPr>
        <w:t>北京高校科技成果转移转化</w:t>
      </w:r>
      <w:r>
        <w:rPr>
          <w:rFonts w:ascii="方正小标宋简体" w:eastAsia="方正小标宋简体"/>
          <w:sz w:val="44"/>
          <w:szCs w:val="44"/>
        </w:rPr>
        <w:br/>
      </w:r>
      <w:r>
        <w:rPr>
          <w:rFonts w:ascii="方正小标宋简体" w:eastAsia="方正小标宋简体" w:hint="eastAsia"/>
          <w:sz w:val="44"/>
          <w:szCs w:val="44"/>
        </w:rPr>
        <w:t>促进中心建设管理办法</w:t>
      </w:r>
    </w:p>
    <w:p w:rsidR="00602104" w:rsidRDefault="00602104">
      <w:pPr>
        <w:spacing w:line="560" w:lineRule="exact"/>
        <w:jc w:val="center"/>
        <w:rPr>
          <w:rFonts w:ascii="楷体_GB2312" w:eastAsia="楷体_GB2312"/>
          <w:sz w:val="32"/>
          <w:szCs w:val="32"/>
        </w:rPr>
      </w:pPr>
    </w:p>
    <w:p w:rsidR="00602104" w:rsidRDefault="00026D26" w:rsidP="00811A63">
      <w:pPr>
        <w:spacing w:afterLines="100" w:line="560" w:lineRule="exact"/>
        <w:jc w:val="center"/>
        <w:rPr>
          <w:rFonts w:ascii="黑体" w:eastAsia="黑体"/>
          <w:sz w:val="32"/>
          <w:szCs w:val="32"/>
        </w:rPr>
      </w:pPr>
      <w:r>
        <w:rPr>
          <w:rFonts w:ascii="黑体" w:eastAsia="黑体" w:hint="eastAsia"/>
          <w:sz w:val="32"/>
          <w:szCs w:val="32"/>
        </w:rPr>
        <w:t>第一章  总  则</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 xml:space="preserve">第一条 </w:t>
      </w:r>
      <w:r>
        <w:rPr>
          <w:rFonts w:ascii="仿宋_GB2312" w:eastAsia="仿宋_GB2312" w:hint="eastAsia"/>
          <w:sz w:val="32"/>
          <w:szCs w:val="32"/>
        </w:rPr>
        <w:t>为贯彻落实</w:t>
      </w:r>
      <w:r>
        <w:rPr>
          <w:rFonts w:ascii="仿宋_GB2312" w:eastAsia="仿宋_GB2312" w:hint="eastAsia"/>
          <w:color w:val="000000" w:themeColor="text1"/>
          <w:sz w:val="32"/>
          <w:szCs w:val="32"/>
        </w:rPr>
        <w:t>《北京市促进科技成果转化条例》和《关于提升高等学校专利质量促进转化运用的若干意见》</w:t>
      </w:r>
      <w:r>
        <w:rPr>
          <w:rFonts w:ascii="仿宋_GB2312" w:eastAsia="仿宋_GB2312" w:hint="eastAsia"/>
          <w:sz w:val="32"/>
          <w:szCs w:val="32"/>
        </w:rPr>
        <w:t>，</w:t>
      </w:r>
      <w:r>
        <w:rPr>
          <w:rFonts w:ascii="仿宋_GB2312" w:eastAsia="仿宋_GB2312" w:hint="eastAsia"/>
          <w:color w:val="000000" w:themeColor="text1"/>
          <w:sz w:val="32"/>
          <w:szCs w:val="32"/>
        </w:rPr>
        <w:t>提升北京高校专利质量，加快促进科技成果转移转化</w:t>
      </w:r>
      <w:r>
        <w:rPr>
          <w:rFonts w:ascii="仿宋_GB2312" w:eastAsia="仿宋_GB2312" w:hint="eastAsia"/>
          <w:sz w:val="32"/>
          <w:szCs w:val="32"/>
        </w:rPr>
        <w:t>，建设一批北京高校科技成果转移转化促进中心（以下简称“中心”）。为规范中心建设与运行管理，制订本办法。</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第二条</w:t>
      </w:r>
      <w:r>
        <w:rPr>
          <w:rFonts w:ascii="仿宋_GB2312" w:eastAsia="仿宋_GB2312" w:hint="eastAsia"/>
          <w:sz w:val="32"/>
          <w:szCs w:val="32"/>
        </w:rPr>
        <w:t xml:space="preserve"> 中心建设由北京地区高校牵头，政府、企业、科研机构和技术转移服务机构等协同合作，重点面向北京科技成果转移转化市场需求，开展知识产权、科技成果转移转化和</w:t>
      </w:r>
      <w:r>
        <w:rPr>
          <w:rFonts w:ascii="仿宋_GB2312" w:eastAsia="仿宋_GB2312" w:hint="eastAsia"/>
          <w:color w:val="000000" w:themeColor="text1"/>
          <w:sz w:val="32"/>
          <w:szCs w:val="32"/>
        </w:rPr>
        <w:t>转移人才实践培养等</w:t>
      </w:r>
      <w:r>
        <w:rPr>
          <w:rFonts w:ascii="仿宋_GB2312" w:eastAsia="仿宋_GB2312" w:hint="eastAsia"/>
          <w:sz w:val="32"/>
          <w:szCs w:val="32"/>
        </w:rPr>
        <w:t>工作。</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第三条</w:t>
      </w:r>
      <w:r>
        <w:rPr>
          <w:rFonts w:ascii="仿宋_GB2312" w:eastAsia="仿宋_GB2312" w:hint="eastAsia"/>
          <w:sz w:val="32"/>
          <w:szCs w:val="32"/>
        </w:rPr>
        <w:t xml:space="preserve"> 中心是促进学校开展知识产权创造、运用和管理，促进科技成果转让、许可、作价投资、衍生创业等成果转移转化和推进</w:t>
      </w:r>
      <w:r>
        <w:rPr>
          <w:rFonts w:ascii="仿宋_GB2312" w:eastAsia="仿宋_GB2312" w:hint="eastAsia"/>
          <w:color w:val="000000" w:themeColor="text1"/>
          <w:sz w:val="32"/>
          <w:szCs w:val="32"/>
        </w:rPr>
        <w:t>技术转移人才实践培养</w:t>
      </w:r>
      <w:r>
        <w:rPr>
          <w:rFonts w:ascii="仿宋_GB2312" w:eastAsia="仿宋_GB2312" w:hint="eastAsia"/>
          <w:sz w:val="32"/>
          <w:szCs w:val="32"/>
        </w:rPr>
        <w:t>的综合服务机构。</w:t>
      </w:r>
    </w:p>
    <w:p w:rsidR="00602104" w:rsidRDefault="00026D26" w:rsidP="00811A63">
      <w:pPr>
        <w:spacing w:beforeLines="100" w:afterLines="100" w:line="560" w:lineRule="exact"/>
        <w:jc w:val="center"/>
        <w:rPr>
          <w:rFonts w:ascii="黑体" w:eastAsia="黑体"/>
          <w:sz w:val="32"/>
          <w:szCs w:val="32"/>
        </w:rPr>
      </w:pPr>
      <w:r>
        <w:rPr>
          <w:rFonts w:ascii="黑体" w:eastAsia="黑体" w:hint="eastAsia"/>
          <w:sz w:val="32"/>
          <w:szCs w:val="32"/>
        </w:rPr>
        <w:t>第二章  组织模式</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第四条</w:t>
      </w:r>
      <w:r>
        <w:rPr>
          <w:rFonts w:ascii="仿宋_GB2312" w:eastAsia="仿宋_GB2312" w:hint="eastAsia"/>
          <w:sz w:val="32"/>
          <w:szCs w:val="32"/>
        </w:rPr>
        <w:t xml:space="preserve"> 市教委是中心建设主管部门，负责确定中心建设的总体布局，宏观指导和协调中心建设实施等工作。</w:t>
      </w:r>
    </w:p>
    <w:p w:rsidR="00602104" w:rsidRDefault="00026D26">
      <w:pPr>
        <w:spacing w:line="560" w:lineRule="exact"/>
        <w:ind w:firstLineChars="200" w:firstLine="640"/>
        <w:rPr>
          <w:rFonts w:ascii="楷体_GB2312" w:eastAsia="楷体_GB2312"/>
          <w:sz w:val="32"/>
          <w:szCs w:val="32"/>
        </w:rPr>
      </w:pPr>
      <w:r>
        <w:rPr>
          <w:rFonts w:ascii="楷体_GB2312" w:eastAsia="楷体_GB2312" w:hint="eastAsia"/>
          <w:sz w:val="32"/>
          <w:szCs w:val="32"/>
        </w:rPr>
        <w:t xml:space="preserve">第五条 </w:t>
      </w:r>
      <w:r>
        <w:rPr>
          <w:rFonts w:ascii="仿宋_GB2312" w:eastAsia="仿宋_GB2312" w:hint="eastAsia"/>
          <w:sz w:val="32"/>
          <w:szCs w:val="32"/>
        </w:rPr>
        <w:t>依托高校是中心建设责任主体，负责中心建设的组织申请、预算编报、统筹协调、实施保障、监督管理、定期检查指导与跟踪问效等工作。</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lastRenderedPageBreak/>
        <w:t xml:space="preserve">第六条 </w:t>
      </w:r>
      <w:r>
        <w:rPr>
          <w:rFonts w:ascii="仿宋_GB2312" w:eastAsia="仿宋_GB2312" w:hint="eastAsia"/>
          <w:sz w:val="32"/>
          <w:szCs w:val="32"/>
        </w:rPr>
        <w:t>中心实行依托高校领导下的主任负责制，建设周期为五年。中心主任由依托高校的科技成果转化和技术转移管理部门主要领导担任，具体负责中心建设、运行和日常管理等工作。</w:t>
      </w:r>
    </w:p>
    <w:p w:rsidR="00602104" w:rsidRDefault="00026D26" w:rsidP="00811A63">
      <w:pPr>
        <w:spacing w:beforeLines="100" w:afterLines="100" w:line="560" w:lineRule="exact"/>
        <w:jc w:val="center"/>
        <w:rPr>
          <w:rFonts w:ascii="黑体" w:eastAsia="黑体"/>
          <w:sz w:val="32"/>
          <w:szCs w:val="32"/>
        </w:rPr>
      </w:pPr>
      <w:r>
        <w:rPr>
          <w:rFonts w:ascii="黑体" w:eastAsia="黑体" w:hint="eastAsia"/>
          <w:sz w:val="32"/>
          <w:szCs w:val="32"/>
        </w:rPr>
        <w:t>第三章  申报与评审</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第七条</w:t>
      </w:r>
      <w:r>
        <w:rPr>
          <w:rFonts w:ascii="仿宋_GB2312" w:eastAsia="仿宋_GB2312" w:hint="eastAsia"/>
          <w:sz w:val="32"/>
          <w:szCs w:val="32"/>
        </w:rPr>
        <w:t xml:space="preserve"> 市教委依据中心建设规划，面向北京地区高校发布开展中心建设的通知。</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第八条</w:t>
      </w:r>
      <w:r>
        <w:rPr>
          <w:rFonts w:ascii="仿宋_GB2312" w:eastAsia="仿宋_GB2312" w:hint="eastAsia"/>
          <w:sz w:val="32"/>
          <w:szCs w:val="32"/>
        </w:rPr>
        <w:t>依托高校应具备以下条件：</w:t>
      </w:r>
    </w:p>
    <w:p w:rsidR="00602104" w:rsidRDefault="00026D26">
      <w:pPr>
        <w:spacing w:line="560" w:lineRule="exact"/>
        <w:ind w:firstLineChars="200" w:firstLine="640"/>
        <w:rPr>
          <w:rFonts w:ascii="仿宋_GB2312" w:eastAsia="仿宋_GB2312"/>
          <w:sz w:val="32"/>
          <w:szCs w:val="32"/>
        </w:rPr>
      </w:pPr>
      <w:r>
        <w:rPr>
          <w:rFonts w:ascii="仿宋_GB2312" w:eastAsia="仿宋_GB2312" w:hint="eastAsia"/>
          <w:sz w:val="32"/>
          <w:szCs w:val="32"/>
        </w:rPr>
        <w:t>（一）科技成果转移转化工作与学校改革发展事项同规划、同部署、同落实、同考核。</w:t>
      </w:r>
    </w:p>
    <w:p w:rsidR="00602104" w:rsidRDefault="00026D26">
      <w:pPr>
        <w:spacing w:line="560" w:lineRule="exact"/>
        <w:ind w:firstLineChars="200" w:firstLine="640"/>
        <w:rPr>
          <w:rFonts w:ascii="仿宋_GB2312" w:eastAsia="仿宋_GB2312"/>
          <w:sz w:val="32"/>
          <w:szCs w:val="32"/>
        </w:rPr>
      </w:pPr>
      <w:r>
        <w:rPr>
          <w:rFonts w:ascii="仿宋_GB2312" w:eastAsia="仿宋_GB2312" w:hint="eastAsia"/>
          <w:sz w:val="32"/>
          <w:szCs w:val="32"/>
        </w:rPr>
        <w:t>（二）根据国家相关法律法规和政策，已制定科技成果管理、知识产权管理、人员考核评价、离岗兼职创业等促进科技成果转移转化的各项制度。</w:t>
      </w:r>
    </w:p>
    <w:p w:rsidR="00602104" w:rsidRDefault="00026D26">
      <w:pPr>
        <w:spacing w:line="560" w:lineRule="exact"/>
        <w:ind w:firstLineChars="200" w:firstLine="640"/>
        <w:rPr>
          <w:rFonts w:ascii="仿宋_GB2312" w:eastAsia="仿宋_GB2312"/>
          <w:sz w:val="32"/>
          <w:szCs w:val="32"/>
        </w:rPr>
      </w:pPr>
      <w:r>
        <w:rPr>
          <w:rFonts w:ascii="仿宋_GB2312" w:eastAsia="仿宋_GB2312" w:hint="eastAsia"/>
          <w:sz w:val="32"/>
          <w:szCs w:val="32"/>
        </w:rPr>
        <w:t>（三）已建立起较完备的科技成果转移转化、知识产权管理、产学研合作工作机制和体系，相关工作运转顺畅。</w:t>
      </w:r>
    </w:p>
    <w:p w:rsidR="00602104" w:rsidRDefault="00026D26">
      <w:pPr>
        <w:spacing w:line="560" w:lineRule="exact"/>
        <w:ind w:firstLineChars="200" w:firstLine="640"/>
        <w:rPr>
          <w:rFonts w:ascii="仿宋_GB2312" w:eastAsia="仿宋_GB2312"/>
          <w:sz w:val="32"/>
          <w:szCs w:val="32"/>
        </w:rPr>
      </w:pPr>
      <w:r>
        <w:rPr>
          <w:rFonts w:ascii="仿宋_GB2312" w:eastAsia="仿宋_GB2312" w:hint="eastAsia"/>
          <w:sz w:val="32"/>
          <w:szCs w:val="32"/>
        </w:rPr>
        <w:t>（四）拥有一定数量具有较高应用价值的科技成果，近三年科技成果转移转化成绩突出。</w:t>
      </w:r>
    </w:p>
    <w:p w:rsidR="00602104" w:rsidRDefault="00026D26">
      <w:pPr>
        <w:spacing w:line="560" w:lineRule="exact"/>
        <w:ind w:firstLineChars="200" w:firstLine="640"/>
        <w:rPr>
          <w:rFonts w:ascii="仿宋_GB2312" w:eastAsia="仿宋_GB2312"/>
          <w:sz w:val="32"/>
          <w:szCs w:val="32"/>
        </w:rPr>
      </w:pPr>
      <w:r>
        <w:rPr>
          <w:rFonts w:ascii="仿宋_GB2312" w:eastAsia="仿宋_GB2312" w:hint="eastAsia"/>
          <w:sz w:val="32"/>
          <w:szCs w:val="32"/>
        </w:rPr>
        <w:t>（五）对中心建设在岗位设置、人员聘用与激励、经费投入等方面有持续稳定的支持保障。</w:t>
      </w:r>
    </w:p>
    <w:p w:rsidR="00602104" w:rsidRDefault="00026D26">
      <w:pPr>
        <w:spacing w:line="560" w:lineRule="exact"/>
        <w:ind w:firstLineChars="200" w:firstLine="640"/>
        <w:rPr>
          <w:rFonts w:ascii="仿宋_GB2312" w:eastAsia="仿宋_GB2312"/>
          <w:sz w:val="32"/>
        </w:rPr>
      </w:pPr>
      <w:r>
        <w:rPr>
          <w:rFonts w:ascii="楷体_GB2312" w:eastAsia="楷体_GB2312" w:hint="eastAsia"/>
          <w:sz w:val="32"/>
          <w:szCs w:val="32"/>
        </w:rPr>
        <w:t>第九条</w:t>
      </w:r>
      <w:r>
        <w:rPr>
          <w:rFonts w:ascii="仿宋_GB2312" w:eastAsia="仿宋_GB2312" w:hint="eastAsia"/>
          <w:sz w:val="32"/>
          <w:szCs w:val="32"/>
        </w:rPr>
        <w:t xml:space="preserve"> 市教委组织开展中心建设论证评审</w:t>
      </w:r>
      <w:r>
        <w:rPr>
          <w:rFonts w:eastAsia="仿宋_GB2312" w:hint="eastAsia"/>
          <w:sz w:val="32"/>
          <w:szCs w:val="28"/>
        </w:rPr>
        <w:t>，择优批复立项</w:t>
      </w:r>
      <w:r>
        <w:rPr>
          <w:rFonts w:eastAsia="仿宋_GB2312"/>
          <w:sz w:val="32"/>
          <w:szCs w:val="28"/>
        </w:rPr>
        <w:t>。</w:t>
      </w:r>
    </w:p>
    <w:p w:rsidR="00602104" w:rsidRDefault="00026D26" w:rsidP="00811A63">
      <w:pPr>
        <w:spacing w:beforeLines="100" w:afterLines="100" w:line="560" w:lineRule="exact"/>
        <w:jc w:val="center"/>
        <w:rPr>
          <w:rFonts w:ascii="黑体" w:eastAsia="黑体"/>
          <w:sz w:val="32"/>
          <w:szCs w:val="32"/>
        </w:rPr>
      </w:pPr>
      <w:r>
        <w:rPr>
          <w:rFonts w:ascii="黑体" w:eastAsia="黑体" w:hint="eastAsia"/>
          <w:sz w:val="32"/>
          <w:szCs w:val="32"/>
        </w:rPr>
        <w:t>第四章  运行管理</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lastRenderedPageBreak/>
        <w:t>第十条</w:t>
      </w:r>
      <w:r>
        <w:rPr>
          <w:rFonts w:ascii="仿宋_GB2312" w:eastAsia="仿宋_GB2312" w:hint="eastAsia"/>
          <w:sz w:val="32"/>
          <w:szCs w:val="32"/>
        </w:rPr>
        <w:t xml:space="preserve"> 中心要建立健全运行管理制度，构建科技成果转移转化新机制与新模式，明确知识产权管理、科技成果转移转化、技术转移人才培养等工作责任，</w:t>
      </w:r>
      <w:r>
        <w:rPr>
          <w:rFonts w:ascii="仿宋_GB2312" w:eastAsia="仿宋_GB2312"/>
          <w:sz w:val="32"/>
          <w:szCs w:val="32"/>
        </w:rPr>
        <w:t>优化</w:t>
      </w:r>
      <w:r>
        <w:rPr>
          <w:rFonts w:ascii="仿宋_GB2312" w:eastAsia="仿宋_GB2312" w:hint="eastAsia"/>
          <w:sz w:val="32"/>
          <w:szCs w:val="32"/>
        </w:rPr>
        <w:t>相关工作流程。</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第十一条</w:t>
      </w:r>
      <w:r>
        <w:rPr>
          <w:rFonts w:ascii="仿宋_GB2312" w:eastAsia="仿宋_GB2312" w:hint="eastAsia"/>
          <w:sz w:val="32"/>
          <w:szCs w:val="32"/>
        </w:rPr>
        <w:t xml:space="preserve"> 中心建设的重点任务：</w:t>
      </w:r>
    </w:p>
    <w:p w:rsidR="00602104" w:rsidRDefault="00026D26">
      <w:pPr>
        <w:spacing w:line="560" w:lineRule="exact"/>
        <w:ind w:firstLine="640"/>
        <w:rPr>
          <w:rFonts w:ascii="仿宋_GB2312" w:eastAsia="仿宋_GB2312"/>
          <w:sz w:val="32"/>
          <w:szCs w:val="32"/>
        </w:rPr>
      </w:pPr>
      <w:r>
        <w:rPr>
          <w:rFonts w:ascii="仿宋_GB2312" w:eastAsia="仿宋_GB2312" w:hint="eastAsia"/>
          <w:sz w:val="32"/>
          <w:szCs w:val="32"/>
        </w:rPr>
        <w:t>（一）推动科技成果转移转化机制创新，不断提升市场化运营能力。</w:t>
      </w:r>
    </w:p>
    <w:p w:rsidR="00602104" w:rsidRDefault="00026D26">
      <w:pPr>
        <w:spacing w:line="560" w:lineRule="exact"/>
        <w:ind w:firstLine="640"/>
        <w:rPr>
          <w:rFonts w:ascii="仿宋_GB2312" w:eastAsia="仿宋_GB2312"/>
          <w:sz w:val="32"/>
          <w:szCs w:val="32"/>
        </w:rPr>
      </w:pPr>
      <w:r>
        <w:rPr>
          <w:rFonts w:ascii="仿宋_GB2312" w:eastAsia="仿宋_GB2312" w:hint="eastAsia"/>
          <w:sz w:val="32"/>
          <w:szCs w:val="32"/>
        </w:rPr>
        <w:t>（二）</w:t>
      </w:r>
      <w:bookmarkStart w:id="0" w:name="_GoBack"/>
      <w:r>
        <w:rPr>
          <w:rFonts w:ascii="仿宋_GB2312" w:eastAsia="仿宋_GB2312" w:hint="eastAsia"/>
          <w:sz w:val="32"/>
          <w:szCs w:val="32"/>
        </w:rPr>
        <w:t>完善高校知识产权管理和专利申请评估</w:t>
      </w:r>
      <w:bookmarkEnd w:id="0"/>
      <w:r>
        <w:rPr>
          <w:rFonts w:ascii="仿宋_GB2312" w:eastAsia="仿宋_GB2312" w:hint="eastAsia"/>
          <w:sz w:val="32"/>
          <w:szCs w:val="32"/>
        </w:rPr>
        <w:t>，推动知识产权管理和科技创新、科技成果转移转化融合。</w:t>
      </w:r>
    </w:p>
    <w:p w:rsidR="00602104" w:rsidRDefault="00026D26">
      <w:pPr>
        <w:spacing w:line="560" w:lineRule="exact"/>
        <w:ind w:firstLine="640"/>
        <w:rPr>
          <w:rFonts w:ascii="仿宋_GB2312" w:eastAsia="仿宋_GB2312"/>
          <w:sz w:val="32"/>
          <w:szCs w:val="32"/>
        </w:rPr>
      </w:pPr>
      <w:r>
        <w:rPr>
          <w:rFonts w:ascii="仿宋_GB2312" w:eastAsia="仿宋_GB2312" w:hint="eastAsia"/>
          <w:sz w:val="32"/>
          <w:szCs w:val="32"/>
        </w:rPr>
        <w:t>（三）加快专业化技术转移人才培养，推动科技成果转移转化水平提高。</w:t>
      </w:r>
    </w:p>
    <w:p w:rsidR="00602104" w:rsidRDefault="00026D26">
      <w:pPr>
        <w:spacing w:line="560" w:lineRule="exact"/>
        <w:ind w:firstLine="640"/>
        <w:rPr>
          <w:rFonts w:ascii="仿宋_GB2312" w:eastAsia="仿宋_GB2312"/>
          <w:sz w:val="32"/>
          <w:szCs w:val="32"/>
        </w:rPr>
      </w:pPr>
      <w:r>
        <w:rPr>
          <w:rFonts w:ascii="仿宋_GB2312" w:eastAsia="仿宋_GB2312" w:hint="eastAsia"/>
          <w:sz w:val="32"/>
          <w:szCs w:val="32"/>
        </w:rPr>
        <w:t>（四）整合</w:t>
      </w:r>
      <w:r>
        <w:rPr>
          <w:rFonts w:ascii="仿宋_GB2312" w:eastAsia="仿宋_GB2312"/>
          <w:sz w:val="32"/>
          <w:szCs w:val="32"/>
        </w:rPr>
        <w:t>科技成果转移转化</w:t>
      </w:r>
      <w:r>
        <w:rPr>
          <w:rFonts w:ascii="仿宋_GB2312" w:eastAsia="仿宋_GB2312" w:hint="eastAsia"/>
          <w:sz w:val="32"/>
          <w:szCs w:val="32"/>
        </w:rPr>
        <w:t>优质资源，加强</w:t>
      </w:r>
      <w:r>
        <w:rPr>
          <w:rFonts w:ascii="仿宋_GB2312" w:eastAsia="仿宋_GB2312"/>
          <w:sz w:val="32"/>
          <w:szCs w:val="32"/>
        </w:rPr>
        <w:t>科技成果</w:t>
      </w:r>
      <w:r>
        <w:rPr>
          <w:rFonts w:ascii="仿宋_GB2312" w:eastAsia="仿宋_GB2312" w:hint="eastAsia"/>
          <w:sz w:val="32"/>
          <w:szCs w:val="32"/>
        </w:rPr>
        <w:t>转移</w:t>
      </w:r>
      <w:r>
        <w:rPr>
          <w:rFonts w:ascii="仿宋_GB2312" w:eastAsia="仿宋_GB2312"/>
          <w:sz w:val="32"/>
          <w:szCs w:val="32"/>
        </w:rPr>
        <w:t>转化</w:t>
      </w:r>
      <w:r>
        <w:rPr>
          <w:rFonts w:ascii="仿宋_GB2312" w:eastAsia="仿宋_GB2312" w:hint="eastAsia"/>
          <w:sz w:val="32"/>
          <w:szCs w:val="32"/>
        </w:rPr>
        <w:t>资源共享。</w:t>
      </w:r>
    </w:p>
    <w:p w:rsidR="00602104" w:rsidRDefault="00026D26">
      <w:pPr>
        <w:spacing w:line="560" w:lineRule="exact"/>
        <w:ind w:firstLine="640"/>
        <w:rPr>
          <w:rFonts w:ascii="仿宋_GB2312" w:eastAsia="仿宋_GB2312"/>
          <w:sz w:val="32"/>
          <w:szCs w:val="32"/>
        </w:rPr>
      </w:pPr>
      <w:r>
        <w:rPr>
          <w:rFonts w:ascii="仿宋_GB2312" w:eastAsia="仿宋_GB2312" w:hint="eastAsia"/>
          <w:sz w:val="32"/>
          <w:szCs w:val="32"/>
        </w:rPr>
        <w:t>（五）优化</w:t>
      </w:r>
      <w:r>
        <w:rPr>
          <w:rFonts w:ascii="仿宋_GB2312" w:eastAsia="仿宋_GB2312"/>
          <w:sz w:val="32"/>
          <w:szCs w:val="32"/>
        </w:rPr>
        <w:t>科技成果</w:t>
      </w:r>
      <w:r>
        <w:rPr>
          <w:rFonts w:ascii="仿宋_GB2312" w:eastAsia="仿宋_GB2312" w:hint="eastAsia"/>
          <w:sz w:val="32"/>
          <w:szCs w:val="32"/>
        </w:rPr>
        <w:t>转移</w:t>
      </w:r>
      <w:r>
        <w:rPr>
          <w:rFonts w:ascii="仿宋_GB2312" w:eastAsia="仿宋_GB2312"/>
          <w:sz w:val="32"/>
          <w:szCs w:val="32"/>
        </w:rPr>
        <w:t>转化</w:t>
      </w:r>
      <w:r>
        <w:rPr>
          <w:rFonts w:ascii="仿宋_GB2312" w:eastAsia="仿宋_GB2312" w:hint="eastAsia"/>
          <w:sz w:val="32"/>
          <w:szCs w:val="32"/>
        </w:rPr>
        <w:t>专业</w:t>
      </w:r>
      <w:r>
        <w:rPr>
          <w:rFonts w:ascii="仿宋_GB2312" w:eastAsia="仿宋_GB2312"/>
          <w:sz w:val="32"/>
          <w:szCs w:val="32"/>
        </w:rPr>
        <w:t>服务</w:t>
      </w:r>
      <w:r>
        <w:rPr>
          <w:rFonts w:ascii="仿宋_GB2312" w:eastAsia="仿宋_GB2312" w:hint="eastAsia"/>
          <w:sz w:val="32"/>
          <w:szCs w:val="32"/>
        </w:rPr>
        <w:t>，支持学校科研人员持续开展科学研究、技术开发和科技成果转移转化。</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第十二条</w:t>
      </w:r>
      <w:r>
        <w:rPr>
          <w:rFonts w:ascii="仿宋_GB2312" w:eastAsia="仿宋_GB2312" w:hint="eastAsia"/>
          <w:sz w:val="32"/>
          <w:szCs w:val="32"/>
        </w:rPr>
        <w:t xml:space="preserve"> 中心要切实防范道德风险和法律风险，建立服务评价与信用机制，加强自律管理。</w:t>
      </w:r>
    </w:p>
    <w:p w:rsidR="00602104" w:rsidRDefault="00026D26" w:rsidP="00811A63">
      <w:pPr>
        <w:spacing w:beforeLines="100" w:afterLines="100" w:line="560" w:lineRule="exact"/>
        <w:jc w:val="center"/>
        <w:rPr>
          <w:rFonts w:ascii="黑体" w:eastAsia="黑体"/>
          <w:sz w:val="32"/>
          <w:szCs w:val="32"/>
        </w:rPr>
      </w:pPr>
      <w:r>
        <w:rPr>
          <w:rFonts w:ascii="黑体" w:eastAsia="黑体" w:hint="eastAsia"/>
          <w:sz w:val="32"/>
          <w:szCs w:val="32"/>
        </w:rPr>
        <w:t>第五章  经费支持</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第十三条</w:t>
      </w:r>
      <w:r>
        <w:rPr>
          <w:rFonts w:ascii="仿宋_GB2312" w:eastAsia="仿宋_GB2312" w:hint="eastAsia"/>
          <w:sz w:val="32"/>
          <w:szCs w:val="32"/>
        </w:rPr>
        <w:t xml:space="preserve"> 中心根据承担年度建设任务的要求，按需申报经费。每年以设立科技成果转移转化促进项目和引导项目的形式对中心完成建设任务给予支持。</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第十四条</w:t>
      </w:r>
      <w:r>
        <w:rPr>
          <w:rFonts w:ascii="仿宋_GB2312" w:eastAsia="仿宋_GB2312" w:hint="eastAsia"/>
          <w:sz w:val="32"/>
          <w:szCs w:val="32"/>
        </w:rPr>
        <w:t xml:space="preserve"> 科技成果转移转化促进项目用于推动中心科技成果转移转化机制创新、加强知识产权全流程管理、加快专业化技术转移人才培养、加强科技成果转移转化资源共享、</w:t>
      </w:r>
      <w:r>
        <w:rPr>
          <w:rFonts w:ascii="仿宋_GB2312" w:eastAsia="仿宋_GB2312" w:hint="eastAsia"/>
          <w:sz w:val="32"/>
          <w:szCs w:val="32"/>
        </w:rPr>
        <w:lastRenderedPageBreak/>
        <w:t>优化科技成果转移转化专业服务等工作。</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第十五条</w:t>
      </w:r>
      <w:r>
        <w:rPr>
          <w:rFonts w:ascii="仿宋_GB2312" w:eastAsia="仿宋_GB2312" w:hint="eastAsia"/>
          <w:sz w:val="32"/>
          <w:szCs w:val="32"/>
        </w:rPr>
        <w:t xml:space="preserve"> 科技成果转移转化引导项目用于科技成果实施转移转化。根据专业机构和企业意见，对中心储备的具有良好市场发展前景的科技成果转移转化项目和具备转化成为现实生产力的科技成果，给予竞争性引导支持。</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 xml:space="preserve">第十六条 </w:t>
      </w:r>
      <w:r>
        <w:rPr>
          <w:rFonts w:ascii="仿宋_GB2312" w:eastAsia="仿宋_GB2312" w:hint="eastAsia"/>
          <w:sz w:val="32"/>
          <w:szCs w:val="32"/>
        </w:rPr>
        <w:t>科技成果转移转化促进项目</w:t>
      </w:r>
      <w:r w:rsidR="0061014E">
        <w:rPr>
          <w:rFonts w:ascii="仿宋_GB2312" w:eastAsia="仿宋_GB2312" w:hint="eastAsia"/>
          <w:sz w:val="32"/>
          <w:szCs w:val="32"/>
        </w:rPr>
        <w:t>和引导项目</w:t>
      </w:r>
      <w:r>
        <w:rPr>
          <w:rFonts w:ascii="仿宋_GB2312" w:eastAsia="仿宋_GB2312" w:hint="eastAsia"/>
          <w:sz w:val="32"/>
          <w:szCs w:val="32"/>
        </w:rPr>
        <w:t>经费来源为市级财政</w:t>
      </w:r>
      <w:r w:rsidR="004C17E9">
        <w:rPr>
          <w:rFonts w:ascii="仿宋_GB2312" w:eastAsia="仿宋_GB2312" w:hint="eastAsia"/>
          <w:sz w:val="32"/>
          <w:szCs w:val="32"/>
        </w:rPr>
        <w:t>，</w:t>
      </w:r>
      <w:r w:rsidR="0061014E">
        <w:rPr>
          <w:rFonts w:ascii="仿宋_GB2312" w:eastAsia="仿宋_GB2312" w:hint="eastAsia"/>
          <w:sz w:val="32"/>
          <w:szCs w:val="32"/>
        </w:rPr>
        <w:t>预算与管理参照《北京市教委财政科研类项目经费管理办法》（京财教〔2016〕3001号）相关要求执行。</w:t>
      </w:r>
    </w:p>
    <w:p w:rsidR="00602104" w:rsidRDefault="00026D26" w:rsidP="00811A63">
      <w:pPr>
        <w:spacing w:beforeLines="100" w:afterLines="100" w:line="560" w:lineRule="exact"/>
        <w:jc w:val="center"/>
        <w:rPr>
          <w:rFonts w:ascii="黑体" w:eastAsia="黑体"/>
          <w:sz w:val="32"/>
          <w:szCs w:val="32"/>
        </w:rPr>
      </w:pPr>
      <w:r>
        <w:rPr>
          <w:rFonts w:ascii="黑体" w:eastAsia="黑体" w:hint="eastAsia"/>
          <w:sz w:val="32"/>
          <w:szCs w:val="32"/>
        </w:rPr>
        <w:t>第六章  绩效评价</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第十</w:t>
      </w:r>
      <w:r w:rsidR="0061014E">
        <w:rPr>
          <w:rFonts w:ascii="楷体_GB2312" w:eastAsia="楷体_GB2312" w:hint="eastAsia"/>
          <w:sz w:val="32"/>
          <w:szCs w:val="32"/>
        </w:rPr>
        <w:t>七</w:t>
      </w:r>
      <w:r>
        <w:rPr>
          <w:rFonts w:ascii="楷体_GB2312" w:eastAsia="楷体_GB2312" w:hint="eastAsia"/>
          <w:sz w:val="32"/>
          <w:szCs w:val="32"/>
        </w:rPr>
        <w:t xml:space="preserve">条 </w:t>
      </w:r>
      <w:r>
        <w:rPr>
          <w:rFonts w:ascii="仿宋_GB2312" w:eastAsia="仿宋_GB2312" w:hint="eastAsia"/>
          <w:sz w:val="32"/>
          <w:szCs w:val="32"/>
        </w:rPr>
        <w:t>按照中心建设任务要求考核工作情况。重点考核中心体制机制创新、知识产权管理、技术转移人才培养、资源共享、专业</w:t>
      </w:r>
      <w:r>
        <w:rPr>
          <w:rFonts w:ascii="仿宋_GB2312" w:eastAsia="仿宋_GB2312"/>
          <w:sz w:val="32"/>
          <w:szCs w:val="32"/>
        </w:rPr>
        <w:t>服务</w:t>
      </w:r>
      <w:r>
        <w:rPr>
          <w:rFonts w:ascii="仿宋_GB2312" w:eastAsia="仿宋_GB2312" w:hint="eastAsia"/>
          <w:sz w:val="32"/>
          <w:szCs w:val="32"/>
        </w:rPr>
        <w:t>等任务完成情况。</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第十</w:t>
      </w:r>
      <w:r w:rsidR="0061014E">
        <w:rPr>
          <w:rFonts w:ascii="楷体_GB2312" w:eastAsia="楷体_GB2312" w:hint="eastAsia"/>
          <w:sz w:val="32"/>
          <w:szCs w:val="32"/>
        </w:rPr>
        <w:t>八</w:t>
      </w:r>
      <w:r>
        <w:rPr>
          <w:rFonts w:ascii="楷体_GB2312" w:eastAsia="楷体_GB2312" w:hint="eastAsia"/>
          <w:sz w:val="32"/>
          <w:szCs w:val="32"/>
        </w:rPr>
        <w:t>条</w:t>
      </w:r>
      <w:r>
        <w:rPr>
          <w:rFonts w:ascii="仿宋_GB2312" w:eastAsia="仿宋_GB2312" w:hint="eastAsia"/>
          <w:sz w:val="32"/>
          <w:szCs w:val="32"/>
        </w:rPr>
        <w:t xml:space="preserve"> 中心每年开展年度总结，建设满二年后开展中期评价，建设期满后开展周期验收。评价方式主要包括中心自评价、现场考察、专家评议和综合评估等。评价结果分为优秀、合格和不合格。</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w:t>
      </w:r>
      <w:r w:rsidR="0061014E">
        <w:rPr>
          <w:rFonts w:ascii="楷体_GB2312" w:eastAsia="楷体_GB2312" w:hint="eastAsia"/>
          <w:sz w:val="32"/>
          <w:szCs w:val="32"/>
        </w:rPr>
        <w:t>十九</w:t>
      </w:r>
      <w:r>
        <w:rPr>
          <w:rFonts w:ascii="楷体_GB2312" w:eastAsia="楷体_GB2312" w:hint="eastAsia"/>
          <w:sz w:val="32"/>
          <w:szCs w:val="32"/>
        </w:rPr>
        <w:t>条</w:t>
      </w:r>
      <w:r w:rsidR="00811A63">
        <w:rPr>
          <w:rFonts w:ascii="仿宋_GB2312" w:eastAsia="仿宋_GB2312" w:hint="eastAsia"/>
          <w:sz w:val="32"/>
          <w:szCs w:val="32"/>
        </w:rPr>
        <w:t xml:space="preserve"> </w:t>
      </w:r>
      <w:r>
        <w:rPr>
          <w:rFonts w:ascii="仿宋_GB2312" w:eastAsia="仿宋_GB2312" w:hint="eastAsia"/>
          <w:sz w:val="32"/>
          <w:szCs w:val="32"/>
        </w:rPr>
        <w:t>依据绩效评价结果对中心进行分级管理。对评价优秀或合格的中心，分级给予下一周期建设支持；对评价不合格的中心，予以通报并责成限期整改，整改合格后分级给予支持，不合格则停止支持。</w:t>
      </w:r>
    </w:p>
    <w:p w:rsidR="00602104" w:rsidRDefault="00026D26" w:rsidP="00811A63">
      <w:pPr>
        <w:spacing w:beforeLines="100" w:afterLines="100" w:line="560" w:lineRule="exact"/>
        <w:jc w:val="center"/>
        <w:rPr>
          <w:rFonts w:ascii="黑体" w:eastAsia="黑体"/>
          <w:sz w:val="32"/>
          <w:szCs w:val="32"/>
        </w:rPr>
      </w:pPr>
      <w:r>
        <w:rPr>
          <w:rFonts w:ascii="黑体" w:eastAsia="黑体" w:hint="eastAsia"/>
          <w:sz w:val="32"/>
          <w:szCs w:val="32"/>
        </w:rPr>
        <w:t>第七章  附  则</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lastRenderedPageBreak/>
        <w:t>第二十条</w:t>
      </w:r>
      <w:r>
        <w:rPr>
          <w:rFonts w:ascii="仿宋_GB2312" w:eastAsia="仿宋_GB2312" w:hint="eastAsia"/>
          <w:sz w:val="32"/>
          <w:szCs w:val="32"/>
        </w:rPr>
        <w:t xml:space="preserve"> 中心命名统一为“</w:t>
      </w:r>
      <w:r>
        <w:rPr>
          <w:rFonts w:ascii="仿宋_GB2312" w:eastAsia="仿宋_GB2312"/>
          <w:sz w:val="32"/>
          <w:szCs w:val="32"/>
        </w:rPr>
        <w:t>××</w:t>
      </w:r>
      <w:r>
        <w:rPr>
          <w:rFonts w:ascii="仿宋_GB2312" w:eastAsia="仿宋_GB2312" w:hint="eastAsia"/>
          <w:sz w:val="32"/>
          <w:szCs w:val="32"/>
        </w:rPr>
        <w:t>大学北京高校科技成果转移转化促进中心”，</w:t>
      </w:r>
      <w:r>
        <w:rPr>
          <w:rFonts w:ascii="仿宋_GB2312" w:eastAsia="仿宋_GB2312"/>
          <w:sz w:val="32"/>
          <w:szCs w:val="32"/>
        </w:rPr>
        <w:t>英文名称为</w:t>
      </w:r>
      <w:r>
        <w:rPr>
          <w:rFonts w:ascii="仿宋_GB2312" w:eastAsia="仿宋_GB2312" w:hint="eastAsia"/>
          <w:sz w:val="32"/>
          <w:szCs w:val="32"/>
        </w:rPr>
        <w:t xml:space="preserve">“Beijing University </w:t>
      </w:r>
      <w:hyperlink r:id="rId8" w:anchor="keyfrom=E2Ctranslation" w:history="1">
        <w:r>
          <w:rPr>
            <w:rFonts w:ascii="仿宋_GB2312" w:eastAsia="仿宋_GB2312" w:hint="eastAsia"/>
            <w:sz w:val="32"/>
            <w:szCs w:val="32"/>
          </w:rPr>
          <w:t>S</w:t>
        </w:r>
        <w:r>
          <w:rPr>
            <w:rFonts w:ascii="仿宋_GB2312" w:eastAsia="仿宋_GB2312"/>
            <w:sz w:val="32"/>
            <w:szCs w:val="32"/>
          </w:rPr>
          <w:t>cience</w:t>
        </w:r>
        <w:r>
          <w:rPr>
            <w:rFonts w:ascii="仿宋_GB2312" w:eastAsia="仿宋_GB2312" w:hint="eastAsia"/>
            <w:sz w:val="32"/>
            <w:szCs w:val="32"/>
          </w:rPr>
          <w:t xml:space="preserve"> </w:t>
        </w:r>
        <w:r>
          <w:rPr>
            <w:rFonts w:ascii="仿宋_GB2312" w:eastAsia="仿宋_GB2312"/>
            <w:sz w:val="32"/>
            <w:szCs w:val="32"/>
          </w:rPr>
          <w:t>and</w:t>
        </w:r>
        <w:r>
          <w:rPr>
            <w:rFonts w:ascii="仿宋_GB2312" w:eastAsia="仿宋_GB2312" w:hint="eastAsia"/>
            <w:sz w:val="32"/>
            <w:szCs w:val="32"/>
          </w:rPr>
          <w:t xml:space="preserve"> T</w:t>
        </w:r>
        <w:r>
          <w:rPr>
            <w:rFonts w:ascii="仿宋_GB2312" w:eastAsia="仿宋_GB2312"/>
            <w:sz w:val="32"/>
            <w:szCs w:val="32"/>
          </w:rPr>
          <w:t>echnology</w:t>
        </w:r>
      </w:hyperlink>
      <w:r>
        <w:rPr>
          <w:rFonts w:ascii="仿宋_GB2312" w:eastAsia="仿宋_GB2312" w:hint="eastAsia"/>
          <w:sz w:val="32"/>
          <w:szCs w:val="32"/>
        </w:rPr>
        <w:t xml:space="preserve"> Transfer P</w:t>
      </w:r>
      <w:r>
        <w:rPr>
          <w:rFonts w:ascii="仿宋_GB2312" w:eastAsia="仿宋_GB2312"/>
          <w:sz w:val="32"/>
          <w:szCs w:val="32"/>
        </w:rPr>
        <w:t>romotion</w:t>
      </w:r>
      <w:r>
        <w:rPr>
          <w:rFonts w:ascii="仿宋_GB2312" w:eastAsia="仿宋_GB2312" w:hint="eastAsia"/>
          <w:sz w:val="32"/>
          <w:szCs w:val="32"/>
        </w:rPr>
        <w:t xml:space="preserve"> </w:t>
      </w:r>
      <w:r>
        <w:rPr>
          <w:rFonts w:ascii="仿宋_GB2312" w:eastAsia="仿宋_GB2312"/>
          <w:sz w:val="32"/>
          <w:szCs w:val="32"/>
        </w:rPr>
        <w:t>Center</w:t>
      </w:r>
      <w:r>
        <w:rPr>
          <w:rFonts w:ascii="仿宋_GB2312" w:eastAsia="仿宋_GB2312" w:hint="eastAsia"/>
          <w:sz w:val="32"/>
          <w:szCs w:val="32"/>
        </w:rPr>
        <w:t xml:space="preserve"> </w:t>
      </w:r>
      <w:r>
        <w:rPr>
          <w:rFonts w:ascii="仿宋_GB2312" w:eastAsia="仿宋_GB2312"/>
          <w:sz w:val="32"/>
          <w:szCs w:val="32"/>
        </w:rPr>
        <w:t>of</w:t>
      </w:r>
      <w:r>
        <w:rPr>
          <w:rFonts w:ascii="仿宋_GB2312" w:eastAsia="仿宋_GB2312" w:hint="eastAsia"/>
          <w:sz w:val="32"/>
          <w:szCs w:val="32"/>
        </w:rPr>
        <w:t xml:space="preserve"> </w:t>
      </w:r>
      <w:r>
        <w:rPr>
          <w:rFonts w:ascii="仿宋_GB2312" w:eastAsia="仿宋_GB2312"/>
          <w:sz w:val="32"/>
          <w:szCs w:val="32"/>
        </w:rPr>
        <w:t>××</w:t>
      </w:r>
      <w:r>
        <w:rPr>
          <w:rFonts w:ascii="仿宋_GB2312" w:eastAsia="仿宋_GB2312" w:hint="eastAsia"/>
          <w:sz w:val="32"/>
          <w:szCs w:val="32"/>
        </w:rPr>
        <w:t xml:space="preserve"> University”</w:t>
      </w:r>
      <w:r>
        <w:rPr>
          <w:rFonts w:ascii="仿宋_GB2312" w:eastAsia="仿宋_GB2312"/>
          <w:sz w:val="32"/>
          <w:szCs w:val="32"/>
        </w:rPr>
        <w:t>。</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第二十</w:t>
      </w:r>
      <w:r w:rsidR="0061014E">
        <w:rPr>
          <w:rFonts w:ascii="楷体_GB2312" w:eastAsia="楷体_GB2312" w:hint="eastAsia"/>
          <w:sz w:val="32"/>
          <w:szCs w:val="32"/>
        </w:rPr>
        <w:t>一</w:t>
      </w:r>
      <w:r>
        <w:rPr>
          <w:rFonts w:ascii="楷体_GB2312" w:eastAsia="楷体_GB2312" w:hint="eastAsia"/>
          <w:sz w:val="32"/>
          <w:szCs w:val="32"/>
        </w:rPr>
        <w:t>条</w:t>
      </w:r>
      <w:r>
        <w:rPr>
          <w:rFonts w:ascii="仿宋_GB2312" w:eastAsia="仿宋_GB2312" w:hint="eastAsia"/>
          <w:sz w:val="32"/>
          <w:szCs w:val="32"/>
        </w:rPr>
        <w:t xml:space="preserve"> 本办法由市教委负责解释。</w:t>
      </w:r>
    </w:p>
    <w:p w:rsidR="00602104" w:rsidRDefault="00026D26">
      <w:pPr>
        <w:spacing w:line="560" w:lineRule="exact"/>
        <w:ind w:firstLineChars="200" w:firstLine="640"/>
        <w:rPr>
          <w:rFonts w:ascii="仿宋_GB2312" w:eastAsia="仿宋_GB2312"/>
          <w:sz w:val="32"/>
          <w:szCs w:val="32"/>
        </w:rPr>
      </w:pPr>
      <w:r>
        <w:rPr>
          <w:rFonts w:ascii="楷体_GB2312" w:eastAsia="楷体_GB2312" w:hint="eastAsia"/>
          <w:sz w:val="32"/>
          <w:szCs w:val="32"/>
        </w:rPr>
        <w:t>第二十</w:t>
      </w:r>
      <w:r w:rsidR="0061014E">
        <w:rPr>
          <w:rFonts w:ascii="楷体_GB2312" w:eastAsia="楷体_GB2312" w:hint="eastAsia"/>
          <w:sz w:val="32"/>
          <w:szCs w:val="32"/>
        </w:rPr>
        <w:t>二</w:t>
      </w:r>
      <w:r>
        <w:rPr>
          <w:rFonts w:ascii="楷体_GB2312" w:eastAsia="楷体_GB2312" w:hint="eastAsia"/>
          <w:sz w:val="32"/>
          <w:szCs w:val="32"/>
        </w:rPr>
        <w:t>条</w:t>
      </w:r>
      <w:r>
        <w:rPr>
          <w:rFonts w:ascii="仿宋_GB2312" w:eastAsia="仿宋_GB2312" w:hint="eastAsia"/>
          <w:sz w:val="32"/>
          <w:szCs w:val="32"/>
        </w:rPr>
        <w:t xml:space="preserve"> 本办法自发布之日起施行。</w:t>
      </w:r>
    </w:p>
    <w:sectPr w:rsidR="00602104" w:rsidSect="00602104">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F96" w:rsidRDefault="00971F96" w:rsidP="00602104">
      <w:r>
        <w:separator/>
      </w:r>
    </w:p>
  </w:endnote>
  <w:endnote w:type="continuationSeparator" w:id="0">
    <w:p w:rsidR="00971F96" w:rsidRDefault="00971F96" w:rsidP="006021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61813"/>
    </w:sdtPr>
    <w:sdtContent>
      <w:p w:rsidR="00602104" w:rsidRDefault="00D45E55">
        <w:pPr>
          <w:pStyle w:val="a3"/>
          <w:jc w:val="right"/>
        </w:pPr>
        <w:r>
          <w:rPr>
            <w:rFonts w:ascii="宋体" w:eastAsia="宋体" w:hAnsi="宋体"/>
            <w:sz w:val="28"/>
            <w:szCs w:val="28"/>
          </w:rPr>
          <w:fldChar w:fldCharType="begin"/>
        </w:r>
        <w:r w:rsidR="00026D26">
          <w:rPr>
            <w:rFonts w:ascii="宋体" w:eastAsia="宋体" w:hAnsi="宋体"/>
            <w:sz w:val="28"/>
            <w:szCs w:val="28"/>
          </w:rPr>
          <w:instrText xml:space="preserve"> PAGE   \* MERGEFORMAT </w:instrText>
        </w:r>
        <w:r>
          <w:rPr>
            <w:rFonts w:ascii="宋体" w:eastAsia="宋体" w:hAnsi="宋体"/>
            <w:sz w:val="28"/>
            <w:szCs w:val="28"/>
          </w:rPr>
          <w:fldChar w:fldCharType="separate"/>
        </w:r>
        <w:r w:rsidR="009A7573" w:rsidRPr="009A7573">
          <w:rPr>
            <w:rFonts w:ascii="宋体" w:eastAsia="宋体" w:hAnsi="宋体"/>
            <w:noProof/>
            <w:sz w:val="28"/>
            <w:szCs w:val="28"/>
            <w:lang w:val="zh-CN"/>
          </w:rPr>
          <w:t>-</w:t>
        </w:r>
        <w:r w:rsidR="009A7573">
          <w:rPr>
            <w:rFonts w:ascii="宋体" w:eastAsia="宋体" w:hAnsi="宋体"/>
            <w:noProof/>
            <w:sz w:val="28"/>
            <w:szCs w:val="28"/>
          </w:rPr>
          <w:t xml:space="preserve"> 2 -</w:t>
        </w:r>
        <w:r>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F96" w:rsidRDefault="00971F96" w:rsidP="00602104">
      <w:r>
        <w:separator/>
      </w:r>
    </w:p>
  </w:footnote>
  <w:footnote w:type="continuationSeparator" w:id="0">
    <w:p w:rsidR="00971F96" w:rsidRDefault="00971F96" w:rsidP="006021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515C"/>
    <w:rsid w:val="00001073"/>
    <w:rsid w:val="00004280"/>
    <w:rsid w:val="00011041"/>
    <w:rsid w:val="00013B6B"/>
    <w:rsid w:val="00023324"/>
    <w:rsid w:val="00026D26"/>
    <w:rsid w:val="00027582"/>
    <w:rsid w:val="0003067A"/>
    <w:rsid w:val="00034290"/>
    <w:rsid w:val="000360BA"/>
    <w:rsid w:val="000376AD"/>
    <w:rsid w:val="00046792"/>
    <w:rsid w:val="00055A92"/>
    <w:rsid w:val="00055D6B"/>
    <w:rsid w:val="000634C0"/>
    <w:rsid w:val="000679C7"/>
    <w:rsid w:val="00070F24"/>
    <w:rsid w:val="000711A9"/>
    <w:rsid w:val="000752B6"/>
    <w:rsid w:val="00077C01"/>
    <w:rsid w:val="00077F8A"/>
    <w:rsid w:val="00081391"/>
    <w:rsid w:val="00082D19"/>
    <w:rsid w:val="00087499"/>
    <w:rsid w:val="000A1802"/>
    <w:rsid w:val="000A3D35"/>
    <w:rsid w:val="000A65E4"/>
    <w:rsid w:val="000A6818"/>
    <w:rsid w:val="000B2060"/>
    <w:rsid w:val="000B3F2F"/>
    <w:rsid w:val="000C745F"/>
    <w:rsid w:val="000D4EC2"/>
    <w:rsid w:val="000D60A0"/>
    <w:rsid w:val="000E1EA0"/>
    <w:rsid w:val="000E56AD"/>
    <w:rsid w:val="000F786E"/>
    <w:rsid w:val="00100231"/>
    <w:rsid w:val="00100D93"/>
    <w:rsid w:val="001017F0"/>
    <w:rsid w:val="00103B6A"/>
    <w:rsid w:val="001058D7"/>
    <w:rsid w:val="0011444A"/>
    <w:rsid w:val="00114873"/>
    <w:rsid w:val="00115A9D"/>
    <w:rsid w:val="001174E5"/>
    <w:rsid w:val="001218FD"/>
    <w:rsid w:val="00122E7E"/>
    <w:rsid w:val="00134924"/>
    <w:rsid w:val="00136F6D"/>
    <w:rsid w:val="00140A2B"/>
    <w:rsid w:val="001554AC"/>
    <w:rsid w:val="00156293"/>
    <w:rsid w:val="00162B78"/>
    <w:rsid w:val="0016497D"/>
    <w:rsid w:val="00170270"/>
    <w:rsid w:val="0017339D"/>
    <w:rsid w:val="001771ED"/>
    <w:rsid w:val="00181F28"/>
    <w:rsid w:val="00192A4B"/>
    <w:rsid w:val="00193BC9"/>
    <w:rsid w:val="001A2337"/>
    <w:rsid w:val="001B4EC4"/>
    <w:rsid w:val="001C415A"/>
    <w:rsid w:val="001C46DF"/>
    <w:rsid w:val="001D1F74"/>
    <w:rsid w:val="001D21D6"/>
    <w:rsid w:val="001D698F"/>
    <w:rsid w:val="001D750C"/>
    <w:rsid w:val="001E2C3B"/>
    <w:rsid w:val="001F4AA4"/>
    <w:rsid w:val="00203C99"/>
    <w:rsid w:val="00204C58"/>
    <w:rsid w:val="00205497"/>
    <w:rsid w:val="00206207"/>
    <w:rsid w:val="002072A0"/>
    <w:rsid w:val="0022161F"/>
    <w:rsid w:val="00223163"/>
    <w:rsid w:val="002247BA"/>
    <w:rsid w:val="00225041"/>
    <w:rsid w:val="00236D6A"/>
    <w:rsid w:val="00244DB8"/>
    <w:rsid w:val="00252D46"/>
    <w:rsid w:val="00254E6F"/>
    <w:rsid w:val="00264307"/>
    <w:rsid w:val="00264ADE"/>
    <w:rsid w:val="00272C06"/>
    <w:rsid w:val="00275DAD"/>
    <w:rsid w:val="002800CA"/>
    <w:rsid w:val="00284205"/>
    <w:rsid w:val="002909A5"/>
    <w:rsid w:val="00292742"/>
    <w:rsid w:val="00294472"/>
    <w:rsid w:val="00294CB3"/>
    <w:rsid w:val="00294D2B"/>
    <w:rsid w:val="002A7B1E"/>
    <w:rsid w:val="002B2371"/>
    <w:rsid w:val="002B61E3"/>
    <w:rsid w:val="002B6A10"/>
    <w:rsid w:val="002B746E"/>
    <w:rsid w:val="002C402A"/>
    <w:rsid w:val="002C50F2"/>
    <w:rsid w:val="002D1D38"/>
    <w:rsid w:val="002D7DDB"/>
    <w:rsid w:val="002E1437"/>
    <w:rsid w:val="002E18F0"/>
    <w:rsid w:val="002E4025"/>
    <w:rsid w:val="002F17A6"/>
    <w:rsid w:val="002F2CD4"/>
    <w:rsid w:val="002F413D"/>
    <w:rsid w:val="00301B2B"/>
    <w:rsid w:val="0030663E"/>
    <w:rsid w:val="00311C81"/>
    <w:rsid w:val="0033223B"/>
    <w:rsid w:val="003332C1"/>
    <w:rsid w:val="00352433"/>
    <w:rsid w:val="003567C2"/>
    <w:rsid w:val="00360906"/>
    <w:rsid w:val="00360CB8"/>
    <w:rsid w:val="00365071"/>
    <w:rsid w:val="003747D3"/>
    <w:rsid w:val="00381A66"/>
    <w:rsid w:val="003A0B73"/>
    <w:rsid w:val="003B4712"/>
    <w:rsid w:val="003B7720"/>
    <w:rsid w:val="003C237A"/>
    <w:rsid w:val="003C2CF9"/>
    <w:rsid w:val="003D07DD"/>
    <w:rsid w:val="003D2CF5"/>
    <w:rsid w:val="003D3B51"/>
    <w:rsid w:val="003D4FC4"/>
    <w:rsid w:val="003D7981"/>
    <w:rsid w:val="003E4FC4"/>
    <w:rsid w:val="003E5B6B"/>
    <w:rsid w:val="003E6E23"/>
    <w:rsid w:val="003F755B"/>
    <w:rsid w:val="00403471"/>
    <w:rsid w:val="00403B79"/>
    <w:rsid w:val="00412C02"/>
    <w:rsid w:val="00424EB7"/>
    <w:rsid w:val="004254B1"/>
    <w:rsid w:val="00427C4E"/>
    <w:rsid w:val="00427E5B"/>
    <w:rsid w:val="004319F4"/>
    <w:rsid w:val="004377BB"/>
    <w:rsid w:val="00440323"/>
    <w:rsid w:val="00440716"/>
    <w:rsid w:val="00444875"/>
    <w:rsid w:val="00445DEB"/>
    <w:rsid w:val="004511ED"/>
    <w:rsid w:val="00457F27"/>
    <w:rsid w:val="004825AC"/>
    <w:rsid w:val="0048324E"/>
    <w:rsid w:val="00487C29"/>
    <w:rsid w:val="004901D7"/>
    <w:rsid w:val="00495529"/>
    <w:rsid w:val="004A0A80"/>
    <w:rsid w:val="004A355C"/>
    <w:rsid w:val="004A3CA2"/>
    <w:rsid w:val="004B1D14"/>
    <w:rsid w:val="004B52B7"/>
    <w:rsid w:val="004B6580"/>
    <w:rsid w:val="004C08C6"/>
    <w:rsid w:val="004C17E9"/>
    <w:rsid w:val="004C657F"/>
    <w:rsid w:val="004C704E"/>
    <w:rsid w:val="004D1A9B"/>
    <w:rsid w:val="004D29E7"/>
    <w:rsid w:val="004D7BB6"/>
    <w:rsid w:val="004D7D74"/>
    <w:rsid w:val="004E0B25"/>
    <w:rsid w:val="004E2E44"/>
    <w:rsid w:val="004F15E4"/>
    <w:rsid w:val="004F2C57"/>
    <w:rsid w:val="00504A24"/>
    <w:rsid w:val="00506D1E"/>
    <w:rsid w:val="005123FA"/>
    <w:rsid w:val="00517DF3"/>
    <w:rsid w:val="005227C5"/>
    <w:rsid w:val="005272C5"/>
    <w:rsid w:val="00531C47"/>
    <w:rsid w:val="00532CD9"/>
    <w:rsid w:val="005368AA"/>
    <w:rsid w:val="00543879"/>
    <w:rsid w:val="00543DA6"/>
    <w:rsid w:val="00560FB2"/>
    <w:rsid w:val="005617E0"/>
    <w:rsid w:val="005820B3"/>
    <w:rsid w:val="00582CB7"/>
    <w:rsid w:val="005A3BF8"/>
    <w:rsid w:val="005A56D4"/>
    <w:rsid w:val="005B5579"/>
    <w:rsid w:val="005B5E26"/>
    <w:rsid w:val="005B6DBF"/>
    <w:rsid w:val="005B7CDB"/>
    <w:rsid w:val="005C4A1B"/>
    <w:rsid w:val="005C7018"/>
    <w:rsid w:val="005D3BBC"/>
    <w:rsid w:val="005D5D31"/>
    <w:rsid w:val="005D6200"/>
    <w:rsid w:val="005E06C0"/>
    <w:rsid w:val="005E0E14"/>
    <w:rsid w:val="005E2E68"/>
    <w:rsid w:val="005E3C94"/>
    <w:rsid w:val="005E468F"/>
    <w:rsid w:val="005E49A3"/>
    <w:rsid w:val="005E5CDA"/>
    <w:rsid w:val="00600FD2"/>
    <w:rsid w:val="00602104"/>
    <w:rsid w:val="00603F5D"/>
    <w:rsid w:val="00606431"/>
    <w:rsid w:val="0061014E"/>
    <w:rsid w:val="0061494E"/>
    <w:rsid w:val="00616378"/>
    <w:rsid w:val="006172E2"/>
    <w:rsid w:val="0061759A"/>
    <w:rsid w:val="00621823"/>
    <w:rsid w:val="0062374B"/>
    <w:rsid w:val="006319F2"/>
    <w:rsid w:val="0063425B"/>
    <w:rsid w:val="00634D1A"/>
    <w:rsid w:val="00640EF2"/>
    <w:rsid w:val="00653337"/>
    <w:rsid w:val="00662224"/>
    <w:rsid w:val="00662D3C"/>
    <w:rsid w:val="00667033"/>
    <w:rsid w:val="00671E5D"/>
    <w:rsid w:val="00674B5B"/>
    <w:rsid w:val="006757A9"/>
    <w:rsid w:val="0068233E"/>
    <w:rsid w:val="0068443D"/>
    <w:rsid w:val="00694FB5"/>
    <w:rsid w:val="006A11FD"/>
    <w:rsid w:val="006A38D1"/>
    <w:rsid w:val="006A4542"/>
    <w:rsid w:val="006B342D"/>
    <w:rsid w:val="006B4DB0"/>
    <w:rsid w:val="006C3DDB"/>
    <w:rsid w:val="006C3E2F"/>
    <w:rsid w:val="006C442E"/>
    <w:rsid w:val="006D66EA"/>
    <w:rsid w:val="006E0464"/>
    <w:rsid w:val="006E1E1C"/>
    <w:rsid w:val="006E361D"/>
    <w:rsid w:val="006E549C"/>
    <w:rsid w:val="006E5E77"/>
    <w:rsid w:val="006F0976"/>
    <w:rsid w:val="006F473C"/>
    <w:rsid w:val="007024D5"/>
    <w:rsid w:val="007035C1"/>
    <w:rsid w:val="00720E53"/>
    <w:rsid w:val="00723AEE"/>
    <w:rsid w:val="00745F39"/>
    <w:rsid w:val="00747D6E"/>
    <w:rsid w:val="00753092"/>
    <w:rsid w:val="00753C84"/>
    <w:rsid w:val="00754593"/>
    <w:rsid w:val="00755A3E"/>
    <w:rsid w:val="00756F00"/>
    <w:rsid w:val="00763CD9"/>
    <w:rsid w:val="0077066D"/>
    <w:rsid w:val="00772D9C"/>
    <w:rsid w:val="007767FE"/>
    <w:rsid w:val="00777004"/>
    <w:rsid w:val="00781D7E"/>
    <w:rsid w:val="00784045"/>
    <w:rsid w:val="007928A1"/>
    <w:rsid w:val="00796789"/>
    <w:rsid w:val="007A2150"/>
    <w:rsid w:val="007C4A66"/>
    <w:rsid w:val="007C6954"/>
    <w:rsid w:val="007D21FB"/>
    <w:rsid w:val="007D3992"/>
    <w:rsid w:val="007D61CB"/>
    <w:rsid w:val="007E1B14"/>
    <w:rsid w:val="007E5AC9"/>
    <w:rsid w:val="007E5B9A"/>
    <w:rsid w:val="007E6165"/>
    <w:rsid w:val="007E6E79"/>
    <w:rsid w:val="007E73C6"/>
    <w:rsid w:val="007F19AD"/>
    <w:rsid w:val="007F79F4"/>
    <w:rsid w:val="008007B2"/>
    <w:rsid w:val="008032F4"/>
    <w:rsid w:val="00804CF5"/>
    <w:rsid w:val="00807CEA"/>
    <w:rsid w:val="00811A63"/>
    <w:rsid w:val="00813E11"/>
    <w:rsid w:val="00820905"/>
    <w:rsid w:val="008209EF"/>
    <w:rsid w:val="00822CBC"/>
    <w:rsid w:val="008265CF"/>
    <w:rsid w:val="00831084"/>
    <w:rsid w:val="00840336"/>
    <w:rsid w:val="008416FB"/>
    <w:rsid w:val="008455A8"/>
    <w:rsid w:val="00847F4D"/>
    <w:rsid w:val="00850771"/>
    <w:rsid w:val="00850B92"/>
    <w:rsid w:val="00852A41"/>
    <w:rsid w:val="008536A7"/>
    <w:rsid w:val="00854167"/>
    <w:rsid w:val="00854CC3"/>
    <w:rsid w:val="00856B2D"/>
    <w:rsid w:val="00864EED"/>
    <w:rsid w:val="008705C2"/>
    <w:rsid w:val="00874D12"/>
    <w:rsid w:val="00884D7D"/>
    <w:rsid w:val="00886E5D"/>
    <w:rsid w:val="00890B87"/>
    <w:rsid w:val="00892568"/>
    <w:rsid w:val="008961F1"/>
    <w:rsid w:val="008A51EB"/>
    <w:rsid w:val="008B090D"/>
    <w:rsid w:val="008C4875"/>
    <w:rsid w:val="008D287A"/>
    <w:rsid w:val="008D3C9A"/>
    <w:rsid w:val="008E6D10"/>
    <w:rsid w:val="008F2B9E"/>
    <w:rsid w:val="008F4523"/>
    <w:rsid w:val="008F6F72"/>
    <w:rsid w:val="008F77A4"/>
    <w:rsid w:val="0090620A"/>
    <w:rsid w:val="00907282"/>
    <w:rsid w:val="00914DB8"/>
    <w:rsid w:val="0091662B"/>
    <w:rsid w:val="0092506A"/>
    <w:rsid w:val="0092675B"/>
    <w:rsid w:val="00931310"/>
    <w:rsid w:val="0093228F"/>
    <w:rsid w:val="0093347C"/>
    <w:rsid w:val="0093367A"/>
    <w:rsid w:val="00935401"/>
    <w:rsid w:val="0093776F"/>
    <w:rsid w:val="009567D5"/>
    <w:rsid w:val="00961C56"/>
    <w:rsid w:val="0096235F"/>
    <w:rsid w:val="00965A18"/>
    <w:rsid w:val="009666DE"/>
    <w:rsid w:val="00971565"/>
    <w:rsid w:val="0097199A"/>
    <w:rsid w:val="00971F96"/>
    <w:rsid w:val="0097254D"/>
    <w:rsid w:val="00985306"/>
    <w:rsid w:val="0099233E"/>
    <w:rsid w:val="009A170C"/>
    <w:rsid w:val="009A2A2F"/>
    <w:rsid w:val="009A637A"/>
    <w:rsid w:val="009A7573"/>
    <w:rsid w:val="009B0EDE"/>
    <w:rsid w:val="009B1F92"/>
    <w:rsid w:val="009C4FB5"/>
    <w:rsid w:val="009E1D58"/>
    <w:rsid w:val="009E4DBB"/>
    <w:rsid w:val="009F13FD"/>
    <w:rsid w:val="009F4D41"/>
    <w:rsid w:val="009F7862"/>
    <w:rsid w:val="00A02411"/>
    <w:rsid w:val="00A06146"/>
    <w:rsid w:val="00A061F2"/>
    <w:rsid w:val="00A15BDC"/>
    <w:rsid w:val="00A22E53"/>
    <w:rsid w:val="00A2770F"/>
    <w:rsid w:val="00A321C2"/>
    <w:rsid w:val="00A33B19"/>
    <w:rsid w:val="00A350C5"/>
    <w:rsid w:val="00A37111"/>
    <w:rsid w:val="00A429BB"/>
    <w:rsid w:val="00A50CCF"/>
    <w:rsid w:val="00A52D99"/>
    <w:rsid w:val="00A545FF"/>
    <w:rsid w:val="00A55299"/>
    <w:rsid w:val="00A563DF"/>
    <w:rsid w:val="00A579D1"/>
    <w:rsid w:val="00A668EF"/>
    <w:rsid w:val="00A75E4B"/>
    <w:rsid w:val="00A775A0"/>
    <w:rsid w:val="00A804B0"/>
    <w:rsid w:val="00A856D1"/>
    <w:rsid w:val="00A85AE9"/>
    <w:rsid w:val="00A90035"/>
    <w:rsid w:val="00A944CD"/>
    <w:rsid w:val="00A95E17"/>
    <w:rsid w:val="00A975B0"/>
    <w:rsid w:val="00AA1CE9"/>
    <w:rsid w:val="00AA41D4"/>
    <w:rsid w:val="00AB75C5"/>
    <w:rsid w:val="00AC1341"/>
    <w:rsid w:val="00AC54DC"/>
    <w:rsid w:val="00AD0430"/>
    <w:rsid w:val="00AD616A"/>
    <w:rsid w:val="00AD7314"/>
    <w:rsid w:val="00AE4181"/>
    <w:rsid w:val="00AE70EA"/>
    <w:rsid w:val="00AF53FB"/>
    <w:rsid w:val="00AF5719"/>
    <w:rsid w:val="00B11F98"/>
    <w:rsid w:val="00B124E8"/>
    <w:rsid w:val="00B1515C"/>
    <w:rsid w:val="00B25C32"/>
    <w:rsid w:val="00B27A00"/>
    <w:rsid w:val="00B311D8"/>
    <w:rsid w:val="00B340F5"/>
    <w:rsid w:val="00B4624E"/>
    <w:rsid w:val="00B635CD"/>
    <w:rsid w:val="00B63905"/>
    <w:rsid w:val="00B67FA4"/>
    <w:rsid w:val="00B8046E"/>
    <w:rsid w:val="00BA1031"/>
    <w:rsid w:val="00BA3A3D"/>
    <w:rsid w:val="00BA3EA8"/>
    <w:rsid w:val="00BA5F30"/>
    <w:rsid w:val="00BB5727"/>
    <w:rsid w:val="00BC08C6"/>
    <w:rsid w:val="00BC5DEB"/>
    <w:rsid w:val="00BC5E4B"/>
    <w:rsid w:val="00BC6E5B"/>
    <w:rsid w:val="00BE07DA"/>
    <w:rsid w:val="00BE48E0"/>
    <w:rsid w:val="00BE4FBE"/>
    <w:rsid w:val="00BF284C"/>
    <w:rsid w:val="00BF3281"/>
    <w:rsid w:val="00BF4D46"/>
    <w:rsid w:val="00C009EE"/>
    <w:rsid w:val="00C02118"/>
    <w:rsid w:val="00C02433"/>
    <w:rsid w:val="00C0437D"/>
    <w:rsid w:val="00C10960"/>
    <w:rsid w:val="00C14E59"/>
    <w:rsid w:val="00C345A6"/>
    <w:rsid w:val="00C36055"/>
    <w:rsid w:val="00C375AB"/>
    <w:rsid w:val="00C43B7D"/>
    <w:rsid w:val="00C47D10"/>
    <w:rsid w:val="00C528A8"/>
    <w:rsid w:val="00C5704B"/>
    <w:rsid w:val="00C5791B"/>
    <w:rsid w:val="00C66493"/>
    <w:rsid w:val="00C80737"/>
    <w:rsid w:val="00C84CB3"/>
    <w:rsid w:val="00C869A0"/>
    <w:rsid w:val="00C86FCE"/>
    <w:rsid w:val="00CA243C"/>
    <w:rsid w:val="00CA5D93"/>
    <w:rsid w:val="00CA5FC1"/>
    <w:rsid w:val="00CA7F2F"/>
    <w:rsid w:val="00CB1C60"/>
    <w:rsid w:val="00CC5B41"/>
    <w:rsid w:val="00CC69C0"/>
    <w:rsid w:val="00CC77F4"/>
    <w:rsid w:val="00CD105B"/>
    <w:rsid w:val="00CD60D2"/>
    <w:rsid w:val="00CE1ED2"/>
    <w:rsid w:val="00CE2465"/>
    <w:rsid w:val="00CE3922"/>
    <w:rsid w:val="00CF28B8"/>
    <w:rsid w:val="00CF78AD"/>
    <w:rsid w:val="00D01078"/>
    <w:rsid w:val="00D021EC"/>
    <w:rsid w:val="00D029AD"/>
    <w:rsid w:val="00D120A9"/>
    <w:rsid w:val="00D162AB"/>
    <w:rsid w:val="00D175BE"/>
    <w:rsid w:val="00D21324"/>
    <w:rsid w:val="00D2293A"/>
    <w:rsid w:val="00D2364C"/>
    <w:rsid w:val="00D25BD4"/>
    <w:rsid w:val="00D26773"/>
    <w:rsid w:val="00D346DD"/>
    <w:rsid w:val="00D4073E"/>
    <w:rsid w:val="00D40E62"/>
    <w:rsid w:val="00D4427E"/>
    <w:rsid w:val="00D446DC"/>
    <w:rsid w:val="00D45E55"/>
    <w:rsid w:val="00D45EDD"/>
    <w:rsid w:val="00D50790"/>
    <w:rsid w:val="00D572C5"/>
    <w:rsid w:val="00D64527"/>
    <w:rsid w:val="00D65DB9"/>
    <w:rsid w:val="00D7026A"/>
    <w:rsid w:val="00D7549F"/>
    <w:rsid w:val="00D81E1D"/>
    <w:rsid w:val="00D81E33"/>
    <w:rsid w:val="00D82082"/>
    <w:rsid w:val="00D90A17"/>
    <w:rsid w:val="00DA0BC7"/>
    <w:rsid w:val="00DA35CD"/>
    <w:rsid w:val="00DA39D0"/>
    <w:rsid w:val="00DA419B"/>
    <w:rsid w:val="00DB7D49"/>
    <w:rsid w:val="00DD038B"/>
    <w:rsid w:val="00DD5FA4"/>
    <w:rsid w:val="00DE1D2F"/>
    <w:rsid w:val="00DE55DD"/>
    <w:rsid w:val="00DF05DA"/>
    <w:rsid w:val="00DF462F"/>
    <w:rsid w:val="00DF6427"/>
    <w:rsid w:val="00E01B74"/>
    <w:rsid w:val="00E04185"/>
    <w:rsid w:val="00E15762"/>
    <w:rsid w:val="00E1798A"/>
    <w:rsid w:val="00E17EF4"/>
    <w:rsid w:val="00E30FB1"/>
    <w:rsid w:val="00E3653B"/>
    <w:rsid w:val="00E44A21"/>
    <w:rsid w:val="00E4573D"/>
    <w:rsid w:val="00E54AC3"/>
    <w:rsid w:val="00E56607"/>
    <w:rsid w:val="00E56DDC"/>
    <w:rsid w:val="00E579CC"/>
    <w:rsid w:val="00E61EFC"/>
    <w:rsid w:val="00E63E92"/>
    <w:rsid w:val="00E664D4"/>
    <w:rsid w:val="00E6752B"/>
    <w:rsid w:val="00E7128C"/>
    <w:rsid w:val="00E76579"/>
    <w:rsid w:val="00E9654C"/>
    <w:rsid w:val="00E9785B"/>
    <w:rsid w:val="00EA14D3"/>
    <w:rsid w:val="00EB3D2B"/>
    <w:rsid w:val="00EB4EFF"/>
    <w:rsid w:val="00ED1DDC"/>
    <w:rsid w:val="00ED299C"/>
    <w:rsid w:val="00ED399A"/>
    <w:rsid w:val="00ED69F1"/>
    <w:rsid w:val="00EE1B98"/>
    <w:rsid w:val="00EE6763"/>
    <w:rsid w:val="00EE7A50"/>
    <w:rsid w:val="00F222FF"/>
    <w:rsid w:val="00F2265F"/>
    <w:rsid w:val="00F25EA4"/>
    <w:rsid w:val="00F31D8E"/>
    <w:rsid w:val="00F3715E"/>
    <w:rsid w:val="00F402D5"/>
    <w:rsid w:val="00F45FAE"/>
    <w:rsid w:val="00F53B8E"/>
    <w:rsid w:val="00F5540F"/>
    <w:rsid w:val="00F55973"/>
    <w:rsid w:val="00F56114"/>
    <w:rsid w:val="00F566E3"/>
    <w:rsid w:val="00F649B1"/>
    <w:rsid w:val="00F7318C"/>
    <w:rsid w:val="00F74572"/>
    <w:rsid w:val="00F75AA0"/>
    <w:rsid w:val="00F80E7F"/>
    <w:rsid w:val="00F829AE"/>
    <w:rsid w:val="00F862C3"/>
    <w:rsid w:val="00F91061"/>
    <w:rsid w:val="00F926DA"/>
    <w:rsid w:val="00F92D24"/>
    <w:rsid w:val="00F93EBC"/>
    <w:rsid w:val="00F97F1D"/>
    <w:rsid w:val="00FA3C6F"/>
    <w:rsid w:val="00FA7A81"/>
    <w:rsid w:val="00FB0804"/>
    <w:rsid w:val="00FB0A74"/>
    <w:rsid w:val="00FD0DFB"/>
    <w:rsid w:val="00FD4C9D"/>
    <w:rsid w:val="00FE4114"/>
    <w:rsid w:val="00FF148B"/>
    <w:rsid w:val="01E804A5"/>
    <w:rsid w:val="02F12FFB"/>
    <w:rsid w:val="02F55CEF"/>
    <w:rsid w:val="081E5C79"/>
    <w:rsid w:val="09513C6E"/>
    <w:rsid w:val="0B2C5634"/>
    <w:rsid w:val="10D576AE"/>
    <w:rsid w:val="136E354A"/>
    <w:rsid w:val="17254D77"/>
    <w:rsid w:val="22070D3F"/>
    <w:rsid w:val="226A53E1"/>
    <w:rsid w:val="2806223B"/>
    <w:rsid w:val="2E5316CD"/>
    <w:rsid w:val="30B65A0D"/>
    <w:rsid w:val="381B7A48"/>
    <w:rsid w:val="3965221A"/>
    <w:rsid w:val="43673CDD"/>
    <w:rsid w:val="46F26EF8"/>
    <w:rsid w:val="49E87BB0"/>
    <w:rsid w:val="579C4AE1"/>
    <w:rsid w:val="586E7335"/>
    <w:rsid w:val="5AA33132"/>
    <w:rsid w:val="626270AB"/>
    <w:rsid w:val="62A63C97"/>
    <w:rsid w:val="62D43F98"/>
    <w:rsid w:val="63052AC8"/>
    <w:rsid w:val="63875435"/>
    <w:rsid w:val="6627421B"/>
    <w:rsid w:val="68B154C2"/>
    <w:rsid w:val="68D32AD6"/>
    <w:rsid w:val="6DEF3C8A"/>
    <w:rsid w:val="72717BF0"/>
    <w:rsid w:val="72CD6D60"/>
    <w:rsid w:val="73D44D86"/>
    <w:rsid w:val="74D13E75"/>
    <w:rsid w:val="7C1D1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1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0210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0210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6021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02104"/>
    <w:rPr>
      <w:b/>
      <w:bCs/>
    </w:rPr>
  </w:style>
  <w:style w:type="character" w:styleId="a7">
    <w:name w:val="Hyperlink"/>
    <w:basedOn w:val="a0"/>
    <w:uiPriority w:val="99"/>
    <w:unhideWhenUsed/>
    <w:qFormat/>
    <w:rsid w:val="00602104"/>
    <w:rPr>
      <w:color w:val="0000FF"/>
      <w:u w:val="single"/>
    </w:rPr>
  </w:style>
  <w:style w:type="character" w:customStyle="1" w:styleId="Char0">
    <w:name w:val="页眉 Char"/>
    <w:basedOn w:val="a0"/>
    <w:link w:val="a4"/>
    <w:uiPriority w:val="99"/>
    <w:semiHidden/>
    <w:qFormat/>
    <w:rsid w:val="00602104"/>
    <w:rPr>
      <w:sz w:val="18"/>
      <w:szCs w:val="18"/>
    </w:rPr>
  </w:style>
  <w:style w:type="character" w:customStyle="1" w:styleId="Char">
    <w:name w:val="页脚 Char"/>
    <w:basedOn w:val="a0"/>
    <w:link w:val="a3"/>
    <w:uiPriority w:val="99"/>
    <w:qFormat/>
    <w:rsid w:val="00602104"/>
    <w:rPr>
      <w:sz w:val="18"/>
      <w:szCs w:val="18"/>
    </w:rPr>
  </w:style>
  <w:style w:type="paragraph" w:styleId="a8">
    <w:name w:val="List Paragraph"/>
    <w:basedOn w:val="a"/>
    <w:uiPriority w:val="34"/>
    <w:qFormat/>
    <w:rsid w:val="00602104"/>
    <w:pPr>
      <w:ind w:firstLineChars="200" w:firstLine="420"/>
    </w:pPr>
  </w:style>
  <w:style w:type="paragraph" w:styleId="a9">
    <w:name w:val="Balloon Text"/>
    <w:basedOn w:val="a"/>
    <w:link w:val="Char1"/>
    <w:uiPriority w:val="99"/>
    <w:semiHidden/>
    <w:unhideWhenUsed/>
    <w:rsid w:val="00811A63"/>
    <w:rPr>
      <w:sz w:val="18"/>
      <w:szCs w:val="18"/>
    </w:rPr>
  </w:style>
  <w:style w:type="character" w:customStyle="1" w:styleId="Char1">
    <w:name w:val="批注框文本 Char"/>
    <w:basedOn w:val="a0"/>
    <w:link w:val="a9"/>
    <w:uiPriority w:val="99"/>
    <w:semiHidden/>
    <w:rsid w:val="00811A6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youdao.com/w/science%20and%20technolo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77439-0CBC-49D1-A2DF-33528BD8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姜士军</dc:creator>
  <cp:lastModifiedBy>刘安邦</cp:lastModifiedBy>
  <cp:revision>102</cp:revision>
  <dcterms:created xsi:type="dcterms:W3CDTF">2019-12-23T01:57:00Z</dcterms:created>
  <dcterms:modified xsi:type="dcterms:W3CDTF">2020-04-26T07:51:00Z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