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DF" w:rsidRPr="00337ADF" w:rsidRDefault="00337ADF" w:rsidP="00337ADF">
      <w:pPr>
        <w:spacing w:line="560" w:lineRule="exact"/>
        <w:rPr>
          <w:rFonts w:ascii="仿宋" w:eastAsia="仿宋" w:hAnsi="仿宋"/>
          <w:b/>
          <w:bCs/>
          <w:sz w:val="30"/>
        </w:rPr>
      </w:pPr>
      <w:r w:rsidRPr="00337ADF">
        <w:rPr>
          <w:rFonts w:ascii="仿宋" w:eastAsia="仿宋" w:hAnsi="仿宋" w:hint="eastAsia"/>
          <w:bCs/>
          <w:szCs w:val="32"/>
        </w:rPr>
        <w:t>附件</w:t>
      </w:r>
    </w:p>
    <w:p w:rsidR="00337ADF" w:rsidRPr="00337ADF" w:rsidRDefault="00337ADF" w:rsidP="00337ADF">
      <w:pPr>
        <w:spacing w:line="560" w:lineRule="exact"/>
        <w:jc w:val="center"/>
        <w:rPr>
          <w:rFonts w:ascii="仿宋" w:eastAsia="仿宋" w:hAnsi="仿宋" w:hint="eastAsia"/>
          <w:bCs/>
          <w:sz w:val="44"/>
          <w:szCs w:val="44"/>
        </w:rPr>
      </w:pPr>
      <w:r w:rsidRPr="00337ADF">
        <w:rPr>
          <w:rFonts w:ascii="仿宋" w:eastAsia="仿宋" w:hAnsi="仿宋" w:hint="eastAsia"/>
          <w:bCs/>
          <w:sz w:val="44"/>
          <w:szCs w:val="44"/>
        </w:rPr>
        <w:t>中外合作办学项目信息表</w:t>
      </w:r>
    </w:p>
    <w:p w:rsidR="00337ADF" w:rsidRPr="00337ADF" w:rsidRDefault="00337ADF" w:rsidP="00337ADF">
      <w:pPr>
        <w:spacing w:line="560" w:lineRule="exact"/>
        <w:jc w:val="center"/>
        <w:rPr>
          <w:rFonts w:ascii="仿宋" w:eastAsia="仿宋" w:hAnsi="仿宋"/>
          <w:b/>
          <w:bCs/>
          <w:sz w:val="30"/>
        </w:rPr>
      </w:pPr>
    </w:p>
    <w:tbl>
      <w:tblPr>
        <w:tblW w:w="8415" w:type="dxa"/>
        <w:jc w:val="center"/>
        <w:tblInd w:w="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98"/>
        <w:gridCol w:w="6517"/>
      </w:tblGrid>
      <w:tr w:rsidR="00337ADF" w:rsidRPr="00337ADF" w:rsidTr="00DE12B5">
        <w:trPr>
          <w:trHeight w:hRule="exact" w:val="1046"/>
          <w:jc w:val="center"/>
        </w:trPr>
        <w:tc>
          <w:tcPr>
            <w:tcW w:w="1898" w:type="dxa"/>
            <w:tcBorders>
              <w:top w:val="single" w:sz="12"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项目名称</w:t>
            </w:r>
          </w:p>
        </w:tc>
        <w:tc>
          <w:tcPr>
            <w:tcW w:w="6517" w:type="dxa"/>
            <w:tcBorders>
              <w:top w:val="single" w:sz="12"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北京财贸职业学院与英国北安普顿大学合作举办国际金融专业高等专科教育项目</w:t>
            </w:r>
          </w:p>
        </w:tc>
      </w:tr>
      <w:tr w:rsidR="00337ADF" w:rsidRPr="00337ADF" w:rsidTr="00DE12B5">
        <w:trPr>
          <w:cantSplit/>
          <w:trHeight w:hRule="exact" w:val="687"/>
          <w:jc w:val="center"/>
        </w:trPr>
        <w:tc>
          <w:tcPr>
            <w:tcW w:w="1898" w:type="dxa"/>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办学地址</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北京市通州区北关大街88号，邮编101100</w:t>
            </w:r>
          </w:p>
        </w:tc>
      </w:tr>
      <w:tr w:rsidR="00337ADF" w:rsidRPr="00337ADF" w:rsidTr="00DE12B5">
        <w:trPr>
          <w:cantSplit/>
          <w:trHeight w:hRule="exact" w:val="659"/>
          <w:jc w:val="center"/>
        </w:trPr>
        <w:tc>
          <w:tcPr>
            <w:tcW w:w="1898" w:type="dxa"/>
            <w:vMerge w:val="restart"/>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中外合作办学者</w:t>
            </w:r>
          </w:p>
        </w:tc>
        <w:tc>
          <w:tcPr>
            <w:tcW w:w="6517" w:type="dxa"/>
            <w:tcBorders>
              <w:top w:val="single" w:sz="4" w:space="0" w:color="auto"/>
              <w:left w:val="single" w:sz="4" w:space="0" w:color="auto"/>
              <w:bottom w:val="single" w:sz="2"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中方：北京财贸职业学院</w:t>
            </w:r>
          </w:p>
        </w:tc>
      </w:tr>
      <w:tr w:rsidR="00337ADF" w:rsidRPr="00337ADF" w:rsidTr="00DE12B5">
        <w:trPr>
          <w:cantSplit/>
          <w:trHeight w:val="586"/>
          <w:jc w:val="center"/>
        </w:trPr>
        <w:tc>
          <w:tcPr>
            <w:tcW w:w="1898" w:type="dxa"/>
            <w:vMerge/>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widowControl/>
              <w:jc w:val="center"/>
              <w:rPr>
                <w:rFonts w:ascii="仿宋" w:eastAsia="仿宋" w:hAnsi="仿宋"/>
                <w:sz w:val="24"/>
              </w:rPr>
            </w:pPr>
          </w:p>
        </w:tc>
        <w:tc>
          <w:tcPr>
            <w:tcW w:w="6517" w:type="dxa"/>
            <w:tcBorders>
              <w:top w:val="single" w:sz="2"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外方：英国北安普顿大学</w:t>
            </w:r>
          </w:p>
        </w:tc>
      </w:tr>
      <w:tr w:rsidR="00337ADF" w:rsidRPr="00337ADF" w:rsidTr="00DE12B5">
        <w:trPr>
          <w:cantSplit/>
          <w:trHeight w:hRule="exact" w:val="714"/>
          <w:jc w:val="center"/>
        </w:trPr>
        <w:tc>
          <w:tcPr>
            <w:tcW w:w="1898" w:type="dxa"/>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办学层次和类别</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高等专科教育</w:t>
            </w:r>
          </w:p>
        </w:tc>
      </w:tr>
      <w:tr w:rsidR="00337ADF" w:rsidRPr="00337ADF" w:rsidTr="00DE12B5">
        <w:trPr>
          <w:cantSplit/>
          <w:trHeight w:hRule="exact" w:val="710"/>
          <w:jc w:val="center"/>
        </w:trPr>
        <w:tc>
          <w:tcPr>
            <w:tcW w:w="1898" w:type="dxa"/>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开设专业或课程</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国际金融</w:t>
            </w:r>
          </w:p>
        </w:tc>
      </w:tr>
      <w:tr w:rsidR="00337ADF" w:rsidRPr="00337ADF" w:rsidTr="00DE12B5">
        <w:trPr>
          <w:cantSplit/>
          <w:trHeight w:hRule="exact" w:val="567"/>
          <w:jc w:val="center"/>
        </w:trPr>
        <w:tc>
          <w:tcPr>
            <w:tcW w:w="1898" w:type="dxa"/>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color w:val="000000"/>
                <w:sz w:val="24"/>
              </w:rPr>
            </w:pPr>
            <w:r w:rsidRPr="00337ADF">
              <w:rPr>
                <w:rFonts w:ascii="仿宋" w:eastAsia="仿宋" w:hAnsi="仿宋" w:hint="eastAsia"/>
                <w:color w:val="000000"/>
                <w:sz w:val="24"/>
              </w:rPr>
              <w:t>计划招生人数</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cs="Arial" w:hint="eastAsia"/>
                <w:sz w:val="24"/>
              </w:rPr>
              <w:t>60人/年</w:t>
            </w:r>
          </w:p>
        </w:tc>
      </w:tr>
      <w:tr w:rsidR="00337ADF" w:rsidRPr="00337ADF" w:rsidTr="00DE12B5">
        <w:trPr>
          <w:cantSplit/>
          <w:trHeight w:hRule="exact" w:val="605"/>
          <w:jc w:val="center"/>
        </w:trPr>
        <w:tc>
          <w:tcPr>
            <w:tcW w:w="1898" w:type="dxa"/>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招生方式</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color w:val="000000"/>
                <w:sz w:val="24"/>
              </w:rPr>
            </w:pPr>
            <w:r w:rsidRPr="00337ADF">
              <w:rPr>
                <w:rFonts w:ascii="仿宋" w:eastAsia="仿宋" w:hAnsi="仿宋" w:cs="Arial" w:hint="eastAsia"/>
                <w:color w:val="000000"/>
                <w:sz w:val="24"/>
              </w:rPr>
              <w:t>普通高等学历教育国家计划内招生</w:t>
            </w:r>
          </w:p>
        </w:tc>
      </w:tr>
      <w:tr w:rsidR="00337ADF" w:rsidRPr="00337ADF" w:rsidTr="00DE12B5">
        <w:trPr>
          <w:cantSplit/>
          <w:trHeight w:hRule="exact" w:val="613"/>
          <w:jc w:val="center"/>
        </w:trPr>
        <w:tc>
          <w:tcPr>
            <w:tcW w:w="1898" w:type="dxa"/>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招生起止年份</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color w:val="000000"/>
                <w:sz w:val="24"/>
              </w:rPr>
            </w:pPr>
            <w:r w:rsidRPr="00337ADF">
              <w:rPr>
                <w:rFonts w:ascii="仿宋" w:eastAsia="仿宋" w:hAnsi="仿宋" w:cs="Arial" w:hint="eastAsia"/>
                <w:color w:val="000000"/>
                <w:sz w:val="24"/>
              </w:rPr>
              <w:t>2019年—2020年（每年1届 ，共2届）</w:t>
            </w:r>
          </w:p>
        </w:tc>
      </w:tr>
      <w:tr w:rsidR="00337ADF" w:rsidRPr="00337ADF" w:rsidTr="00DE12B5">
        <w:trPr>
          <w:cantSplit/>
          <w:trHeight w:hRule="exact" w:val="619"/>
          <w:jc w:val="center"/>
        </w:trPr>
        <w:tc>
          <w:tcPr>
            <w:tcW w:w="1898" w:type="dxa"/>
            <w:vMerge w:val="restart"/>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颁发证书</w:t>
            </w: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rPr>
                <w:rFonts w:ascii="仿宋" w:eastAsia="仿宋" w:hAnsi="仿宋" w:cs="Arial"/>
                <w:color w:val="000000"/>
                <w:sz w:val="24"/>
              </w:rPr>
            </w:pPr>
            <w:r w:rsidRPr="00337ADF">
              <w:rPr>
                <w:rFonts w:ascii="仿宋" w:eastAsia="仿宋" w:hAnsi="仿宋" w:cs="Arial" w:hint="eastAsia"/>
                <w:color w:val="000000"/>
                <w:sz w:val="24"/>
              </w:rPr>
              <w:t>中方：普通高等教育专科毕业证书</w:t>
            </w:r>
          </w:p>
        </w:tc>
      </w:tr>
      <w:tr w:rsidR="00337ADF" w:rsidRPr="00337ADF" w:rsidTr="00DE12B5">
        <w:trPr>
          <w:cantSplit/>
          <w:trHeight w:val="550"/>
          <w:jc w:val="center"/>
        </w:trPr>
        <w:tc>
          <w:tcPr>
            <w:tcW w:w="1898" w:type="dxa"/>
            <w:vMerge/>
            <w:tcBorders>
              <w:top w:val="single" w:sz="4" w:space="0" w:color="auto"/>
              <w:left w:val="single" w:sz="12" w:space="0" w:color="auto"/>
              <w:bottom w:val="single" w:sz="4" w:space="0" w:color="auto"/>
              <w:right w:val="single" w:sz="4" w:space="0" w:color="auto"/>
            </w:tcBorders>
            <w:vAlign w:val="center"/>
          </w:tcPr>
          <w:p w:rsidR="00337ADF" w:rsidRPr="00337ADF" w:rsidRDefault="00337ADF" w:rsidP="00DE12B5">
            <w:pPr>
              <w:widowControl/>
              <w:jc w:val="center"/>
              <w:rPr>
                <w:rFonts w:ascii="仿宋" w:eastAsia="仿宋" w:hAnsi="仿宋"/>
                <w:sz w:val="24"/>
              </w:rPr>
            </w:pPr>
          </w:p>
        </w:tc>
        <w:tc>
          <w:tcPr>
            <w:tcW w:w="6517" w:type="dxa"/>
            <w:tcBorders>
              <w:top w:val="single" w:sz="4" w:space="0" w:color="auto"/>
              <w:left w:val="single" w:sz="4" w:space="0" w:color="auto"/>
              <w:bottom w:val="single" w:sz="4" w:space="0" w:color="auto"/>
              <w:right w:val="single" w:sz="12" w:space="0" w:color="auto"/>
            </w:tcBorders>
            <w:vAlign w:val="center"/>
          </w:tcPr>
          <w:p w:rsidR="00337ADF" w:rsidRPr="00337ADF" w:rsidRDefault="00337ADF" w:rsidP="00DE12B5">
            <w:pPr>
              <w:autoSpaceDE w:val="0"/>
              <w:autoSpaceDN w:val="0"/>
              <w:adjustRightInd w:val="0"/>
              <w:rPr>
                <w:rFonts w:ascii="仿宋" w:eastAsia="仿宋" w:hAnsi="仿宋"/>
                <w:sz w:val="24"/>
              </w:rPr>
            </w:pPr>
            <w:r w:rsidRPr="00337ADF">
              <w:rPr>
                <w:rFonts w:ascii="仿宋" w:eastAsia="仿宋" w:hAnsi="仿宋" w:cs="Arial" w:hint="eastAsia"/>
                <w:color w:val="000000"/>
                <w:sz w:val="24"/>
              </w:rPr>
              <w:t>外方：无</w:t>
            </w:r>
          </w:p>
        </w:tc>
      </w:tr>
      <w:tr w:rsidR="00337ADF" w:rsidRPr="00337ADF" w:rsidTr="00DE12B5">
        <w:trPr>
          <w:cantSplit/>
          <w:trHeight w:hRule="exact" w:val="567"/>
          <w:jc w:val="center"/>
        </w:trPr>
        <w:tc>
          <w:tcPr>
            <w:tcW w:w="1898" w:type="dxa"/>
            <w:tcBorders>
              <w:top w:val="single" w:sz="4" w:space="0" w:color="auto"/>
              <w:left w:val="single" w:sz="12" w:space="0" w:color="auto"/>
              <w:bottom w:val="single" w:sz="12" w:space="0" w:color="auto"/>
              <w:right w:val="single" w:sz="4" w:space="0" w:color="auto"/>
            </w:tcBorders>
            <w:vAlign w:val="center"/>
          </w:tcPr>
          <w:p w:rsidR="00337ADF" w:rsidRPr="00337ADF" w:rsidRDefault="00337ADF" w:rsidP="00DE12B5">
            <w:pPr>
              <w:jc w:val="center"/>
              <w:rPr>
                <w:rFonts w:ascii="仿宋" w:eastAsia="仿宋" w:hAnsi="仿宋"/>
                <w:sz w:val="24"/>
              </w:rPr>
            </w:pPr>
            <w:r w:rsidRPr="00337ADF">
              <w:rPr>
                <w:rFonts w:ascii="仿宋" w:eastAsia="仿宋" w:hAnsi="仿宋" w:hint="eastAsia"/>
                <w:sz w:val="24"/>
              </w:rPr>
              <w:t>项目有效期至</w:t>
            </w:r>
          </w:p>
        </w:tc>
        <w:tc>
          <w:tcPr>
            <w:tcW w:w="6517" w:type="dxa"/>
            <w:tcBorders>
              <w:top w:val="single" w:sz="4" w:space="0" w:color="auto"/>
              <w:left w:val="single" w:sz="4" w:space="0" w:color="auto"/>
              <w:bottom w:val="single" w:sz="12" w:space="0" w:color="auto"/>
              <w:right w:val="single" w:sz="12" w:space="0" w:color="auto"/>
            </w:tcBorders>
            <w:vAlign w:val="center"/>
          </w:tcPr>
          <w:p w:rsidR="00337ADF" w:rsidRPr="00337ADF" w:rsidRDefault="00337ADF" w:rsidP="00DE12B5">
            <w:pPr>
              <w:rPr>
                <w:rFonts w:ascii="仿宋" w:eastAsia="仿宋" w:hAnsi="仿宋" w:cs="Arial"/>
                <w:sz w:val="24"/>
              </w:rPr>
            </w:pPr>
            <w:r w:rsidRPr="00337ADF">
              <w:rPr>
                <w:rFonts w:ascii="仿宋" w:eastAsia="仿宋" w:hAnsi="仿宋" w:hint="eastAsia"/>
                <w:sz w:val="24"/>
              </w:rPr>
              <w:t>2023年8月31日</w:t>
            </w:r>
          </w:p>
        </w:tc>
      </w:tr>
    </w:tbl>
    <w:p w:rsidR="00337ADF" w:rsidRPr="00337ADF" w:rsidRDefault="00337ADF" w:rsidP="00337ADF">
      <w:pPr>
        <w:spacing w:line="560" w:lineRule="exact"/>
        <w:rPr>
          <w:rFonts w:ascii="仿宋" w:eastAsia="仿宋" w:hAnsi="仿宋"/>
          <w:b/>
          <w:bCs/>
        </w:rPr>
      </w:pPr>
    </w:p>
    <w:p w:rsidR="00337ADF" w:rsidRPr="00337ADF" w:rsidRDefault="00337ADF" w:rsidP="00337ADF">
      <w:pPr>
        <w:spacing w:line="560" w:lineRule="exact"/>
        <w:rPr>
          <w:rFonts w:ascii="仿宋" w:eastAsia="仿宋" w:hAnsi="仿宋"/>
        </w:rPr>
      </w:pPr>
    </w:p>
    <w:p w:rsidR="00337ADF" w:rsidRPr="00337ADF" w:rsidRDefault="00337ADF" w:rsidP="00337ADF">
      <w:pPr>
        <w:spacing w:line="560" w:lineRule="exact"/>
        <w:rPr>
          <w:rFonts w:ascii="仿宋" w:eastAsia="仿宋" w:hAnsi="仿宋"/>
        </w:rPr>
      </w:pPr>
    </w:p>
    <w:p w:rsidR="00337ADF" w:rsidRPr="00337ADF" w:rsidRDefault="00337ADF" w:rsidP="00337ADF">
      <w:pPr>
        <w:rPr>
          <w:rFonts w:ascii="仿宋" w:eastAsia="仿宋" w:hAnsi="仿宋"/>
        </w:rPr>
      </w:pPr>
    </w:p>
    <w:p w:rsidR="00BF242F" w:rsidRPr="00337ADF" w:rsidRDefault="00337ADF">
      <w:pPr>
        <w:rPr>
          <w:rFonts w:ascii="仿宋" w:eastAsia="仿宋" w:hAnsi="仿宋"/>
        </w:rPr>
      </w:pPr>
    </w:p>
    <w:sectPr w:rsidR="00BF242F" w:rsidRPr="00337ADF" w:rsidSect="00AB0C5E">
      <w:pgSz w:w="11906" w:h="16838" w:code="9"/>
      <w:pgMar w:top="2381" w:right="1588" w:bottom="1985" w:left="1588" w:header="851" w:footer="1418" w:gutter="0"/>
      <w:cols w:space="425"/>
      <w:docGrid w:type="linesAndChars" w:linePitch="577" w:charSpace="-126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7ADF"/>
    <w:rsid w:val="00307B30"/>
    <w:rsid w:val="00337ADF"/>
    <w:rsid w:val="00816126"/>
    <w:rsid w:val="00E44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AD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2019-07-11T13:19:00Z</dcterms:created>
  <dcterms:modified xsi:type="dcterms:W3CDTF">2019-07-11T13:19:00Z</dcterms:modified>
</cp:coreProperties>
</file>