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黑体" w:eastAsia="黑体"/>
          <w:szCs w:val="32"/>
        </w:rPr>
      </w:pPr>
      <w:r>
        <w:rPr>
          <w:rFonts w:hint="eastAsia" w:ascii="黑体" w:eastAsia="黑体"/>
          <w:szCs w:val="32"/>
        </w:rPr>
        <w:t>附件3</w:t>
      </w:r>
    </w:p>
    <w:p>
      <w:pPr>
        <w:spacing w:line="400" w:lineRule="exact"/>
        <w:jc w:val="center"/>
        <w:rPr>
          <w:rFonts w:hint="eastAsia" w:ascii="黑体" w:eastAsia="黑体"/>
          <w:sz w:val="15"/>
          <w:szCs w:val="15"/>
        </w:rPr>
      </w:pPr>
      <w:r>
        <w:rPr>
          <w:rFonts w:hint="eastAsia" w:ascii="黑体" w:eastAsia="黑体"/>
          <w:szCs w:val="32"/>
        </w:rPr>
        <w:t>一、北京民办高等学校及其他民办高等教育机构办学状况年度检查考核要点（试用）</w:t>
      </w:r>
    </w:p>
    <w:p>
      <w:pPr>
        <w:spacing w:line="280" w:lineRule="exact"/>
        <w:jc w:val="center"/>
        <w:rPr>
          <w:rFonts w:ascii="黑体" w:eastAsia="黑体"/>
          <w:sz w:val="15"/>
          <w:szCs w:val="15"/>
        </w:rPr>
      </w:pPr>
    </w:p>
    <w:tbl>
      <w:tblPr>
        <w:tblStyle w:val="3"/>
        <w:tblW w:w="15451"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2"/>
        <w:gridCol w:w="1737"/>
        <w:gridCol w:w="4111"/>
        <w:gridCol w:w="3685"/>
        <w:gridCol w:w="2410"/>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blHeader/>
        </w:trPr>
        <w:tc>
          <w:tcPr>
            <w:tcW w:w="1382" w:type="dxa"/>
            <w:noWrap w:val="0"/>
            <w:vAlign w:val="center"/>
          </w:tcPr>
          <w:p>
            <w:pPr>
              <w:spacing w:line="280" w:lineRule="exact"/>
              <w:jc w:val="center"/>
              <w:rPr>
                <w:rFonts w:ascii="宋体" w:hAnsi="宋体" w:eastAsia="宋体"/>
                <w:b/>
                <w:sz w:val="24"/>
              </w:rPr>
            </w:pPr>
            <w:r>
              <w:rPr>
                <w:rFonts w:hint="eastAsia" w:ascii="宋体" w:hAnsi="宋体" w:eastAsia="宋体"/>
                <w:b/>
                <w:sz w:val="24"/>
              </w:rPr>
              <w:t>考核项目</w:t>
            </w:r>
          </w:p>
        </w:tc>
        <w:tc>
          <w:tcPr>
            <w:tcW w:w="1737" w:type="dxa"/>
            <w:noWrap w:val="0"/>
            <w:vAlign w:val="center"/>
          </w:tcPr>
          <w:p>
            <w:pPr>
              <w:spacing w:line="280" w:lineRule="exact"/>
              <w:jc w:val="center"/>
              <w:rPr>
                <w:rFonts w:ascii="宋体" w:hAnsi="宋体" w:eastAsia="宋体"/>
                <w:b/>
                <w:sz w:val="24"/>
              </w:rPr>
            </w:pPr>
            <w:r>
              <w:rPr>
                <w:rFonts w:hint="eastAsia" w:ascii="宋体" w:hAnsi="宋体" w:eastAsia="宋体"/>
                <w:b/>
                <w:sz w:val="24"/>
              </w:rPr>
              <w:t>考核要点</w:t>
            </w:r>
          </w:p>
        </w:tc>
        <w:tc>
          <w:tcPr>
            <w:tcW w:w="4111" w:type="dxa"/>
            <w:noWrap w:val="0"/>
            <w:vAlign w:val="center"/>
          </w:tcPr>
          <w:p>
            <w:pPr>
              <w:spacing w:line="280" w:lineRule="exact"/>
              <w:jc w:val="center"/>
              <w:rPr>
                <w:rFonts w:ascii="宋体" w:hAnsi="宋体" w:eastAsia="宋体"/>
                <w:b/>
                <w:sz w:val="24"/>
              </w:rPr>
            </w:pPr>
            <w:r>
              <w:rPr>
                <w:rFonts w:hint="eastAsia" w:ascii="宋体" w:hAnsi="宋体" w:eastAsia="宋体"/>
                <w:b/>
                <w:sz w:val="24"/>
              </w:rPr>
              <w:t>考核内容</w:t>
            </w:r>
          </w:p>
        </w:tc>
        <w:tc>
          <w:tcPr>
            <w:tcW w:w="3685" w:type="dxa"/>
            <w:noWrap w:val="0"/>
            <w:vAlign w:val="center"/>
          </w:tcPr>
          <w:p>
            <w:pPr>
              <w:spacing w:line="280" w:lineRule="exact"/>
              <w:jc w:val="center"/>
              <w:rPr>
                <w:rFonts w:ascii="宋体" w:hAnsi="宋体" w:eastAsia="宋体"/>
                <w:b/>
                <w:sz w:val="24"/>
              </w:rPr>
            </w:pPr>
            <w:r>
              <w:rPr>
                <w:rFonts w:hint="eastAsia" w:ascii="宋体" w:hAnsi="宋体" w:eastAsia="宋体"/>
                <w:b/>
                <w:sz w:val="24"/>
              </w:rPr>
              <w:t>法律法规及相关政策文件依据</w:t>
            </w:r>
          </w:p>
        </w:tc>
        <w:tc>
          <w:tcPr>
            <w:tcW w:w="2410" w:type="dxa"/>
            <w:noWrap w:val="0"/>
            <w:vAlign w:val="center"/>
          </w:tcPr>
          <w:p>
            <w:pPr>
              <w:spacing w:line="280" w:lineRule="exact"/>
              <w:jc w:val="center"/>
              <w:rPr>
                <w:rFonts w:ascii="宋体" w:hAnsi="宋体" w:eastAsia="宋体"/>
                <w:b/>
                <w:sz w:val="24"/>
              </w:rPr>
            </w:pPr>
            <w:r>
              <w:rPr>
                <w:rFonts w:hint="eastAsia" w:ascii="宋体" w:hAnsi="宋体" w:eastAsia="宋体"/>
                <w:b/>
                <w:sz w:val="24"/>
              </w:rPr>
              <w:t>考核材料要求</w:t>
            </w:r>
          </w:p>
        </w:tc>
        <w:tc>
          <w:tcPr>
            <w:tcW w:w="2126" w:type="dxa"/>
            <w:noWrap w:val="0"/>
            <w:vAlign w:val="center"/>
          </w:tcPr>
          <w:p>
            <w:pPr>
              <w:spacing w:line="280" w:lineRule="exact"/>
              <w:jc w:val="center"/>
              <w:rPr>
                <w:rFonts w:ascii="宋体" w:hAnsi="宋体" w:eastAsia="宋体"/>
                <w:b/>
                <w:sz w:val="24"/>
              </w:rPr>
            </w:pPr>
            <w:r>
              <w:rPr>
                <w:rFonts w:hint="eastAsia" w:ascii="宋体" w:hAnsi="宋体" w:eastAsia="宋体"/>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382" w:type="dxa"/>
            <w:vMerge w:val="restart"/>
            <w:noWrap w:val="0"/>
            <w:vAlign w:val="center"/>
          </w:tcPr>
          <w:p>
            <w:pPr>
              <w:spacing w:line="280" w:lineRule="exact"/>
              <w:jc w:val="center"/>
              <w:rPr>
                <w:rFonts w:ascii="宋体" w:hAnsi="宋体" w:eastAsia="宋体"/>
                <w:b/>
                <w:sz w:val="24"/>
              </w:rPr>
            </w:pPr>
            <w:r>
              <w:rPr>
                <w:rFonts w:hint="eastAsia" w:ascii="仿宋_GB2312" w:hAnsi="宋体"/>
                <w:b/>
                <w:sz w:val="24"/>
              </w:rPr>
              <w:t>一、依法诚信办学</w:t>
            </w:r>
          </w:p>
        </w:tc>
        <w:tc>
          <w:tcPr>
            <w:tcW w:w="1737" w:type="dxa"/>
            <w:noWrap w:val="0"/>
            <w:vAlign w:val="center"/>
          </w:tcPr>
          <w:p>
            <w:pPr>
              <w:spacing w:line="280" w:lineRule="exact"/>
              <w:rPr>
                <w:rFonts w:ascii="宋体" w:hAnsi="宋体" w:eastAsia="宋体"/>
                <w:b/>
                <w:sz w:val="24"/>
              </w:rPr>
            </w:pPr>
            <w:r>
              <w:rPr>
                <w:rFonts w:hint="eastAsia" w:ascii="仿宋_GB2312" w:hAnsi="宋体"/>
                <w:b/>
                <w:sz w:val="24"/>
              </w:rPr>
              <w:t>1.办学定位</w:t>
            </w:r>
          </w:p>
        </w:tc>
        <w:tc>
          <w:tcPr>
            <w:tcW w:w="4111" w:type="dxa"/>
            <w:noWrap w:val="0"/>
            <w:vAlign w:val="center"/>
          </w:tcPr>
          <w:p>
            <w:pPr>
              <w:spacing w:line="280" w:lineRule="exact"/>
              <w:jc w:val="left"/>
              <w:rPr>
                <w:rFonts w:ascii="仿宋_GB2312" w:hAnsi="宋体"/>
                <w:sz w:val="22"/>
                <w:szCs w:val="22"/>
              </w:rPr>
            </w:pPr>
            <w:r>
              <w:rPr>
                <w:rFonts w:hint="eastAsia" w:ascii="仿宋_GB2312" w:hAnsi="宋体"/>
                <w:sz w:val="22"/>
                <w:szCs w:val="22"/>
              </w:rPr>
              <w:t>学校应遵守法律法规和相关规定，贯彻党和国家的教育方针，坚持社会主义办学方向和教育公益性原则，培养中国特色社会主义合格建设者和可靠接班人。</w:t>
            </w:r>
          </w:p>
          <w:p>
            <w:pPr>
              <w:spacing w:line="280" w:lineRule="exact"/>
              <w:jc w:val="left"/>
              <w:rPr>
                <w:rFonts w:ascii="仿宋_GB2312" w:hAnsi="宋体"/>
                <w:sz w:val="22"/>
                <w:szCs w:val="22"/>
              </w:rPr>
            </w:pPr>
            <w:r>
              <w:rPr>
                <w:rFonts w:hint="eastAsia" w:ascii="仿宋_GB2312" w:hAnsi="宋体"/>
                <w:sz w:val="22"/>
                <w:szCs w:val="22"/>
              </w:rPr>
              <w:t>学校应自觉树立服务首都意识，按照疏解“非首都功能”要求推进落实相关工作，结合区域经济社会发展，生源结构合理。</w:t>
            </w:r>
          </w:p>
        </w:tc>
        <w:tc>
          <w:tcPr>
            <w:tcW w:w="3685" w:type="dxa"/>
            <w:noWrap w:val="0"/>
            <w:vAlign w:val="center"/>
          </w:tcPr>
          <w:p>
            <w:pPr>
              <w:spacing w:line="280" w:lineRule="exact"/>
              <w:jc w:val="left"/>
              <w:rPr>
                <w:rFonts w:ascii="仿宋_GB2312" w:hAnsi="宋体"/>
                <w:sz w:val="22"/>
                <w:szCs w:val="22"/>
              </w:rPr>
            </w:pPr>
            <w:r>
              <w:rPr>
                <w:rFonts w:hint="eastAsia" w:ascii="仿宋_GB2312" w:hAnsi="宋体"/>
                <w:sz w:val="22"/>
                <w:szCs w:val="22"/>
              </w:rPr>
              <w:t>1.《民办教育促进法》第三条、第四条</w:t>
            </w:r>
          </w:p>
          <w:p>
            <w:pPr>
              <w:spacing w:line="280" w:lineRule="exact"/>
              <w:jc w:val="left"/>
              <w:rPr>
                <w:rFonts w:ascii="仿宋_GB2312" w:hAnsi="宋体"/>
                <w:sz w:val="22"/>
                <w:szCs w:val="22"/>
              </w:rPr>
            </w:pPr>
            <w:r>
              <w:rPr>
                <w:rFonts w:hint="eastAsia" w:ascii="仿宋_GB2312" w:hAnsi="宋体"/>
                <w:sz w:val="22"/>
                <w:szCs w:val="22"/>
              </w:rPr>
              <w:t>2.《关于加强民办高校规范管理 引导民办高等教育健康发展的通知》</w:t>
            </w:r>
          </w:p>
          <w:p>
            <w:pPr>
              <w:spacing w:line="280" w:lineRule="exact"/>
              <w:jc w:val="left"/>
              <w:rPr>
                <w:rFonts w:ascii="仿宋_GB2312" w:hAnsi="宋体"/>
                <w:sz w:val="22"/>
                <w:szCs w:val="22"/>
              </w:rPr>
            </w:pPr>
            <w:r>
              <w:rPr>
                <w:rFonts w:hint="eastAsia" w:ascii="仿宋_GB2312" w:hAnsi="宋体"/>
                <w:sz w:val="22"/>
                <w:szCs w:val="22"/>
              </w:rPr>
              <w:t>3.《民办高等学校办学管理若干规定》第二条</w:t>
            </w:r>
          </w:p>
          <w:p>
            <w:pPr>
              <w:spacing w:line="280" w:lineRule="exact"/>
              <w:jc w:val="left"/>
              <w:rPr>
                <w:rFonts w:ascii="仿宋_GB2312" w:hAnsi="宋体"/>
                <w:sz w:val="22"/>
                <w:szCs w:val="22"/>
              </w:rPr>
            </w:pPr>
            <w:r>
              <w:rPr>
                <w:rFonts w:hint="eastAsia" w:ascii="仿宋_GB2312" w:hAnsi="宋体"/>
                <w:sz w:val="22"/>
                <w:szCs w:val="22"/>
              </w:rPr>
              <w:t>4.中央及北京市有关文件精神</w:t>
            </w:r>
          </w:p>
        </w:tc>
        <w:tc>
          <w:tcPr>
            <w:tcW w:w="2410" w:type="dxa"/>
            <w:noWrap w:val="0"/>
            <w:vAlign w:val="center"/>
          </w:tcPr>
          <w:p>
            <w:pPr>
              <w:spacing w:line="280" w:lineRule="exact"/>
              <w:jc w:val="left"/>
              <w:rPr>
                <w:rFonts w:ascii="宋体" w:hAnsi="宋体" w:eastAsia="宋体"/>
                <w:b/>
                <w:sz w:val="24"/>
              </w:rPr>
            </w:pPr>
            <w:r>
              <w:rPr>
                <w:rFonts w:hint="eastAsia" w:ascii="仿宋_GB2312" w:hAnsi="宋体"/>
                <w:sz w:val="22"/>
                <w:szCs w:val="22"/>
              </w:rPr>
              <w:t>自查报告中应说</w:t>
            </w:r>
            <w:bookmarkStart w:id="4" w:name="_GoBack"/>
            <w:bookmarkEnd w:id="4"/>
            <w:r>
              <w:rPr>
                <w:rFonts w:hint="eastAsia" w:ascii="仿宋_GB2312" w:hAnsi="宋体"/>
                <w:sz w:val="22"/>
                <w:szCs w:val="22"/>
              </w:rPr>
              <w:t>明学校办学定位、办学思路、人才培养目标、在疏解“非首都功能”中的思路及具体措施、北京生源比例。</w:t>
            </w:r>
          </w:p>
        </w:tc>
        <w:tc>
          <w:tcPr>
            <w:tcW w:w="2126" w:type="dxa"/>
            <w:noWrap w:val="0"/>
            <w:vAlign w:val="center"/>
          </w:tcPr>
          <w:p>
            <w:pPr>
              <w:spacing w:line="280" w:lineRule="exact"/>
              <w:jc w:val="left"/>
              <w:rPr>
                <w:rFonts w:ascii="宋体" w:hAnsi="宋体" w:eastAsia="宋体"/>
                <w:b/>
                <w:sz w:val="24"/>
              </w:rPr>
            </w:pPr>
            <w:r>
              <w:rPr>
                <w:rFonts w:hint="eastAsia" w:ascii="仿宋_GB2312" w:hAnsi="宋体"/>
                <w:sz w:val="22"/>
                <w:szCs w:val="22"/>
              </w:rPr>
              <w:t>★学校的办学定位、发展模式等与北京城市战略定位和首都核心功能不相符并无具体思路和措施、生源结构不合理，年检结论为“暂缓通过”或“不通过”。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2" w:type="dxa"/>
            <w:vMerge w:val="continue"/>
            <w:noWrap w:val="0"/>
            <w:vAlign w:val="center"/>
          </w:tcPr>
          <w:p>
            <w:pPr>
              <w:spacing w:line="280" w:lineRule="exact"/>
              <w:jc w:val="center"/>
              <w:rPr>
                <w:rFonts w:ascii="仿宋_GB2312" w:hAnsi="宋体"/>
                <w:b/>
                <w:sz w:val="24"/>
              </w:rPr>
            </w:pPr>
          </w:p>
        </w:tc>
        <w:tc>
          <w:tcPr>
            <w:tcW w:w="1737" w:type="dxa"/>
            <w:noWrap w:val="0"/>
            <w:vAlign w:val="center"/>
          </w:tcPr>
          <w:p>
            <w:pPr>
              <w:spacing w:line="280" w:lineRule="exact"/>
              <w:rPr>
                <w:rFonts w:ascii="仿宋_GB2312" w:hAnsi="宋体"/>
                <w:b/>
                <w:sz w:val="24"/>
              </w:rPr>
            </w:pPr>
            <w:r>
              <w:rPr>
                <w:rFonts w:hint="eastAsia" w:ascii="仿宋_GB2312" w:hAnsi="宋体"/>
                <w:b/>
                <w:sz w:val="24"/>
              </w:rPr>
              <w:t>2.招生宣传</w:t>
            </w:r>
          </w:p>
        </w:tc>
        <w:tc>
          <w:tcPr>
            <w:tcW w:w="4111" w:type="dxa"/>
            <w:noWrap w:val="0"/>
            <w:vAlign w:val="top"/>
          </w:tcPr>
          <w:p>
            <w:pPr>
              <w:spacing w:line="280" w:lineRule="exact"/>
              <w:rPr>
                <w:rFonts w:ascii="仿宋_GB2312" w:hAnsi="宋体"/>
                <w:sz w:val="22"/>
                <w:szCs w:val="22"/>
              </w:rPr>
            </w:pPr>
            <w:r>
              <w:rPr>
                <w:rFonts w:hint="eastAsia" w:ascii="仿宋_GB2312" w:hAnsi="宋体"/>
                <w:sz w:val="22"/>
                <w:szCs w:val="22"/>
              </w:rPr>
              <w:t>学校应将招生简章和广告进行备案，招生应按照备案内容、通过合法渠道进行宣传，不得有虚假、模糊和夸大的宣传。</w:t>
            </w:r>
          </w:p>
        </w:tc>
        <w:tc>
          <w:tcPr>
            <w:tcW w:w="3685" w:type="dxa"/>
            <w:noWrap w:val="0"/>
            <w:vAlign w:val="top"/>
          </w:tcPr>
          <w:p>
            <w:pPr>
              <w:spacing w:line="280" w:lineRule="exact"/>
              <w:rPr>
                <w:rFonts w:ascii="仿宋_GB2312" w:hAnsi="宋体"/>
                <w:sz w:val="22"/>
                <w:szCs w:val="22"/>
              </w:rPr>
            </w:pPr>
            <w:r>
              <w:rPr>
                <w:rFonts w:hint="eastAsia" w:ascii="仿宋_GB2312" w:hAnsi="宋体"/>
                <w:sz w:val="22"/>
                <w:szCs w:val="22"/>
              </w:rPr>
              <w:t>1.《民办教育促进法》第四十一条、第六十二条第三款</w:t>
            </w:r>
          </w:p>
          <w:p>
            <w:pPr>
              <w:spacing w:line="280" w:lineRule="exact"/>
              <w:rPr>
                <w:rFonts w:ascii="仿宋_GB2312" w:hAnsi="宋体"/>
                <w:sz w:val="22"/>
                <w:szCs w:val="22"/>
              </w:rPr>
            </w:pPr>
            <w:r>
              <w:rPr>
                <w:rFonts w:hint="eastAsia" w:ascii="仿宋_GB2312" w:hAnsi="宋体"/>
                <w:sz w:val="22"/>
                <w:szCs w:val="22"/>
              </w:rPr>
              <w:t>2.《民办高等学校办学管理若干规定》第八条第二款</w:t>
            </w:r>
          </w:p>
          <w:p>
            <w:pPr>
              <w:spacing w:line="280" w:lineRule="exact"/>
              <w:rPr>
                <w:rFonts w:ascii="仿宋_GB2312" w:hAnsi="宋体"/>
                <w:sz w:val="22"/>
                <w:szCs w:val="22"/>
              </w:rPr>
            </w:pPr>
            <w:r>
              <w:rPr>
                <w:rFonts w:hint="eastAsia" w:ascii="仿宋_GB2312" w:hAnsi="宋体"/>
                <w:sz w:val="22"/>
                <w:szCs w:val="22"/>
              </w:rPr>
              <w:t>3.《北京市实施&lt;民办教育促进法&gt;办法》第十七条</w:t>
            </w:r>
          </w:p>
          <w:p>
            <w:pPr>
              <w:spacing w:line="280" w:lineRule="exact"/>
              <w:rPr>
                <w:rFonts w:ascii="仿宋_GB2312" w:hAnsi="宋体"/>
                <w:sz w:val="22"/>
                <w:szCs w:val="22"/>
              </w:rPr>
            </w:pPr>
            <w:r>
              <w:rPr>
                <w:rFonts w:hint="eastAsia" w:ascii="仿宋_GB2312" w:hAnsi="宋体"/>
                <w:sz w:val="22"/>
                <w:szCs w:val="22"/>
              </w:rPr>
              <w:t>4.《北京市民办高等教育机构招生简章和广告备案管理办法（试行）》</w:t>
            </w:r>
          </w:p>
          <w:p>
            <w:pPr>
              <w:spacing w:line="280" w:lineRule="exact"/>
              <w:rPr>
                <w:rFonts w:ascii="仿宋_GB2312" w:hAnsi="宋体"/>
                <w:sz w:val="22"/>
                <w:szCs w:val="22"/>
              </w:rPr>
            </w:pPr>
          </w:p>
        </w:tc>
        <w:tc>
          <w:tcPr>
            <w:tcW w:w="2410" w:type="dxa"/>
            <w:noWrap w:val="0"/>
            <w:vAlign w:val="top"/>
          </w:tcPr>
          <w:p>
            <w:pPr>
              <w:spacing w:line="280" w:lineRule="exact"/>
              <w:rPr>
                <w:rFonts w:ascii="仿宋_GB2312" w:hAnsi="宋体"/>
                <w:sz w:val="22"/>
                <w:szCs w:val="22"/>
              </w:rPr>
            </w:pPr>
            <w:r>
              <w:rPr>
                <w:rFonts w:hint="eastAsia" w:ascii="仿宋_GB2312" w:hAnsi="宋体"/>
                <w:sz w:val="22"/>
                <w:szCs w:val="22"/>
              </w:rPr>
              <w:t>1.自查报告中应说明招生的机构设置、人员配置、相关制度及招生宣传的渠道等。</w:t>
            </w:r>
          </w:p>
          <w:p>
            <w:pPr>
              <w:spacing w:line="280" w:lineRule="exact"/>
              <w:rPr>
                <w:rFonts w:ascii="仿宋_GB2312" w:hAnsi="宋体"/>
                <w:sz w:val="22"/>
                <w:szCs w:val="22"/>
              </w:rPr>
            </w:pPr>
            <w:r>
              <w:rPr>
                <w:rFonts w:hint="eastAsia" w:ascii="仿宋_GB2312" w:hAnsi="宋体"/>
                <w:sz w:val="22"/>
                <w:szCs w:val="22"/>
              </w:rPr>
              <w:t>2.提供印制的招生简章和广告。（</w:t>
            </w:r>
            <w:r>
              <w:rPr>
                <w:rFonts w:hint="eastAsia" w:ascii="仿宋_GB2312" w:hAnsi="宋体"/>
                <w:b/>
                <w:sz w:val="22"/>
                <w:szCs w:val="22"/>
              </w:rPr>
              <w:t>自查报告附件1</w:t>
            </w:r>
            <w:r>
              <w:rPr>
                <w:rFonts w:hint="eastAsia" w:ascii="仿宋_GB2312" w:hAnsi="宋体"/>
                <w:sz w:val="22"/>
                <w:szCs w:val="22"/>
              </w:rPr>
              <w:t>）</w:t>
            </w:r>
          </w:p>
        </w:tc>
        <w:tc>
          <w:tcPr>
            <w:tcW w:w="2126" w:type="dxa"/>
            <w:noWrap w:val="0"/>
            <w:vAlign w:val="top"/>
          </w:tcPr>
          <w:p>
            <w:pPr>
              <w:spacing w:line="280" w:lineRule="exact"/>
              <w:rPr>
                <w:rFonts w:ascii="仿宋_GB2312" w:hAnsi="宋体"/>
                <w:sz w:val="22"/>
                <w:szCs w:val="22"/>
              </w:rPr>
            </w:pPr>
            <w:r>
              <w:rPr>
                <w:rFonts w:hint="eastAsia" w:ascii="仿宋_GB2312" w:hAnsi="宋体"/>
                <w:sz w:val="22"/>
                <w:szCs w:val="22"/>
              </w:rPr>
              <w:t>★年度内如发现存在</w:t>
            </w:r>
            <w:r>
              <w:rPr>
                <w:rFonts w:ascii="仿宋_GB2312" w:hAnsi="宋体"/>
                <w:sz w:val="22"/>
                <w:szCs w:val="22"/>
              </w:rPr>
              <w:t>模糊或</w:t>
            </w:r>
            <w:r>
              <w:rPr>
                <w:rFonts w:hint="eastAsia" w:ascii="仿宋_GB2312" w:hAnsi="宋体"/>
                <w:sz w:val="22"/>
                <w:szCs w:val="22"/>
              </w:rPr>
              <w:t>虚假招生宣传等情况并整改不力造成重大影响，年检结论为“暂缓通过”或“不通过”。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2" w:type="dxa"/>
            <w:vMerge w:val="continue"/>
            <w:noWrap w:val="0"/>
            <w:vAlign w:val="top"/>
          </w:tcPr>
          <w:p>
            <w:pPr>
              <w:spacing w:line="280" w:lineRule="exact"/>
              <w:rPr>
                <w:rFonts w:ascii="仿宋_GB2312" w:hAnsi="宋体"/>
                <w:b/>
                <w:szCs w:val="21"/>
              </w:rPr>
            </w:pPr>
          </w:p>
        </w:tc>
        <w:tc>
          <w:tcPr>
            <w:tcW w:w="1737" w:type="dxa"/>
            <w:noWrap w:val="0"/>
            <w:vAlign w:val="center"/>
          </w:tcPr>
          <w:p>
            <w:pPr>
              <w:spacing w:line="280" w:lineRule="exact"/>
              <w:rPr>
                <w:rFonts w:ascii="仿宋_GB2312" w:hAnsi="宋体"/>
                <w:b/>
                <w:sz w:val="24"/>
              </w:rPr>
            </w:pPr>
            <w:r>
              <w:rPr>
                <w:rFonts w:hint="eastAsia" w:ascii="仿宋_GB2312" w:hAnsi="宋体"/>
                <w:b/>
                <w:sz w:val="24"/>
              </w:rPr>
              <w:t>3.证书发放</w:t>
            </w:r>
          </w:p>
        </w:tc>
        <w:tc>
          <w:tcPr>
            <w:tcW w:w="4111" w:type="dxa"/>
            <w:noWrap w:val="0"/>
            <w:vAlign w:val="top"/>
          </w:tcPr>
          <w:p>
            <w:pPr>
              <w:spacing w:line="280" w:lineRule="exact"/>
              <w:rPr>
                <w:rFonts w:ascii="仿宋_GB2312" w:hAnsi="宋体"/>
                <w:sz w:val="22"/>
                <w:szCs w:val="22"/>
              </w:rPr>
            </w:pPr>
            <w:r>
              <w:rPr>
                <w:rFonts w:hint="eastAsia" w:ascii="仿宋_GB2312" w:hAnsi="宋体"/>
                <w:sz w:val="22"/>
                <w:szCs w:val="22"/>
              </w:rPr>
              <w:t>学校应依照相关标准向学生发放学历证书、结业证书或者培训合格证书。</w:t>
            </w:r>
          </w:p>
        </w:tc>
        <w:tc>
          <w:tcPr>
            <w:tcW w:w="3685" w:type="dxa"/>
            <w:noWrap w:val="0"/>
            <w:vAlign w:val="top"/>
          </w:tcPr>
          <w:p>
            <w:pPr>
              <w:spacing w:line="280" w:lineRule="exact"/>
              <w:rPr>
                <w:rFonts w:ascii="仿宋_GB2312" w:hAnsi="宋体"/>
                <w:sz w:val="22"/>
                <w:szCs w:val="22"/>
              </w:rPr>
            </w:pPr>
            <w:r>
              <w:rPr>
                <w:rFonts w:hint="eastAsia" w:ascii="仿宋_GB2312" w:hAnsi="宋体"/>
                <w:sz w:val="22"/>
                <w:szCs w:val="22"/>
              </w:rPr>
              <w:t>1.《民办教育促进法》第二十五条第一款、第六十二条第四款</w:t>
            </w:r>
          </w:p>
          <w:p>
            <w:pPr>
              <w:spacing w:line="280" w:lineRule="exact"/>
              <w:rPr>
                <w:rFonts w:ascii="仿宋_GB2312" w:hAnsi="宋体"/>
                <w:sz w:val="22"/>
                <w:szCs w:val="22"/>
              </w:rPr>
            </w:pPr>
            <w:r>
              <w:rPr>
                <w:rFonts w:hint="eastAsia" w:ascii="仿宋_GB2312" w:hAnsi="宋体"/>
                <w:sz w:val="22"/>
                <w:szCs w:val="22"/>
              </w:rPr>
              <w:t>2.《高等教育法》第十八条、第二十条</w:t>
            </w:r>
          </w:p>
        </w:tc>
        <w:tc>
          <w:tcPr>
            <w:tcW w:w="2410" w:type="dxa"/>
            <w:noWrap w:val="0"/>
            <w:vAlign w:val="top"/>
          </w:tcPr>
          <w:p>
            <w:pPr>
              <w:spacing w:line="280" w:lineRule="exact"/>
              <w:rPr>
                <w:rFonts w:ascii="仿宋_GB2312" w:hAnsi="宋体"/>
                <w:sz w:val="22"/>
                <w:szCs w:val="22"/>
              </w:rPr>
            </w:pPr>
            <w:r>
              <w:rPr>
                <w:rFonts w:hint="eastAsia" w:ascii="仿宋_GB2312" w:hAnsi="宋体"/>
                <w:sz w:val="22"/>
                <w:szCs w:val="22"/>
              </w:rPr>
              <w:t>自查报告中应说明学校的办学层次、招收学生的类别、有关证书发放的管理办法等。</w:t>
            </w:r>
          </w:p>
        </w:tc>
        <w:tc>
          <w:tcPr>
            <w:tcW w:w="2126" w:type="dxa"/>
            <w:noWrap w:val="0"/>
            <w:vAlign w:val="top"/>
          </w:tcPr>
          <w:p>
            <w:pPr>
              <w:spacing w:line="280" w:lineRule="exact"/>
              <w:rPr>
                <w:rFonts w:ascii="仿宋_GB2312" w:hAnsi="宋体"/>
                <w:sz w:val="22"/>
                <w:szCs w:val="22"/>
              </w:rPr>
            </w:pPr>
            <w:r>
              <w:rPr>
                <w:rFonts w:hint="eastAsia" w:ascii="仿宋_GB2312" w:hAnsi="宋体"/>
                <w:sz w:val="22"/>
                <w:szCs w:val="22"/>
              </w:rPr>
              <w:t>★年度内如发现违规发放学业证书情况，年检结论为“暂缓通过”或“不通过”。</w:t>
            </w:r>
          </w:p>
          <w:p>
            <w:pPr>
              <w:spacing w:line="280" w:lineRule="exact"/>
              <w:rPr>
                <w:rFonts w:ascii="仿宋_GB2312" w:hAns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2" w:type="dxa"/>
            <w:vMerge w:val="continue"/>
            <w:noWrap w:val="0"/>
            <w:vAlign w:val="top"/>
          </w:tcPr>
          <w:p>
            <w:pPr>
              <w:spacing w:line="280" w:lineRule="exact"/>
              <w:rPr>
                <w:rFonts w:ascii="仿宋_GB2312" w:hAnsi="宋体"/>
                <w:b/>
                <w:szCs w:val="21"/>
              </w:rPr>
            </w:pPr>
          </w:p>
        </w:tc>
        <w:tc>
          <w:tcPr>
            <w:tcW w:w="1737" w:type="dxa"/>
            <w:noWrap w:val="0"/>
            <w:vAlign w:val="center"/>
          </w:tcPr>
          <w:p>
            <w:pPr>
              <w:spacing w:line="280" w:lineRule="exact"/>
              <w:rPr>
                <w:rFonts w:ascii="仿宋_GB2312" w:hAnsi="宋体"/>
                <w:b/>
                <w:sz w:val="24"/>
              </w:rPr>
            </w:pPr>
            <w:r>
              <w:rPr>
                <w:rFonts w:hint="eastAsia" w:ascii="仿宋_GB2312" w:hAnsi="宋体"/>
                <w:b/>
                <w:sz w:val="24"/>
              </w:rPr>
              <w:t>4.规范管理</w:t>
            </w:r>
          </w:p>
        </w:tc>
        <w:tc>
          <w:tcPr>
            <w:tcW w:w="4111" w:type="dxa"/>
            <w:noWrap w:val="0"/>
            <w:vAlign w:val="top"/>
          </w:tcPr>
          <w:p>
            <w:pPr>
              <w:spacing w:line="280" w:lineRule="exact"/>
              <w:rPr>
                <w:rFonts w:ascii="仿宋_GB2312" w:hAnsi="宋体"/>
                <w:sz w:val="22"/>
                <w:szCs w:val="22"/>
              </w:rPr>
            </w:pPr>
            <w:r>
              <w:rPr>
                <w:rFonts w:hint="eastAsia" w:ascii="仿宋_GB2312" w:hAnsi="宋体"/>
                <w:sz w:val="22"/>
                <w:szCs w:val="22"/>
              </w:rPr>
              <w:t>学校应加强内部管理，规范管理，保障良好的教育教学秩序；不得以各类形式变相出租出借办学资质。</w:t>
            </w:r>
          </w:p>
        </w:tc>
        <w:tc>
          <w:tcPr>
            <w:tcW w:w="3685" w:type="dxa"/>
            <w:noWrap w:val="0"/>
            <w:vAlign w:val="top"/>
          </w:tcPr>
          <w:p>
            <w:pPr>
              <w:spacing w:line="280" w:lineRule="exact"/>
              <w:rPr>
                <w:rFonts w:ascii="仿宋_GB2312" w:hAnsi="宋体"/>
                <w:sz w:val="22"/>
                <w:szCs w:val="22"/>
              </w:rPr>
            </w:pPr>
            <w:r>
              <w:rPr>
                <w:rFonts w:hint="eastAsia" w:ascii="仿宋_GB2312" w:hAnsi="宋体"/>
                <w:sz w:val="22"/>
                <w:szCs w:val="22"/>
              </w:rPr>
              <w:t>《民办教育促进法》第六十二条第五款、第七款</w:t>
            </w:r>
          </w:p>
          <w:p>
            <w:pPr>
              <w:spacing w:line="280" w:lineRule="exact"/>
              <w:rPr>
                <w:rFonts w:ascii="仿宋_GB2312" w:hAnsi="宋体"/>
                <w:sz w:val="22"/>
                <w:szCs w:val="22"/>
              </w:rPr>
            </w:pPr>
          </w:p>
        </w:tc>
        <w:tc>
          <w:tcPr>
            <w:tcW w:w="2410" w:type="dxa"/>
            <w:noWrap w:val="0"/>
            <w:vAlign w:val="top"/>
          </w:tcPr>
          <w:p>
            <w:pPr>
              <w:spacing w:line="280" w:lineRule="exact"/>
              <w:rPr>
                <w:rFonts w:ascii="仿宋_GB2312" w:hAnsi="宋体"/>
                <w:sz w:val="22"/>
                <w:szCs w:val="22"/>
              </w:rPr>
            </w:pPr>
            <w:r>
              <w:rPr>
                <w:rFonts w:hint="eastAsia" w:ascii="仿宋_GB2312" w:hAnsi="宋体"/>
                <w:sz w:val="22"/>
                <w:szCs w:val="22"/>
              </w:rPr>
              <w:t>1.自查报告应说明内部管理制度、规范管理措施及合作办学情况。</w:t>
            </w:r>
          </w:p>
          <w:p>
            <w:pPr>
              <w:spacing w:line="280" w:lineRule="exact"/>
              <w:rPr>
                <w:rFonts w:ascii="仿宋_GB2312" w:hAnsi="宋体"/>
                <w:sz w:val="22"/>
                <w:szCs w:val="22"/>
              </w:rPr>
            </w:pPr>
            <w:r>
              <w:rPr>
                <w:rFonts w:hint="eastAsia" w:ascii="仿宋_GB2312" w:hAnsi="宋体"/>
                <w:sz w:val="22"/>
                <w:szCs w:val="22"/>
              </w:rPr>
              <w:t>2.提供仍在执行的合作办学协议复印件。（</w:t>
            </w:r>
            <w:r>
              <w:rPr>
                <w:rFonts w:hint="eastAsia" w:ascii="仿宋_GB2312" w:hAnsi="宋体"/>
                <w:b/>
                <w:sz w:val="22"/>
                <w:szCs w:val="22"/>
              </w:rPr>
              <w:t>自查报告附件2）</w:t>
            </w:r>
          </w:p>
        </w:tc>
        <w:tc>
          <w:tcPr>
            <w:tcW w:w="2126" w:type="dxa"/>
            <w:noWrap w:val="0"/>
            <w:vAlign w:val="top"/>
          </w:tcPr>
          <w:p>
            <w:pPr>
              <w:spacing w:line="280" w:lineRule="exact"/>
              <w:rPr>
                <w:rFonts w:ascii="仿宋_GB2312" w:hAnsi="宋体"/>
                <w:sz w:val="22"/>
                <w:szCs w:val="22"/>
              </w:rPr>
            </w:pPr>
            <w:r>
              <w:rPr>
                <w:rFonts w:hint="eastAsia" w:ascii="仿宋_GB2312" w:hAnsi="宋体"/>
                <w:sz w:val="22"/>
                <w:szCs w:val="22"/>
              </w:rPr>
              <w:t>★年度内如发生违规合作办学行为或其他管理混乱问题，情况严重的，年检结论为“暂缓通过”或“不通过”。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6" w:hRule="atLeast"/>
        </w:trPr>
        <w:tc>
          <w:tcPr>
            <w:tcW w:w="1382" w:type="dxa"/>
            <w:vMerge w:val="continue"/>
            <w:noWrap w:val="0"/>
            <w:vAlign w:val="top"/>
          </w:tcPr>
          <w:p>
            <w:pPr>
              <w:spacing w:line="280" w:lineRule="exact"/>
              <w:rPr>
                <w:rFonts w:ascii="仿宋_GB2312" w:hAnsi="宋体"/>
                <w:b/>
                <w:szCs w:val="21"/>
              </w:rPr>
            </w:pPr>
          </w:p>
        </w:tc>
        <w:tc>
          <w:tcPr>
            <w:tcW w:w="1737" w:type="dxa"/>
            <w:noWrap w:val="0"/>
            <w:vAlign w:val="center"/>
          </w:tcPr>
          <w:p>
            <w:pPr>
              <w:spacing w:line="280" w:lineRule="exact"/>
              <w:rPr>
                <w:rFonts w:ascii="仿宋_GB2312" w:hAnsi="宋体"/>
                <w:b/>
                <w:sz w:val="24"/>
              </w:rPr>
            </w:pPr>
            <w:r>
              <w:rPr>
                <w:rFonts w:hint="eastAsia" w:ascii="仿宋_GB2312" w:hAnsi="宋体"/>
                <w:b/>
                <w:sz w:val="24"/>
              </w:rPr>
              <w:t>5.名称规范</w:t>
            </w:r>
          </w:p>
        </w:tc>
        <w:tc>
          <w:tcPr>
            <w:tcW w:w="4111" w:type="dxa"/>
            <w:noWrap w:val="0"/>
            <w:vAlign w:val="top"/>
          </w:tcPr>
          <w:p>
            <w:pPr>
              <w:spacing w:line="280" w:lineRule="exact"/>
              <w:rPr>
                <w:rFonts w:ascii="仿宋_GB2312" w:hAnsi="宋体"/>
                <w:sz w:val="22"/>
                <w:szCs w:val="22"/>
              </w:rPr>
            </w:pPr>
            <w:r>
              <w:rPr>
                <w:rFonts w:hint="eastAsia" w:ascii="仿宋_GB2312" w:hAnsi="宋体"/>
                <w:sz w:val="22"/>
                <w:szCs w:val="22"/>
              </w:rPr>
              <w:t>学校应根据办学层次和定位等确定名实相符的学校名称，民办非学历高等教育机构应做好名称规范工作。</w:t>
            </w:r>
          </w:p>
        </w:tc>
        <w:tc>
          <w:tcPr>
            <w:tcW w:w="3685" w:type="dxa"/>
            <w:noWrap w:val="0"/>
            <w:vAlign w:val="top"/>
          </w:tcPr>
          <w:p>
            <w:pPr>
              <w:spacing w:line="280" w:lineRule="exact"/>
              <w:rPr>
                <w:rFonts w:ascii="仿宋_GB2312" w:hAnsi="宋体"/>
                <w:sz w:val="22"/>
                <w:szCs w:val="22"/>
              </w:rPr>
            </w:pPr>
            <w:r>
              <w:rPr>
                <w:rFonts w:hint="eastAsia" w:ascii="仿宋_GB2312" w:hAnsi="宋体"/>
                <w:sz w:val="22"/>
                <w:szCs w:val="22"/>
              </w:rPr>
              <w:t>1.《民促法实施条例》第十五条</w:t>
            </w:r>
          </w:p>
          <w:p>
            <w:pPr>
              <w:spacing w:line="280" w:lineRule="exact"/>
              <w:rPr>
                <w:rFonts w:ascii="仿宋_GB2312" w:hAnsi="宋体"/>
                <w:sz w:val="22"/>
                <w:szCs w:val="22"/>
              </w:rPr>
            </w:pPr>
            <w:r>
              <w:rPr>
                <w:rFonts w:hint="eastAsia" w:ascii="仿宋_GB2312" w:hAnsi="宋体"/>
                <w:sz w:val="22"/>
                <w:szCs w:val="22"/>
              </w:rPr>
              <w:t>2.《高等教育法》第二十六条</w:t>
            </w:r>
          </w:p>
          <w:p>
            <w:pPr>
              <w:spacing w:line="280" w:lineRule="exact"/>
              <w:rPr>
                <w:rFonts w:ascii="仿宋_GB2312" w:hAnsi="宋体"/>
                <w:sz w:val="22"/>
                <w:szCs w:val="22"/>
              </w:rPr>
            </w:pPr>
            <w:r>
              <w:rPr>
                <w:rFonts w:hint="eastAsia" w:ascii="仿宋_GB2312" w:hAnsi="宋体"/>
                <w:sz w:val="22"/>
                <w:szCs w:val="22"/>
              </w:rPr>
              <w:t>3.《民办非企业单位登记管理暂行条例》第八条第五款</w:t>
            </w:r>
          </w:p>
          <w:p>
            <w:pPr>
              <w:spacing w:line="280" w:lineRule="exact"/>
              <w:rPr>
                <w:rFonts w:ascii="仿宋_GB2312" w:hAnsi="宋体"/>
                <w:sz w:val="22"/>
                <w:szCs w:val="22"/>
              </w:rPr>
            </w:pPr>
            <w:r>
              <w:rPr>
                <w:rFonts w:hint="eastAsia" w:ascii="仿宋_GB2312" w:hAnsi="宋体"/>
                <w:sz w:val="22"/>
                <w:szCs w:val="22"/>
              </w:rPr>
              <w:t>4.《民办非企业单位名称管理暂行规定》</w:t>
            </w:r>
          </w:p>
          <w:p>
            <w:pPr>
              <w:spacing w:line="280" w:lineRule="exact"/>
              <w:rPr>
                <w:rFonts w:ascii="仿宋_GB2312" w:hAnsi="宋体"/>
                <w:sz w:val="22"/>
                <w:szCs w:val="22"/>
              </w:rPr>
            </w:pPr>
            <w:r>
              <w:rPr>
                <w:rFonts w:hint="eastAsia" w:ascii="仿宋_GB2312" w:hAnsi="宋体"/>
                <w:sz w:val="22"/>
                <w:szCs w:val="22"/>
              </w:rPr>
              <w:t>5.《营利性民办学校名称登记管理有关工作的通知》</w:t>
            </w:r>
          </w:p>
          <w:p>
            <w:pPr>
              <w:spacing w:line="280" w:lineRule="exact"/>
              <w:rPr>
                <w:rFonts w:ascii="仿宋_GB2312" w:hAnsi="宋体"/>
                <w:sz w:val="22"/>
                <w:szCs w:val="22"/>
              </w:rPr>
            </w:pPr>
            <w:r>
              <w:rPr>
                <w:rFonts w:hint="eastAsia" w:ascii="仿宋_GB2312" w:hAnsi="宋体"/>
                <w:sz w:val="22"/>
                <w:szCs w:val="22"/>
              </w:rPr>
              <w:t>6.《北京市教育委员会关于规范民办非学历高等教育机构校名的通知》</w:t>
            </w:r>
          </w:p>
        </w:tc>
        <w:tc>
          <w:tcPr>
            <w:tcW w:w="2410" w:type="dxa"/>
            <w:noWrap w:val="0"/>
            <w:vAlign w:val="top"/>
          </w:tcPr>
          <w:p>
            <w:pPr>
              <w:spacing w:line="280" w:lineRule="exact"/>
              <w:rPr>
                <w:rFonts w:ascii="仿宋_GB2312" w:hAnsi="宋体"/>
                <w:sz w:val="22"/>
                <w:szCs w:val="22"/>
              </w:rPr>
            </w:pPr>
            <w:r>
              <w:rPr>
                <w:rFonts w:hint="eastAsia" w:ascii="仿宋_GB2312" w:hAnsi="宋体"/>
                <w:sz w:val="22"/>
                <w:szCs w:val="22"/>
              </w:rPr>
              <w:t>存在名称不规范问题的学校在自查报告中应明确修改校名的时间。</w:t>
            </w:r>
          </w:p>
        </w:tc>
        <w:tc>
          <w:tcPr>
            <w:tcW w:w="2126" w:type="dxa"/>
            <w:noWrap w:val="0"/>
            <w:vAlign w:val="top"/>
          </w:tcPr>
          <w:p>
            <w:pPr>
              <w:spacing w:line="280" w:lineRule="exact"/>
              <w:rPr>
                <w:rFonts w:ascii="仿宋_GB2312" w:hAnsi="宋体"/>
                <w:sz w:val="22"/>
                <w:szCs w:val="22"/>
              </w:rPr>
            </w:pPr>
            <w:r>
              <w:rPr>
                <w:rFonts w:hint="eastAsia" w:ascii="仿宋_GB2312" w:hAnsi="宋体"/>
                <w:sz w:val="22"/>
                <w:szCs w:val="22"/>
              </w:rPr>
              <w:t>★存在名称不规范问题的，年检结论为“暂缓通过”。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2" w:type="dxa"/>
            <w:vMerge w:val="continue"/>
            <w:noWrap w:val="0"/>
            <w:vAlign w:val="top"/>
          </w:tcPr>
          <w:p>
            <w:pPr>
              <w:spacing w:line="280" w:lineRule="exact"/>
              <w:rPr>
                <w:rFonts w:ascii="仿宋_GB2312" w:hAnsi="宋体"/>
                <w:b/>
                <w:szCs w:val="21"/>
              </w:rPr>
            </w:pPr>
          </w:p>
        </w:tc>
        <w:tc>
          <w:tcPr>
            <w:tcW w:w="1737" w:type="dxa"/>
            <w:noWrap w:val="0"/>
            <w:vAlign w:val="center"/>
          </w:tcPr>
          <w:p>
            <w:pPr>
              <w:spacing w:line="280" w:lineRule="exact"/>
              <w:rPr>
                <w:rFonts w:ascii="仿宋_GB2312" w:hAnsi="宋体"/>
                <w:b/>
                <w:sz w:val="24"/>
              </w:rPr>
            </w:pPr>
            <w:r>
              <w:rPr>
                <w:rFonts w:hint="eastAsia" w:ascii="仿宋_GB2312" w:hAnsi="宋体"/>
                <w:b/>
                <w:sz w:val="24"/>
              </w:rPr>
              <w:t>6.办学地址</w:t>
            </w:r>
          </w:p>
        </w:tc>
        <w:tc>
          <w:tcPr>
            <w:tcW w:w="4111" w:type="dxa"/>
            <w:noWrap w:val="0"/>
            <w:vAlign w:val="top"/>
          </w:tcPr>
          <w:p>
            <w:pPr>
              <w:spacing w:line="280" w:lineRule="exact"/>
              <w:rPr>
                <w:rFonts w:ascii="仿宋_GB2312" w:hAnsi="宋体"/>
                <w:sz w:val="22"/>
                <w:szCs w:val="22"/>
              </w:rPr>
            </w:pPr>
            <w:r>
              <w:rPr>
                <w:rFonts w:hint="eastAsia" w:ascii="仿宋_GB2312" w:hAnsi="宋体"/>
                <w:sz w:val="22"/>
                <w:szCs w:val="22"/>
              </w:rPr>
              <w:t>学校原则上应一校一址，变更办学地址或增设教学地点，应当及时办理审批、备案手续。办学地址应合法有效、稳定，具备符合办学要求的办学条件。</w:t>
            </w:r>
          </w:p>
        </w:tc>
        <w:tc>
          <w:tcPr>
            <w:tcW w:w="3685" w:type="dxa"/>
            <w:noWrap w:val="0"/>
            <w:vAlign w:val="top"/>
          </w:tcPr>
          <w:p>
            <w:pPr>
              <w:spacing w:line="280" w:lineRule="exact"/>
              <w:rPr>
                <w:rFonts w:ascii="仿宋_GB2312" w:hAnsi="宋体"/>
                <w:sz w:val="22"/>
                <w:szCs w:val="22"/>
              </w:rPr>
            </w:pPr>
            <w:r>
              <w:rPr>
                <w:rFonts w:hint="eastAsia" w:ascii="仿宋_GB2312" w:hAnsi="宋体"/>
                <w:sz w:val="22"/>
                <w:szCs w:val="22"/>
              </w:rPr>
              <w:t>1.《民办高等学校办学管理若干规定》第八条第一、三款</w:t>
            </w:r>
          </w:p>
          <w:p>
            <w:pPr>
              <w:spacing w:line="280" w:lineRule="exact"/>
              <w:rPr>
                <w:rFonts w:ascii="仿宋_GB2312" w:hAnsi="宋体"/>
                <w:sz w:val="22"/>
                <w:szCs w:val="22"/>
              </w:rPr>
            </w:pPr>
            <w:r>
              <w:rPr>
                <w:rFonts w:hint="eastAsia" w:ascii="仿宋_GB2312" w:hAnsi="宋体"/>
                <w:sz w:val="22"/>
                <w:szCs w:val="22"/>
              </w:rPr>
              <w:t>2.《北京市实施&lt;民办教育促进法&gt;办法》第二十八条</w:t>
            </w:r>
          </w:p>
        </w:tc>
        <w:tc>
          <w:tcPr>
            <w:tcW w:w="2410" w:type="dxa"/>
            <w:noWrap w:val="0"/>
            <w:vAlign w:val="top"/>
          </w:tcPr>
          <w:p>
            <w:pPr>
              <w:spacing w:line="280" w:lineRule="exact"/>
              <w:rPr>
                <w:rFonts w:ascii="仿宋_GB2312" w:hAnsi="宋体"/>
                <w:sz w:val="22"/>
                <w:szCs w:val="22"/>
              </w:rPr>
            </w:pPr>
            <w:r>
              <w:rPr>
                <w:rFonts w:hint="eastAsia" w:ascii="仿宋_GB2312" w:hAnsi="宋体"/>
                <w:sz w:val="22"/>
                <w:szCs w:val="22"/>
              </w:rPr>
              <w:t>1.自查报告中应说明学校的办学地址是否与许可证地址一致、是自有校舍还是租赁、租赁校舍的产权归属及租期等情况、简要介绍办学地址的基本办学条件。</w:t>
            </w:r>
          </w:p>
          <w:p>
            <w:pPr>
              <w:spacing w:line="280" w:lineRule="exact"/>
              <w:rPr>
                <w:rFonts w:ascii="仿宋_GB2312" w:hAnsi="宋体"/>
                <w:sz w:val="22"/>
                <w:szCs w:val="22"/>
              </w:rPr>
            </w:pPr>
            <w:r>
              <w:rPr>
                <w:rFonts w:hint="eastAsia" w:ascii="仿宋_GB2312" w:hAnsi="宋体"/>
                <w:sz w:val="22"/>
                <w:szCs w:val="22"/>
              </w:rPr>
              <w:t>2.学校是否有多个教学点，是否经批准，设置多个教学点的原因及教学点的基本情况。</w:t>
            </w:r>
          </w:p>
          <w:p>
            <w:pPr>
              <w:spacing w:line="280" w:lineRule="exact"/>
              <w:rPr>
                <w:rFonts w:ascii="仿宋_GB2312" w:hAnsi="宋体"/>
                <w:sz w:val="22"/>
                <w:szCs w:val="22"/>
              </w:rPr>
            </w:pPr>
            <w:r>
              <w:rPr>
                <w:rFonts w:hint="eastAsia" w:ascii="仿宋_GB2312" w:hAnsi="宋体"/>
                <w:sz w:val="22"/>
                <w:szCs w:val="22"/>
              </w:rPr>
              <w:t>3.提供办学地址及教学点的具有法律效力的租赁合同复印件。</w:t>
            </w:r>
            <w:r>
              <w:rPr>
                <w:rFonts w:hint="eastAsia" w:ascii="仿宋_GB2312" w:hAnsi="宋体"/>
                <w:b/>
                <w:sz w:val="22"/>
                <w:szCs w:val="22"/>
              </w:rPr>
              <w:t>（自查报告附件3</w:t>
            </w:r>
            <w:r>
              <w:rPr>
                <w:rFonts w:ascii="仿宋_GB2312" w:hAnsi="宋体"/>
                <w:b/>
                <w:sz w:val="22"/>
                <w:szCs w:val="22"/>
              </w:rPr>
              <w:t>）</w:t>
            </w:r>
          </w:p>
        </w:tc>
        <w:tc>
          <w:tcPr>
            <w:tcW w:w="2126" w:type="dxa"/>
            <w:noWrap w:val="0"/>
            <w:vAlign w:val="top"/>
          </w:tcPr>
          <w:p>
            <w:pPr>
              <w:spacing w:line="280" w:lineRule="exact"/>
              <w:rPr>
                <w:rFonts w:ascii="仿宋_GB2312" w:hAnsi="宋体"/>
                <w:sz w:val="22"/>
                <w:szCs w:val="22"/>
              </w:rPr>
            </w:pPr>
            <w:r>
              <w:rPr>
                <w:rFonts w:hint="eastAsia" w:ascii="仿宋_GB2312" w:hAnsi="宋体"/>
                <w:sz w:val="22"/>
                <w:szCs w:val="22"/>
              </w:rPr>
              <w:t>★存在实际办学地址与许可证地址不一致情况且未报告并不能按时整改的，或未经批准自行增设教学点的，年检结论不可为“通过”，情况严重的，年检结论为“暂缓通过”或“不通过”。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2" w:type="dxa"/>
            <w:vMerge w:val="restart"/>
            <w:noWrap w:val="0"/>
            <w:vAlign w:val="center"/>
          </w:tcPr>
          <w:p>
            <w:pPr>
              <w:spacing w:line="280" w:lineRule="exact"/>
              <w:jc w:val="center"/>
              <w:rPr>
                <w:rFonts w:ascii="仿宋_GB2312" w:hAnsi="宋体"/>
                <w:b/>
                <w:sz w:val="24"/>
              </w:rPr>
            </w:pPr>
            <w:r>
              <w:rPr>
                <w:rFonts w:hint="eastAsia" w:ascii="仿宋_GB2312" w:hAnsi="宋体"/>
                <w:b/>
                <w:sz w:val="24"/>
              </w:rPr>
              <w:t>二、师生权益保障</w:t>
            </w:r>
          </w:p>
        </w:tc>
        <w:tc>
          <w:tcPr>
            <w:tcW w:w="1737" w:type="dxa"/>
            <w:noWrap w:val="0"/>
            <w:vAlign w:val="center"/>
          </w:tcPr>
          <w:p>
            <w:pPr>
              <w:spacing w:line="280" w:lineRule="exact"/>
              <w:rPr>
                <w:rFonts w:ascii="仿宋_GB2312" w:hAnsi="宋体"/>
                <w:b/>
                <w:sz w:val="24"/>
              </w:rPr>
            </w:pPr>
            <w:r>
              <w:rPr>
                <w:rFonts w:hint="eastAsia" w:ascii="仿宋_GB2312" w:hAnsi="宋体"/>
                <w:b/>
                <w:sz w:val="24"/>
              </w:rPr>
              <w:t>7.学生权益</w:t>
            </w:r>
          </w:p>
        </w:tc>
        <w:tc>
          <w:tcPr>
            <w:tcW w:w="4111" w:type="dxa"/>
            <w:noWrap w:val="0"/>
            <w:vAlign w:val="top"/>
          </w:tcPr>
          <w:p>
            <w:pPr>
              <w:spacing w:line="280" w:lineRule="exact"/>
              <w:rPr>
                <w:rFonts w:ascii="仿宋_GB2312" w:hAnsi="宋体"/>
                <w:sz w:val="22"/>
                <w:szCs w:val="22"/>
              </w:rPr>
            </w:pPr>
            <w:r>
              <w:rPr>
                <w:rFonts w:hint="eastAsia" w:ascii="仿宋_GB2312" w:hAnsi="宋体"/>
                <w:sz w:val="22"/>
                <w:szCs w:val="22"/>
              </w:rPr>
              <w:t>学校应当依法建立学籍管理制度，对学生实施奖惩，并建立学生申诉处理的机构和制度；应当建立资助困难学生的减补学费制度，及时足额发放国家设立的各项奖助学金及相关补贴；应当依法公示收费项目、收费标准和退费办法，并认真执行相关制度。民办学校应从学费收入中提取不少于5%的资金，用于奖励和资助学生。</w:t>
            </w:r>
          </w:p>
        </w:tc>
        <w:tc>
          <w:tcPr>
            <w:tcW w:w="3685" w:type="dxa"/>
            <w:noWrap w:val="0"/>
            <w:vAlign w:val="top"/>
          </w:tcPr>
          <w:p>
            <w:pPr>
              <w:spacing w:line="280" w:lineRule="exact"/>
              <w:rPr>
                <w:rFonts w:ascii="仿宋_GB2312" w:hAnsi="宋体"/>
                <w:sz w:val="22"/>
                <w:szCs w:val="22"/>
              </w:rPr>
            </w:pPr>
            <w:r>
              <w:rPr>
                <w:rFonts w:hint="eastAsia" w:ascii="仿宋_GB2312" w:hAnsi="宋体"/>
                <w:sz w:val="22"/>
                <w:szCs w:val="22"/>
              </w:rPr>
              <w:t>1.《民办教育促进法》第三十二条、三十七条</w:t>
            </w:r>
          </w:p>
          <w:p>
            <w:pPr>
              <w:spacing w:line="280" w:lineRule="exact"/>
              <w:rPr>
                <w:rFonts w:ascii="仿宋_GB2312" w:hAnsi="宋体"/>
                <w:sz w:val="22"/>
                <w:szCs w:val="22"/>
              </w:rPr>
            </w:pPr>
            <w:r>
              <w:rPr>
                <w:rFonts w:hint="eastAsia" w:ascii="仿宋_GB2312" w:hAnsi="宋体"/>
                <w:sz w:val="22"/>
                <w:szCs w:val="22"/>
              </w:rPr>
              <w:t>2.《高等教育法》第五十四条、五十五条</w:t>
            </w:r>
          </w:p>
          <w:p>
            <w:pPr>
              <w:spacing w:line="280" w:lineRule="exact"/>
              <w:rPr>
                <w:rFonts w:ascii="仿宋_GB2312" w:hAnsi="宋体"/>
                <w:sz w:val="22"/>
                <w:szCs w:val="22"/>
              </w:rPr>
            </w:pPr>
            <w:r>
              <w:rPr>
                <w:rFonts w:hint="eastAsia" w:ascii="仿宋_GB2312" w:hAnsi="宋体"/>
                <w:sz w:val="22"/>
                <w:szCs w:val="22"/>
              </w:rPr>
              <w:t>3.《北京市实施&lt;民办教育促进法&gt;办法》第二十五条第一款、第二十九条</w:t>
            </w:r>
          </w:p>
          <w:p>
            <w:pPr>
              <w:spacing w:line="280" w:lineRule="exact"/>
              <w:rPr>
                <w:rFonts w:ascii="仿宋_GB2312" w:hAnsi="宋体"/>
                <w:sz w:val="22"/>
                <w:szCs w:val="22"/>
              </w:rPr>
            </w:pPr>
            <w:r>
              <w:rPr>
                <w:rFonts w:hint="eastAsia" w:ascii="仿宋_GB2312" w:hAnsi="宋体"/>
                <w:sz w:val="22"/>
                <w:szCs w:val="22"/>
              </w:rPr>
              <w:t>4.《国务院关于鼓励社会力量兴办教育 促进民办教育健康发展的若干意见》</w:t>
            </w:r>
          </w:p>
          <w:p>
            <w:pPr>
              <w:spacing w:line="280" w:lineRule="exact"/>
              <w:rPr>
                <w:rFonts w:ascii="仿宋_GB2312" w:hAnsi="宋体"/>
                <w:sz w:val="22"/>
                <w:szCs w:val="22"/>
              </w:rPr>
            </w:pPr>
            <w:r>
              <w:rPr>
                <w:rFonts w:hint="eastAsia" w:ascii="仿宋_GB2312" w:hAnsi="宋体"/>
                <w:sz w:val="22"/>
                <w:szCs w:val="22"/>
              </w:rPr>
              <w:t>5.《北京市民办学校退费指导意见》</w:t>
            </w:r>
          </w:p>
          <w:p>
            <w:pPr>
              <w:spacing w:line="280" w:lineRule="exact"/>
              <w:rPr>
                <w:rFonts w:ascii="仿宋_GB2312" w:hAnsi="宋体"/>
                <w:sz w:val="22"/>
                <w:szCs w:val="22"/>
              </w:rPr>
            </w:pPr>
            <w:r>
              <w:rPr>
                <w:rFonts w:hint="eastAsia" w:ascii="仿宋_GB2312" w:hAnsi="宋体"/>
                <w:sz w:val="22"/>
                <w:szCs w:val="22"/>
              </w:rPr>
              <w:t>6.《民办教育收费管理暂行办法》</w:t>
            </w:r>
          </w:p>
        </w:tc>
        <w:tc>
          <w:tcPr>
            <w:tcW w:w="2410" w:type="dxa"/>
            <w:noWrap w:val="0"/>
            <w:vAlign w:val="top"/>
          </w:tcPr>
          <w:p>
            <w:pPr>
              <w:spacing w:line="280" w:lineRule="exact"/>
              <w:rPr>
                <w:rFonts w:ascii="仿宋_GB2312" w:hAnsi="宋体"/>
                <w:sz w:val="22"/>
                <w:szCs w:val="22"/>
              </w:rPr>
            </w:pPr>
            <w:r>
              <w:rPr>
                <w:rFonts w:hint="eastAsia" w:ascii="仿宋_GB2312" w:hAnsi="宋体"/>
                <w:sz w:val="22"/>
                <w:szCs w:val="22"/>
              </w:rPr>
              <w:t>自查报告中应说明建立的学籍管理制度、奖惩制度及学校负责申诉处理的机构、人员及工作程序等；具体说明奖助学金的类型、发放人数、发放金额、发放时间等；具体说明负责处理退费的机构、负责人员、退费流程等；具体说明是否从学费中提取5%的学费用于奖励和资助学生。</w:t>
            </w:r>
          </w:p>
        </w:tc>
        <w:tc>
          <w:tcPr>
            <w:tcW w:w="2126" w:type="dxa"/>
            <w:noWrap w:val="0"/>
            <w:vAlign w:val="top"/>
          </w:tcPr>
          <w:p>
            <w:pPr>
              <w:spacing w:line="280" w:lineRule="exact"/>
              <w:rPr>
                <w:rFonts w:ascii="仿宋_GB2312" w:hAnsi="宋体"/>
                <w:sz w:val="22"/>
                <w:szCs w:val="22"/>
              </w:rPr>
            </w:pPr>
            <w:r>
              <w:rPr>
                <w:rFonts w:hint="eastAsia" w:ascii="仿宋_GB2312" w:hAnsi="宋体"/>
                <w:sz w:val="22"/>
                <w:szCs w:val="22"/>
              </w:rPr>
              <w:t>★1.如年度内多次发生学生申请而不依规及时退费等情况的，年检结论不可为“通过”，情况严重的，年检结论为“暂缓通过”或“不通过”。</w:t>
            </w:r>
          </w:p>
          <w:p>
            <w:pPr>
              <w:spacing w:line="280" w:lineRule="exact"/>
              <w:rPr>
                <w:rFonts w:ascii="仿宋_GB2312" w:hAnsi="宋体"/>
                <w:sz w:val="22"/>
                <w:szCs w:val="22"/>
              </w:rPr>
            </w:pPr>
            <w:r>
              <w:rPr>
                <w:rFonts w:hint="eastAsia" w:ascii="仿宋_GB2312" w:hAnsi="宋体"/>
                <w:sz w:val="22"/>
                <w:szCs w:val="22"/>
              </w:rPr>
              <w:t>2.年度内发生侵害学生其他合法权益行为的，年检结论不可为“通过”，情况严重的，年检结论为“暂缓通过”或“不通过”。</w:t>
            </w:r>
          </w:p>
          <w:p>
            <w:pPr>
              <w:spacing w:line="280" w:lineRule="exact"/>
              <w:rPr>
                <w:rFonts w:ascii="仿宋_GB2312" w:hAns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2" w:type="dxa"/>
            <w:vMerge w:val="continue"/>
            <w:noWrap w:val="0"/>
            <w:vAlign w:val="top"/>
          </w:tcPr>
          <w:p>
            <w:pPr>
              <w:spacing w:line="280" w:lineRule="exact"/>
              <w:rPr>
                <w:rFonts w:ascii="仿宋_GB2312" w:hAnsi="宋体"/>
                <w:b/>
                <w:sz w:val="24"/>
              </w:rPr>
            </w:pPr>
          </w:p>
        </w:tc>
        <w:tc>
          <w:tcPr>
            <w:tcW w:w="1737" w:type="dxa"/>
            <w:noWrap w:val="0"/>
            <w:vAlign w:val="center"/>
          </w:tcPr>
          <w:p>
            <w:pPr>
              <w:spacing w:line="280" w:lineRule="exact"/>
              <w:rPr>
                <w:rFonts w:ascii="仿宋_GB2312" w:hAnsi="宋体"/>
                <w:b/>
                <w:sz w:val="24"/>
              </w:rPr>
            </w:pPr>
            <w:r>
              <w:rPr>
                <w:rFonts w:hint="eastAsia" w:ascii="仿宋_GB2312" w:hAnsi="宋体"/>
                <w:b/>
                <w:sz w:val="24"/>
              </w:rPr>
              <w:t>8.教师权益</w:t>
            </w:r>
          </w:p>
        </w:tc>
        <w:tc>
          <w:tcPr>
            <w:tcW w:w="4111" w:type="dxa"/>
            <w:noWrap w:val="0"/>
            <w:vAlign w:val="top"/>
          </w:tcPr>
          <w:p>
            <w:pPr>
              <w:spacing w:line="280" w:lineRule="exact"/>
              <w:rPr>
                <w:rFonts w:ascii="仿宋_GB2312" w:hAnsi="宋体"/>
                <w:sz w:val="22"/>
                <w:szCs w:val="22"/>
              </w:rPr>
            </w:pPr>
            <w:r>
              <w:rPr>
                <w:rFonts w:hint="eastAsia" w:ascii="仿宋_GB2312" w:hAnsi="宋体"/>
                <w:sz w:val="22"/>
                <w:szCs w:val="22"/>
              </w:rPr>
              <w:t>学校应依法保障教职工合法权益、参与民主管理和监督的权利，调动教师教育教学的积极性，并建立工会组织；应依法为教职工缴纳社会保险和住房公积金；应依法聘任具有任职资格和条件的教师和职员，与聘任的教职工依法签订劳动合同或聘用协议。</w:t>
            </w:r>
          </w:p>
        </w:tc>
        <w:tc>
          <w:tcPr>
            <w:tcW w:w="3685" w:type="dxa"/>
            <w:noWrap w:val="0"/>
            <w:vAlign w:val="top"/>
          </w:tcPr>
          <w:p>
            <w:pPr>
              <w:spacing w:line="280" w:lineRule="exact"/>
              <w:rPr>
                <w:rFonts w:ascii="仿宋_GB2312" w:hAnsi="宋体"/>
                <w:sz w:val="22"/>
                <w:szCs w:val="22"/>
              </w:rPr>
            </w:pPr>
            <w:r>
              <w:rPr>
                <w:rFonts w:hint="eastAsia" w:ascii="仿宋_GB2312" w:hAnsi="宋体"/>
                <w:sz w:val="22"/>
                <w:szCs w:val="22"/>
              </w:rPr>
              <w:t>1.《民办教育促进法》第二十六条、第三十条</w:t>
            </w:r>
          </w:p>
          <w:p>
            <w:pPr>
              <w:spacing w:line="280" w:lineRule="exact"/>
              <w:rPr>
                <w:rFonts w:ascii="仿宋_GB2312" w:hAnsi="宋体"/>
                <w:sz w:val="22"/>
                <w:szCs w:val="22"/>
              </w:rPr>
            </w:pPr>
            <w:r>
              <w:rPr>
                <w:rFonts w:hint="eastAsia" w:ascii="仿宋_GB2312" w:hAnsi="宋体"/>
                <w:sz w:val="22"/>
                <w:szCs w:val="22"/>
              </w:rPr>
              <w:t>2.《民促法实施条例》第二十三条、第二十四条</w:t>
            </w:r>
          </w:p>
          <w:p>
            <w:pPr>
              <w:spacing w:line="280" w:lineRule="exact"/>
              <w:rPr>
                <w:rFonts w:ascii="仿宋_GB2312" w:hAnsi="宋体"/>
                <w:sz w:val="22"/>
                <w:szCs w:val="22"/>
              </w:rPr>
            </w:pPr>
            <w:r>
              <w:rPr>
                <w:rFonts w:hint="eastAsia" w:ascii="仿宋_GB2312" w:hAnsi="宋体"/>
                <w:sz w:val="22"/>
                <w:szCs w:val="22"/>
              </w:rPr>
              <w:t>3.《北京市实施&lt;民办教育促进法&gt;办法》第二十三条</w:t>
            </w:r>
          </w:p>
        </w:tc>
        <w:tc>
          <w:tcPr>
            <w:tcW w:w="2410" w:type="dxa"/>
            <w:noWrap w:val="0"/>
            <w:vAlign w:val="top"/>
          </w:tcPr>
          <w:p>
            <w:pPr>
              <w:spacing w:line="280" w:lineRule="exact"/>
              <w:rPr>
                <w:rFonts w:ascii="仿宋_GB2312" w:hAnsi="宋体"/>
                <w:sz w:val="22"/>
                <w:szCs w:val="22"/>
              </w:rPr>
            </w:pPr>
            <w:r>
              <w:rPr>
                <w:rFonts w:hint="eastAsia" w:ascii="仿宋_GB2312" w:hAnsi="宋体"/>
                <w:sz w:val="22"/>
                <w:szCs w:val="22"/>
              </w:rPr>
              <w:t>自查报告中应说明保障教职工合法权益、参与民主管理和监督的具体做法；年度内是否发生过拖欠教职工工资情况；为教职工缴纳社会保险和住房公积金的情况介绍。</w:t>
            </w:r>
          </w:p>
        </w:tc>
        <w:tc>
          <w:tcPr>
            <w:tcW w:w="2126" w:type="dxa"/>
            <w:noWrap w:val="0"/>
            <w:vAlign w:val="top"/>
          </w:tcPr>
          <w:p>
            <w:pPr>
              <w:spacing w:line="280" w:lineRule="exact"/>
              <w:rPr>
                <w:rFonts w:ascii="仿宋_GB2312" w:hAnsi="宋体"/>
                <w:sz w:val="22"/>
                <w:szCs w:val="22"/>
              </w:rPr>
            </w:pPr>
            <w:r>
              <w:rPr>
                <w:rFonts w:hint="eastAsia" w:ascii="仿宋_GB2312" w:hAnsi="宋体"/>
                <w:sz w:val="22"/>
                <w:szCs w:val="22"/>
              </w:rPr>
              <w:t>★1.拖欠教职工工资的，年检结论为“暂缓通过”或“不通过”。</w:t>
            </w:r>
          </w:p>
          <w:p>
            <w:pPr>
              <w:spacing w:line="280" w:lineRule="exact"/>
              <w:rPr>
                <w:rFonts w:ascii="仿宋_GB2312" w:hAnsi="宋体"/>
                <w:sz w:val="22"/>
                <w:szCs w:val="22"/>
              </w:rPr>
            </w:pPr>
            <w:r>
              <w:rPr>
                <w:rFonts w:ascii="仿宋_GB2312" w:hAnsi="宋体"/>
                <w:sz w:val="22"/>
                <w:szCs w:val="22"/>
              </w:rPr>
              <w:t>2.</w:t>
            </w:r>
            <w:r>
              <w:rPr>
                <w:rFonts w:hint="eastAsia" w:ascii="仿宋_GB2312" w:hAnsi="宋体"/>
                <w:sz w:val="22"/>
                <w:szCs w:val="22"/>
              </w:rPr>
              <w:t>年度内发生侵害教职工其他合法权益行为的，年检结论不可为“通过”，情况严重的，年检结论为“暂缓通过”或“不通过”。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2" w:type="dxa"/>
            <w:vMerge w:val="restart"/>
            <w:noWrap w:val="0"/>
            <w:vAlign w:val="center"/>
          </w:tcPr>
          <w:p>
            <w:pPr>
              <w:spacing w:line="280" w:lineRule="exact"/>
              <w:jc w:val="center"/>
              <w:rPr>
                <w:rFonts w:ascii="仿宋_GB2312" w:hAnsi="宋体"/>
                <w:b/>
                <w:sz w:val="24"/>
              </w:rPr>
            </w:pPr>
            <w:r>
              <w:rPr>
                <w:rFonts w:hint="eastAsia" w:ascii="仿宋_GB2312" w:hAnsi="宋体"/>
                <w:b/>
                <w:sz w:val="24"/>
              </w:rPr>
              <w:t>三、内部管理机构</w:t>
            </w:r>
          </w:p>
        </w:tc>
        <w:tc>
          <w:tcPr>
            <w:tcW w:w="1737" w:type="dxa"/>
            <w:noWrap w:val="0"/>
            <w:vAlign w:val="center"/>
          </w:tcPr>
          <w:p>
            <w:pPr>
              <w:spacing w:line="280" w:lineRule="exact"/>
              <w:rPr>
                <w:rFonts w:ascii="仿宋_GB2312" w:hAnsi="宋体"/>
                <w:b/>
                <w:sz w:val="24"/>
              </w:rPr>
            </w:pPr>
            <w:r>
              <w:rPr>
                <w:rFonts w:hint="eastAsia" w:ascii="仿宋_GB2312" w:hAnsi="宋体"/>
                <w:b/>
                <w:sz w:val="24"/>
              </w:rPr>
              <w:t>9.决策机构</w:t>
            </w:r>
          </w:p>
        </w:tc>
        <w:tc>
          <w:tcPr>
            <w:tcW w:w="4111" w:type="dxa"/>
            <w:noWrap w:val="0"/>
            <w:vAlign w:val="top"/>
          </w:tcPr>
          <w:p>
            <w:pPr>
              <w:spacing w:line="280" w:lineRule="exact"/>
              <w:rPr>
                <w:rFonts w:ascii="仿宋_GB2312" w:hAnsi="宋体"/>
                <w:sz w:val="22"/>
                <w:szCs w:val="22"/>
              </w:rPr>
            </w:pPr>
            <w:r>
              <w:rPr>
                <w:rFonts w:hint="eastAsia" w:ascii="仿宋_GB2312" w:hAnsi="宋体" w:cs="仿宋_GB2312"/>
                <w:sz w:val="22"/>
                <w:szCs w:val="22"/>
              </w:rPr>
              <w:t>学校应依法设立董（理）事会或者其他形式的决策机构，决策机构的组成人员名单应报审批机关备案，决策机构应依法履行职责；</w:t>
            </w:r>
            <w:r>
              <w:rPr>
                <w:rFonts w:hint="eastAsia" w:ascii="Calibri" w:hAnsi="Calibri" w:cs="仿宋_GB2312"/>
                <w:bCs/>
                <w:color w:val="000000"/>
                <w:sz w:val="24"/>
              </w:rPr>
              <w:t>把</w:t>
            </w:r>
            <w:r>
              <w:rPr>
                <w:rFonts w:hint="eastAsia" w:ascii="仿宋_GB2312" w:hAnsi="宋体" w:cs="仿宋_GB2312"/>
                <w:bCs/>
                <w:color w:val="000000"/>
                <w:sz w:val="24"/>
              </w:rPr>
              <w:t>民办高校党组织</w:t>
            </w:r>
            <w:r>
              <w:rPr>
                <w:rFonts w:hint="eastAsia" w:ascii="Calibri" w:hAnsi="Calibri" w:cs="仿宋_GB2312"/>
                <w:bCs/>
                <w:color w:val="000000"/>
                <w:sz w:val="24"/>
              </w:rPr>
              <w:t>建设有关内容纳入学校章程，制定党组织参与决策工作机制；民办高校党组织书记</w:t>
            </w:r>
            <w:r>
              <w:rPr>
                <w:rFonts w:hint="eastAsia" w:ascii="仿宋_GB2312" w:hAnsi="宋体" w:cs="仿宋_GB2312"/>
                <w:bCs/>
                <w:color w:val="000000"/>
                <w:sz w:val="24"/>
              </w:rPr>
              <w:t>进入学校董（理）事会或其他形式决策机构，符合条件的专职副书记进入董（理）事会，党组织书记一般应兼任副校长（副院长）或分管部分行政业务工作。</w:t>
            </w:r>
          </w:p>
        </w:tc>
        <w:tc>
          <w:tcPr>
            <w:tcW w:w="3685" w:type="dxa"/>
            <w:noWrap w:val="0"/>
            <w:vAlign w:val="top"/>
          </w:tcPr>
          <w:p>
            <w:pPr>
              <w:spacing w:line="280" w:lineRule="exact"/>
              <w:rPr>
                <w:rFonts w:ascii="仿宋_GB2312" w:hAnsi="宋体"/>
                <w:sz w:val="22"/>
                <w:szCs w:val="22"/>
              </w:rPr>
            </w:pPr>
            <w:r>
              <w:rPr>
                <w:rFonts w:hint="eastAsia" w:ascii="仿宋_GB2312" w:hAnsi="宋体"/>
                <w:sz w:val="22"/>
                <w:szCs w:val="22"/>
              </w:rPr>
              <w:t>1.《民办教育促进法》第十九条、第二十条、第二十一条</w:t>
            </w:r>
          </w:p>
          <w:p>
            <w:pPr>
              <w:spacing w:line="280" w:lineRule="exact"/>
              <w:rPr>
                <w:rFonts w:ascii="仿宋_GB2312" w:hAnsi="宋体"/>
                <w:sz w:val="22"/>
                <w:szCs w:val="22"/>
              </w:rPr>
            </w:pPr>
            <w:r>
              <w:rPr>
                <w:rFonts w:hint="eastAsia" w:ascii="仿宋_GB2312" w:hAnsi="宋体"/>
                <w:sz w:val="22"/>
                <w:szCs w:val="22"/>
              </w:rPr>
              <w:t>2.《民促法实施条例》第十九条、第二十条、第五十一条第一款</w:t>
            </w:r>
          </w:p>
          <w:p>
            <w:pPr>
              <w:spacing w:line="280" w:lineRule="exact"/>
              <w:rPr>
                <w:rFonts w:ascii="仿宋_GB2312" w:hAnsi="宋体"/>
                <w:sz w:val="22"/>
                <w:szCs w:val="22"/>
              </w:rPr>
            </w:pPr>
            <w:r>
              <w:rPr>
                <w:rFonts w:hint="eastAsia" w:ascii="仿宋_GB2312" w:hAnsi="宋体"/>
                <w:sz w:val="22"/>
                <w:szCs w:val="22"/>
              </w:rPr>
              <w:t>3.《北京市实施&lt;民办教育促进法&gt;办法》第十八条</w:t>
            </w:r>
          </w:p>
          <w:p>
            <w:pPr>
              <w:spacing w:line="280" w:lineRule="exact"/>
              <w:rPr>
                <w:rFonts w:ascii="仿宋_GB2312" w:hAnsi="宋体" w:cs="仿宋_GB2312"/>
                <w:bCs/>
                <w:sz w:val="24"/>
              </w:rPr>
            </w:pPr>
            <w:r>
              <w:rPr>
                <w:rFonts w:hint="eastAsia" w:ascii="仿宋_GB2312" w:hAnsi="宋体" w:cs="仿宋_GB2312"/>
                <w:bCs/>
                <w:sz w:val="24"/>
              </w:rPr>
              <w:t>４.《北京市贯彻落实&lt;关于加强民办学校党的建设工作的意见（试行）&gt;实施方案》（京组通４３号）</w:t>
            </w:r>
          </w:p>
        </w:tc>
        <w:tc>
          <w:tcPr>
            <w:tcW w:w="2410" w:type="dxa"/>
            <w:noWrap w:val="0"/>
            <w:vAlign w:val="top"/>
          </w:tcPr>
          <w:p>
            <w:pPr>
              <w:spacing w:line="280" w:lineRule="exact"/>
              <w:rPr>
                <w:rFonts w:ascii="仿宋_GB2312" w:hAnsi="宋体"/>
                <w:sz w:val="22"/>
                <w:szCs w:val="22"/>
              </w:rPr>
            </w:pPr>
            <w:r>
              <w:rPr>
                <w:rFonts w:hint="eastAsia" w:ascii="仿宋_GB2312" w:hAnsi="宋体"/>
                <w:sz w:val="22"/>
                <w:szCs w:val="22"/>
              </w:rPr>
              <w:t>1.自查报告中应说明决策机构组成人员是否备案及召开的会议情况。</w:t>
            </w:r>
          </w:p>
          <w:p>
            <w:pPr>
              <w:spacing w:line="280" w:lineRule="exact"/>
              <w:rPr>
                <w:rFonts w:ascii="仿宋_GB2312" w:hAnsi="宋体"/>
                <w:sz w:val="22"/>
                <w:szCs w:val="22"/>
              </w:rPr>
            </w:pPr>
            <w:r>
              <w:rPr>
                <w:rFonts w:hint="eastAsia" w:ascii="仿宋_GB2312" w:hAnsi="宋体"/>
                <w:sz w:val="22"/>
                <w:szCs w:val="22"/>
              </w:rPr>
              <w:t>2.年度内决策机构召开会议的会议纪要复印件。</w:t>
            </w:r>
            <w:r>
              <w:rPr>
                <w:rFonts w:hint="eastAsia" w:ascii="仿宋_GB2312" w:hAnsi="宋体"/>
                <w:b/>
                <w:sz w:val="22"/>
                <w:szCs w:val="22"/>
              </w:rPr>
              <w:t>(自查报告附件4)</w:t>
            </w:r>
          </w:p>
        </w:tc>
        <w:tc>
          <w:tcPr>
            <w:tcW w:w="2126" w:type="dxa"/>
            <w:noWrap w:val="0"/>
            <w:vAlign w:val="top"/>
          </w:tcPr>
          <w:p>
            <w:pPr>
              <w:spacing w:line="280" w:lineRule="exact"/>
              <w:rPr>
                <w:rFonts w:ascii="仿宋_GB2312" w:hAns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2" w:type="dxa"/>
            <w:vMerge w:val="continue"/>
            <w:noWrap w:val="0"/>
            <w:vAlign w:val="top"/>
          </w:tcPr>
          <w:p>
            <w:pPr>
              <w:spacing w:line="280" w:lineRule="exact"/>
              <w:rPr>
                <w:rFonts w:ascii="仿宋_GB2312" w:hAnsi="宋体"/>
                <w:b/>
                <w:sz w:val="24"/>
              </w:rPr>
            </w:pPr>
          </w:p>
        </w:tc>
        <w:tc>
          <w:tcPr>
            <w:tcW w:w="1737" w:type="dxa"/>
            <w:noWrap w:val="0"/>
            <w:vAlign w:val="center"/>
          </w:tcPr>
          <w:p>
            <w:pPr>
              <w:spacing w:line="280" w:lineRule="exact"/>
              <w:rPr>
                <w:rFonts w:ascii="仿宋_GB2312" w:hAnsi="宋体"/>
                <w:b/>
                <w:sz w:val="24"/>
              </w:rPr>
            </w:pPr>
            <w:r>
              <w:rPr>
                <w:rFonts w:hint="eastAsia" w:ascii="仿宋_GB2312" w:hAnsi="宋体"/>
                <w:b/>
                <w:sz w:val="24"/>
              </w:rPr>
              <w:t>10.校长履职</w:t>
            </w:r>
          </w:p>
        </w:tc>
        <w:tc>
          <w:tcPr>
            <w:tcW w:w="4111" w:type="dxa"/>
            <w:noWrap w:val="0"/>
            <w:vAlign w:val="top"/>
          </w:tcPr>
          <w:p>
            <w:pPr>
              <w:spacing w:line="280" w:lineRule="exact"/>
              <w:rPr>
                <w:rFonts w:ascii="仿宋_GB2312" w:hAnsi="宋体"/>
                <w:sz w:val="22"/>
                <w:szCs w:val="22"/>
              </w:rPr>
            </w:pPr>
            <w:r>
              <w:rPr>
                <w:rFonts w:hint="eastAsia" w:ascii="仿宋_GB2312" w:hAnsi="宋体"/>
                <w:sz w:val="22"/>
                <w:szCs w:val="22"/>
              </w:rPr>
              <w:t>校长的履职应符合有关规定。</w:t>
            </w:r>
          </w:p>
        </w:tc>
        <w:tc>
          <w:tcPr>
            <w:tcW w:w="3685" w:type="dxa"/>
            <w:noWrap w:val="0"/>
            <w:vAlign w:val="top"/>
          </w:tcPr>
          <w:p>
            <w:pPr>
              <w:spacing w:line="280" w:lineRule="exact"/>
              <w:rPr>
                <w:rFonts w:ascii="仿宋_GB2312" w:hAnsi="宋体"/>
                <w:sz w:val="22"/>
                <w:szCs w:val="22"/>
              </w:rPr>
            </w:pPr>
            <w:r>
              <w:rPr>
                <w:rFonts w:hint="eastAsia" w:ascii="仿宋_GB2312" w:hAnsi="宋体"/>
                <w:sz w:val="22"/>
                <w:szCs w:val="22"/>
              </w:rPr>
              <w:t>1.《民办教育促进法》第二十四条</w:t>
            </w:r>
          </w:p>
          <w:p>
            <w:pPr>
              <w:spacing w:line="280" w:lineRule="exact"/>
              <w:rPr>
                <w:rFonts w:ascii="仿宋_GB2312" w:hAnsi="宋体"/>
                <w:sz w:val="22"/>
                <w:szCs w:val="22"/>
              </w:rPr>
            </w:pPr>
            <w:r>
              <w:rPr>
                <w:rFonts w:hint="eastAsia" w:ascii="仿宋_GB2312" w:hAnsi="宋体"/>
                <w:sz w:val="22"/>
                <w:szCs w:val="22"/>
              </w:rPr>
              <w:t>2.《民促法实施条例》第二十一条</w:t>
            </w:r>
          </w:p>
        </w:tc>
        <w:tc>
          <w:tcPr>
            <w:tcW w:w="2410" w:type="dxa"/>
            <w:noWrap w:val="0"/>
            <w:vAlign w:val="top"/>
          </w:tcPr>
          <w:p>
            <w:pPr>
              <w:spacing w:line="280" w:lineRule="exact"/>
              <w:rPr>
                <w:rFonts w:ascii="仿宋_GB2312" w:hAnsi="宋体"/>
                <w:b/>
                <w:sz w:val="22"/>
                <w:szCs w:val="22"/>
              </w:rPr>
            </w:pPr>
            <w:r>
              <w:rPr>
                <w:rFonts w:hint="eastAsia" w:ascii="仿宋_GB2312" w:hAnsi="宋体"/>
                <w:sz w:val="22"/>
                <w:szCs w:val="22"/>
              </w:rPr>
              <w:t>提供上一年度年初、年终校长办公会会议纪要复印件。</w:t>
            </w:r>
            <w:r>
              <w:rPr>
                <w:rFonts w:hint="eastAsia" w:ascii="仿宋_GB2312" w:hAnsi="宋体"/>
                <w:b/>
                <w:sz w:val="22"/>
                <w:szCs w:val="22"/>
              </w:rPr>
              <w:t>(自查报告附件5)</w:t>
            </w:r>
          </w:p>
        </w:tc>
        <w:tc>
          <w:tcPr>
            <w:tcW w:w="2126" w:type="dxa"/>
            <w:noWrap w:val="0"/>
            <w:vAlign w:val="top"/>
          </w:tcPr>
          <w:p>
            <w:pPr>
              <w:spacing w:line="280" w:lineRule="exact"/>
              <w:rPr>
                <w:rFonts w:ascii="仿宋_GB2312" w:hAns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2" w:type="dxa"/>
            <w:vMerge w:val="restart"/>
            <w:noWrap w:val="0"/>
            <w:vAlign w:val="center"/>
          </w:tcPr>
          <w:p>
            <w:pPr>
              <w:spacing w:line="280" w:lineRule="exact"/>
              <w:jc w:val="center"/>
              <w:rPr>
                <w:rFonts w:ascii="仿宋_GB2312" w:hAnsi="宋体"/>
                <w:b/>
                <w:sz w:val="24"/>
              </w:rPr>
            </w:pPr>
            <w:r>
              <w:rPr>
                <w:rFonts w:hint="eastAsia" w:ascii="仿宋_GB2312" w:hAnsi="宋体"/>
                <w:b/>
                <w:sz w:val="24"/>
              </w:rPr>
              <w:t>四、资产与财务管理</w:t>
            </w:r>
          </w:p>
        </w:tc>
        <w:tc>
          <w:tcPr>
            <w:tcW w:w="1737" w:type="dxa"/>
            <w:noWrap w:val="0"/>
            <w:vAlign w:val="center"/>
          </w:tcPr>
          <w:p>
            <w:pPr>
              <w:spacing w:line="280" w:lineRule="exact"/>
              <w:rPr>
                <w:rFonts w:ascii="仿宋_GB2312" w:hAnsi="宋体"/>
                <w:b/>
                <w:sz w:val="24"/>
              </w:rPr>
            </w:pPr>
            <w:r>
              <w:rPr>
                <w:rFonts w:hint="eastAsia" w:ascii="仿宋_GB2312" w:hAnsi="宋体"/>
                <w:b/>
                <w:sz w:val="24"/>
              </w:rPr>
              <w:t>11.学校资产管理</w:t>
            </w:r>
          </w:p>
        </w:tc>
        <w:tc>
          <w:tcPr>
            <w:tcW w:w="4111" w:type="dxa"/>
            <w:noWrap w:val="0"/>
            <w:vAlign w:val="top"/>
          </w:tcPr>
          <w:p>
            <w:pPr>
              <w:spacing w:line="280" w:lineRule="exact"/>
              <w:rPr>
                <w:rFonts w:hint="eastAsia" w:ascii="仿宋_GB2312" w:hAnsi="宋体"/>
                <w:sz w:val="22"/>
                <w:szCs w:val="22"/>
              </w:rPr>
            </w:pPr>
          </w:p>
          <w:p>
            <w:pPr>
              <w:spacing w:line="280" w:lineRule="exact"/>
              <w:rPr>
                <w:rFonts w:ascii="仿宋_GB2312" w:hAnsi="宋体"/>
                <w:sz w:val="22"/>
                <w:szCs w:val="22"/>
              </w:rPr>
            </w:pPr>
            <w:r>
              <w:rPr>
                <w:rFonts w:hint="eastAsia" w:ascii="仿宋_GB2312" w:hAnsi="宋体"/>
                <w:sz w:val="22"/>
                <w:szCs w:val="22"/>
              </w:rPr>
              <w:t>学校的资产和收取的学费应由学校依法管理和使用，任何组织和个人不得侵占。</w:t>
            </w:r>
          </w:p>
        </w:tc>
        <w:tc>
          <w:tcPr>
            <w:tcW w:w="3685" w:type="dxa"/>
            <w:noWrap w:val="0"/>
            <w:vAlign w:val="top"/>
          </w:tcPr>
          <w:p>
            <w:pPr>
              <w:spacing w:line="280" w:lineRule="exact"/>
              <w:rPr>
                <w:rFonts w:hint="eastAsia" w:ascii="仿宋_GB2312" w:hAnsi="宋体"/>
                <w:sz w:val="22"/>
                <w:szCs w:val="22"/>
              </w:rPr>
            </w:pPr>
          </w:p>
          <w:p>
            <w:pPr>
              <w:spacing w:line="280" w:lineRule="exact"/>
              <w:rPr>
                <w:rFonts w:ascii="仿宋_GB2312" w:hAnsi="宋体"/>
                <w:sz w:val="22"/>
                <w:szCs w:val="22"/>
              </w:rPr>
            </w:pPr>
            <w:r>
              <w:rPr>
                <w:rFonts w:hint="eastAsia" w:ascii="仿宋_GB2312" w:hAnsi="宋体"/>
                <w:sz w:val="22"/>
                <w:szCs w:val="22"/>
              </w:rPr>
              <w:t>1.《民办教育促进法》第三十六条第一款</w:t>
            </w:r>
          </w:p>
          <w:p>
            <w:pPr>
              <w:spacing w:line="280" w:lineRule="exact"/>
              <w:rPr>
                <w:rFonts w:ascii="仿宋_GB2312" w:hAnsi="宋体"/>
                <w:sz w:val="22"/>
                <w:szCs w:val="22"/>
              </w:rPr>
            </w:pPr>
            <w:r>
              <w:rPr>
                <w:rFonts w:hint="eastAsia" w:ascii="仿宋_GB2312" w:hAnsi="宋体"/>
                <w:sz w:val="22"/>
                <w:szCs w:val="22"/>
              </w:rPr>
              <w:t>2.《高等教育法》第六十四条</w:t>
            </w:r>
          </w:p>
          <w:p>
            <w:pPr>
              <w:spacing w:line="280" w:lineRule="exact"/>
              <w:rPr>
                <w:rFonts w:hint="eastAsia" w:ascii="仿宋_GB2312" w:hAnsi="宋体"/>
                <w:sz w:val="22"/>
                <w:szCs w:val="22"/>
              </w:rPr>
            </w:pPr>
            <w:r>
              <w:rPr>
                <w:rFonts w:hint="eastAsia" w:ascii="仿宋_GB2312" w:hAnsi="宋体"/>
                <w:sz w:val="22"/>
                <w:szCs w:val="22"/>
              </w:rPr>
              <w:t>3.《民办高等学校办学管理若干规定》第六条第三款</w:t>
            </w:r>
          </w:p>
          <w:p>
            <w:pPr>
              <w:spacing w:line="280" w:lineRule="exact"/>
              <w:rPr>
                <w:rFonts w:ascii="仿宋_GB2312" w:hAnsi="宋体"/>
                <w:sz w:val="22"/>
                <w:szCs w:val="22"/>
              </w:rPr>
            </w:pPr>
          </w:p>
        </w:tc>
        <w:tc>
          <w:tcPr>
            <w:tcW w:w="2410" w:type="dxa"/>
            <w:noWrap w:val="0"/>
            <w:vAlign w:val="top"/>
          </w:tcPr>
          <w:p>
            <w:pPr>
              <w:spacing w:line="280" w:lineRule="exact"/>
              <w:rPr>
                <w:rFonts w:hint="eastAsia" w:ascii="仿宋_GB2312" w:hAnsi="宋体"/>
                <w:sz w:val="22"/>
                <w:szCs w:val="22"/>
              </w:rPr>
            </w:pPr>
          </w:p>
          <w:p>
            <w:pPr>
              <w:spacing w:line="280" w:lineRule="exact"/>
              <w:rPr>
                <w:rFonts w:ascii="仿宋_GB2312" w:hAnsi="宋体"/>
                <w:sz w:val="22"/>
                <w:szCs w:val="22"/>
              </w:rPr>
            </w:pPr>
            <w:r>
              <w:rPr>
                <w:rFonts w:hint="eastAsia" w:ascii="仿宋_GB2312" w:hAnsi="宋体"/>
                <w:sz w:val="22"/>
                <w:szCs w:val="22"/>
              </w:rPr>
              <w:t>提供审计报告，必要时查阅会计账簿。</w:t>
            </w:r>
          </w:p>
        </w:tc>
        <w:tc>
          <w:tcPr>
            <w:tcW w:w="2126" w:type="dxa"/>
            <w:noWrap w:val="0"/>
            <w:vAlign w:val="top"/>
          </w:tcPr>
          <w:p>
            <w:pPr>
              <w:spacing w:line="280" w:lineRule="exact"/>
              <w:rPr>
                <w:rFonts w:hint="eastAsia" w:ascii="仿宋_GB2312" w:hAnsi="宋体"/>
                <w:sz w:val="22"/>
                <w:szCs w:val="22"/>
              </w:rPr>
            </w:pPr>
          </w:p>
          <w:p>
            <w:pPr>
              <w:spacing w:line="280" w:lineRule="exact"/>
              <w:rPr>
                <w:rFonts w:ascii="仿宋_GB2312" w:hAnsi="宋体"/>
                <w:sz w:val="22"/>
                <w:szCs w:val="22"/>
              </w:rPr>
            </w:pPr>
            <w:r>
              <w:rPr>
                <w:rFonts w:hint="eastAsia" w:ascii="仿宋_GB2312" w:hAnsi="宋体"/>
                <w:sz w:val="22"/>
                <w:szCs w:val="22"/>
              </w:rPr>
              <w:t>★年度内收入未纳入学校账户统一管理和使用的，年检结论为“暂缓通过”或“不通过”。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2" w:type="dxa"/>
            <w:vMerge w:val="continue"/>
            <w:noWrap w:val="0"/>
            <w:vAlign w:val="top"/>
          </w:tcPr>
          <w:p>
            <w:pPr>
              <w:spacing w:line="280" w:lineRule="exact"/>
              <w:rPr>
                <w:rFonts w:ascii="仿宋_GB2312" w:hAnsi="宋体"/>
                <w:b/>
                <w:sz w:val="24"/>
              </w:rPr>
            </w:pPr>
          </w:p>
        </w:tc>
        <w:tc>
          <w:tcPr>
            <w:tcW w:w="1737" w:type="dxa"/>
            <w:noWrap w:val="0"/>
            <w:vAlign w:val="center"/>
          </w:tcPr>
          <w:p>
            <w:pPr>
              <w:spacing w:line="280" w:lineRule="exact"/>
              <w:rPr>
                <w:rFonts w:ascii="仿宋_GB2312" w:hAnsi="宋体"/>
                <w:b/>
                <w:sz w:val="24"/>
              </w:rPr>
            </w:pPr>
            <w:r>
              <w:rPr>
                <w:rFonts w:hint="eastAsia" w:ascii="仿宋_GB2312" w:hAnsi="宋体"/>
                <w:b/>
                <w:sz w:val="24"/>
              </w:rPr>
              <w:t>12.举办者义务</w:t>
            </w:r>
          </w:p>
        </w:tc>
        <w:tc>
          <w:tcPr>
            <w:tcW w:w="4111" w:type="dxa"/>
            <w:noWrap w:val="0"/>
            <w:vAlign w:val="top"/>
          </w:tcPr>
          <w:p>
            <w:pPr>
              <w:spacing w:line="280" w:lineRule="exact"/>
              <w:rPr>
                <w:rFonts w:ascii="仿宋_GB2312" w:hAnsi="宋体"/>
                <w:sz w:val="22"/>
                <w:szCs w:val="22"/>
              </w:rPr>
            </w:pPr>
            <w:r>
              <w:rPr>
                <w:rFonts w:hint="eastAsia" w:ascii="仿宋_GB2312" w:hAnsi="宋体"/>
                <w:sz w:val="22"/>
                <w:szCs w:val="22"/>
              </w:rPr>
              <w:t>学校的举办者应当按时、足额履行出资义务；举办者及关联单位不得抽逃资金或挪用办学经费。当学校净资产低于开办资金时，举办者应及时补足。</w:t>
            </w:r>
          </w:p>
        </w:tc>
        <w:tc>
          <w:tcPr>
            <w:tcW w:w="3685" w:type="dxa"/>
            <w:noWrap w:val="0"/>
            <w:vAlign w:val="top"/>
          </w:tcPr>
          <w:p>
            <w:pPr>
              <w:spacing w:line="280" w:lineRule="exact"/>
              <w:rPr>
                <w:rFonts w:ascii="仿宋_GB2312" w:hAnsi="宋体"/>
                <w:sz w:val="22"/>
                <w:szCs w:val="22"/>
              </w:rPr>
            </w:pPr>
            <w:r>
              <w:rPr>
                <w:rFonts w:hint="eastAsia" w:ascii="仿宋_GB2312" w:hAnsi="宋体"/>
                <w:sz w:val="22"/>
                <w:szCs w:val="22"/>
              </w:rPr>
              <w:t>1.《民办教育促进法》第六十二条第八款</w:t>
            </w:r>
          </w:p>
          <w:p>
            <w:pPr>
              <w:spacing w:line="280" w:lineRule="exact"/>
              <w:rPr>
                <w:rFonts w:ascii="仿宋_GB2312" w:hAnsi="宋体"/>
                <w:sz w:val="22"/>
                <w:szCs w:val="22"/>
              </w:rPr>
            </w:pPr>
            <w:r>
              <w:rPr>
                <w:rFonts w:hint="eastAsia" w:ascii="仿宋_GB2312" w:hAnsi="宋体"/>
                <w:sz w:val="22"/>
                <w:szCs w:val="22"/>
              </w:rPr>
              <w:t>2.《民促法实施条例》第八条</w:t>
            </w:r>
          </w:p>
          <w:p>
            <w:pPr>
              <w:spacing w:line="280" w:lineRule="exact"/>
              <w:rPr>
                <w:rFonts w:ascii="仿宋_GB2312" w:hAnsi="宋体"/>
                <w:sz w:val="22"/>
                <w:szCs w:val="22"/>
              </w:rPr>
            </w:pPr>
            <w:r>
              <w:rPr>
                <w:rFonts w:hint="eastAsia" w:ascii="仿宋_GB2312" w:hAnsi="宋体"/>
                <w:sz w:val="22"/>
                <w:szCs w:val="22"/>
              </w:rPr>
              <w:t>3.《高等教育法》第六十一条</w:t>
            </w:r>
          </w:p>
          <w:p>
            <w:pPr>
              <w:spacing w:line="280" w:lineRule="exact"/>
              <w:rPr>
                <w:rFonts w:ascii="仿宋_GB2312" w:hAnsi="宋体"/>
                <w:sz w:val="22"/>
                <w:szCs w:val="22"/>
              </w:rPr>
            </w:pPr>
            <w:r>
              <w:rPr>
                <w:rFonts w:hint="eastAsia" w:ascii="仿宋_GB2312" w:hAnsi="宋体"/>
                <w:sz w:val="22"/>
                <w:szCs w:val="22"/>
              </w:rPr>
              <w:t>4.《民办高等学校办学管理若干规定》第六条第一、二款</w:t>
            </w:r>
          </w:p>
          <w:p>
            <w:pPr>
              <w:spacing w:line="280" w:lineRule="exact"/>
              <w:rPr>
                <w:rFonts w:ascii="仿宋_GB2312" w:hAnsi="宋体"/>
                <w:sz w:val="22"/>
                <w:szCs w:val="22"/>
              </w:rPr>
            </w:pPr>
            <w:r>
              <w:rPr>
                <w:rFonts w:hint="eastAsia" w:ascii="仿宋_GB2312" w:hAnsi="宋体"/>
                <w:sz w:val="22"/>
                <w:szCs w:val="22"/>
              </w:rPr>
              <w:t>5.《北京市民办非企业单位年度检查暂行办法》第十一条第六款</w:t>
            </w:r>
          </w:p>
        </w:tc>
        <w:tc>
          <w:tcPr>
            <w:tcW w:w="2410" w:type="dxa"/>
            <w:noWrap w:val="0"/>
            <w:vAlign w:val="top"/>
          </w:tcPr>
          <w:p>
            <w:pPr>
              <w:spacing w:line="280" w:lineRule="exact"/>
              <w:rPr>
                <w:rFonts w:ascii="仿宋_GB2312" w:hAnsi="宋体"/>
                <w:sz w:val="22"/>
                <w:szCs w:val="22"/>
              </w:rPr>
            </w:pPr>
            <w:r>
              <w:rPr>
                <w:rFonts w:hint="eastAsia" w:ascii="仿宋_GB2312" w:hAnsi="宋体"/>
                <w:sz w:val="22"/>
                <w:szCs w:val="22"/>
              </w:rPr>
              <w:t>提供审计报告，必要时查阅会计账簿。</w:t>
            </w:r>
          </w:p>
        </w:tc>
        <w:tc>
          <w:tcPr>
            <w:tcW w:w="2126" w:type="dxa"/>
            <w:noWrap w:val="0"/>
            <w:vAlign w:val="top"/>
          </w:tcPr>
          <w:p>
            <w:pPr>
              <w:spacing w:line="280" w:lineRule="exact"/>
              <w:rPr>
                <w:rFonts w:ascii="仿宋_GB2312" w:hAnsi="宋体"/>
                <w:sz w:val="22"/>
                <w:szCs w:val="22"/>
              </w:rPr>
            </w:pPr>
            <w:r>
              <w:rPr>
                <w:rFonts w:hint="eastAsia" w:ascii="仿宋_GB2312" w:hAnsi="宋体"/>
                <w:sz w:val="22"/>
                <w:szCs w:val="22"/>
              </w:rPr>
              <w:t>★年度内发生举办者抽逃资金、举办者及关联单位占用办学经费或净资产低于开办资金且举办者未及时补足，年检结论为“暂缓通过”或“不通过”。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382" w:type="dxa"/>
            <w:vMerge w:val="continue"/>
            <w:noWrap w:val="0"/>
            <w:vAlign w:val="top"/>
          </w:tcPr>
          <w:p>
            <w:pPr>
              <w:spacing w:line="280" w:lineRule="exact"/>
              <w:rPr>
                <w:rFonts w:ascii="仿宋_GB2312" w:hAnsi="宋体"/>
                <w:b/>
                <w:sz w:val="24"/>
              </w:rPr>
            </w:pPr>
          </w:p>
        </w:tc>
        <w:tc>
          <w:tcPr>
            <w:tcW w:w="1737" w:type="dxa"/>
            <w:noWrap w:val="0"/>
            <w:vAlign w:val="center"/>
          </w:tcPr>
          <w:p>
            <w:pPr>
              <w:spacing w:line="280" w:lineRule="exact"/>
              <w:rPr>
                <w:rFonts w:ascii="仿宋_GB2312" w:hAnsi="宋体"/>
                <w:b/>
                <w:sz w:val="24"/>
              </w:rPr>
            </w:pPr>
            <w:r>
              <w:rPr>
                <w:rFonts w:hint="eastAsia" w:ascii="仿宋_GB2312" w:hAnsi="宋体"/>
                <w:b/>
                <w:sz w:val="24"/>
              </w:rPr>
              <w:t>13.财务管理</w:t>
            </w:r>
          </w:p>
        </w:tc>
        <w:tc>
          <w:tcPr>
            <w:tcW w:w="4111" w:type="dxa"/>
            <w:noWrap w:val="0"/>
            <w:vAlign w:val="top"/>
          </w:tcPr>
          <w:p>
            <w:pPr>
              <w:spacing w:line="280" w:lineRule="exact"/>
              <w:rPr>
                <w:rFonts w:ascii="仿宋_GB2312" w:hAnsi="宋体"/>
                <w:sz w:val="22"/>
                <w:szCs w:val="22"/>
              </w:rPr>
            </w:pPr>
            <w:r>
              <w:rPr>
                <w:rFonts w:hint="eastAsia" w:ascii="仿宋_GB2312" w:hAnsi="宋体"/>
                <w:sz w:val="22"/>
                <w:szCs w:val="22"/>
              </w:rPr>
              <w:t>学校应依法进行会计核算、编制会计报告，依法进行审计并公布结果，规范资产和财务管理。</w:t>
            </w:r>
          </w:p>
        </w:tc>
        <w:tc>
          <w:tcPr>
            <w:tcW w:w="3685" w:type="dxa"/>
            <w:noWrap w:val="0"/>
            <w:vAlign w:val="top"/>
          </w:tcPr>
          <w:p>
            <w:pPr>
              <w:spacing w:line="280" w:lineRule="exact"/>
              <w:rPr>
                <w:rFonts w:ascii="仿宋_GB2312" w:hAnsi="宋体"/>
                <w:sz w:val="22"/>
                <w:szCs w:val="22"/>
              </w:rPr>
            </w:pPr>
            <w:r>
              <w:rPr>
                <w:rFonts w:hint="eastAsia" w:ascii="仿宋_GB2312" w:hAnsi="宋体"/>
                <w:sz w:val="22"/>
                <w:szCs w:val="22"/>
              </w:rPr>
              <w:t>1.《民办教育促进法》第三十八条</w:t>
            </w:r>
          </w:p>
          <w:p>
            <w:pPr>
              <w:spacing w:line="280" w:lineRule="exact"/>
              <w:rPr>
                <w:rFonts w:ascii="仿宋_GB2312" w:hAnsi="宋体"/>
                <w:sz w:val="22"/>
                <w:szCs w:val="22"/>
              </w:rPr>
            </w:pPr>
            <w:r>
              <w:rPr>
                <w:rFonts w:hint="eastAsia" w:ascii="仿宋_GB2312" w:hAnsi="宋体"/>
                <w:sz w:val="22"/>
                <w:szCs w:val="22"/>
              </w:rPr>
              <w:t>2.《民促法实施条例》第五十一条第四款</w:t>
            </w:r>
          </w:p>
          <w:p>
            <w:pPr>
              <w:spacing w:line="280" w:lineRule="exact"/>
              <w:rPr>
                <w:rFonts w:ascii="仿宋_GB2312" w:hAnsi="宋体"/>
                <w:sz w:val="22"/>
                <w:szCs w:val="22"/>
              </w:rPr>
            </w:pPr>
            <w:r>
              <w:rPr>
                <w:rFonts w:hint="eastAsia" w:ascii="仿宋_GB2312" w:hAnsi="宋体"/>
                <w:sz w:val="22"/>
                <w:szCs w:val="22"/>
              </w:rPr>
              <w:t>3.《高等教育法》第六十五条</w:t>
            </w:r>
          </w:p>
          <w:p>
            <w:pPr>
              <w:spacing w:line="280" w:lineRule="exact"/>
              <w:rPr>
                <w:rFonts w:ascii="仿宋_GB2312" w:hAnsi="宋体"/>
                <w:sz w:val="22"/>
                <w:szCs w:val="22"/>
              </w:rPr>
            </w:pPr>
            <w:r>
              <w:rPr>
                <w:rFonts w:hint="eastAsia" w:ascii="仿宋_GB2312" w:hAnsi="宋体"/>
                <w:sz w:val="22"/>
                <w:szCs w:val="22"/>
              </w:rPr>
              <w:t>4.《北京市实施&lt;民办教育促进法&gt;办法》第二十二条</w:t>
            </w:r>
          </w:p>
        </w:tc>
        <w:tc>
          <w:tcPr>
            <w:tcW w:w="2410" w:type="dxa"/>
            <w:noWrap w:val="0"/>
            <w:vAlign w:val="top"/>
          </w:tcPr>
          <w:p>
            <w:pPr>
              <w:spacing w:line="280" w:lineRule="exact"/>
              <w:rPr>
                <w:rFonts w:ascii="仿宋_GB2312" w:hAnsi="宋体"/>
                <w:sz w:val="22"/>
                <w:szCs w:val="22"/>
              </w:rPr>
            </w:pPr>
            <w:r>
              <w:rPr>
                <w:rFonts w:hint="eastAsia" w:ascii="仿宋_GB2312" w:hAnsi="宋体"/>
                <w:sz w:val="22"/>
                <w:szCs w:val="22"/>
              </w:rPr>
              <w:t>提供审计报告、对外签订的重大经济合同复印件（资产买卖、出租出赁办学场所及设施、对外投资理财）等（</w:t>
            </w:r>
            <w:r>
              <w:rPr>
                <w:rFonts w:hint="eastAsia" w:ascii="仿宋_GB2312" w:hAnsi="宋体"/>
                <w:b/>
                <w:sz w:val="22"/>
                <w:szCs w:val="22"/>
              </w:rPr>
              <w:t>自查报告附件6）</w:t>
            </w:r>
            <w:r>
              <w:rPr>
                <w:rFonts w:hint="eastAsia" w:ascii="仿宋_GB2312" w:hAnsi="宋体"/>
                <w:sz w:val="22"/>
                <w:szCs w:val="22"/>
              </w:rPr>
              <w:t>，必要时查阅会计账簿。</w:t>
            </w:r>
          </w:p>
        </w:tc>
        <w:tc>
          <w:tcPr>
            <w:tcW w:w="2126" w:type="dxa"/>
            <w:noWrap w:val="0"/>
            <w:vAlign w:val="top"/>
          </w:tcPr>
          <w:p>
            <w:pPr>
              <w:spacing w:line="280" w:lineRule="exact"/>
              <w:rPr>
                <w:rFonts w:ascii="仿宋_GB2312" w:hAnsi="宋体"/>
                <w:sz w:val="22"/>
                <w:szCs w:val="22"/>
              </w:rPr>
            </w:pPr>
            <w:r>
              <w:rPr>
                <w:rFonts w:hint="eastAsia" w:ascii="仿宋_GB2312" w:hAnsi="宋体"/>
                <w:sz w:val="22"/>
                <w:szCs w:val="22"/>
              </w:rPr>
              <w:t>★发生连续多年亏损且负债较高或其他财务管理混乱问题，年检结论为“暂缓通过”或“不通过”。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82" w:type="dxa"/>
            <w:vMerge w:val="continue"/>
            <w:noWrap w:val="0"/>
            <w:vAlign w:val="top"/>
          </w:tcPr>
          <w:p>
            <w:pPr>
              <w:spacing w:line="280" w:lineRule="exact"/>
              <w:rPr>
                <w:rFonts w:ascii="仿宋_GB2312" w:hAnsi="宋体"/>
                <w:b/>
                <w:sz w:val="24"/>
              </w:rPr>
            </w:pPr>
          </w:p>
        </w:tc>
        <w:tc>
          <w:tcPr>
            <w:tcW w:w="1737" w:type="dxa"/>
            <w:noWrap w:val="0"/>
            <w:vAlign w:val="center"/>
          </w:tcPr>
          <w:p>
            <w:pPr>
              <w:spacing w:line="280" w:lineRule="exact"/>
              <w:rPr>
                <w:rFonts w:ascii="仿宋_GB2312" w:hAnsi="宋体"/>
                <w:b/>
                <w:sz w:val="24"/>
              </w:rPr>
            </w:pPr>
            <w:r>
              <w:rPr>
                <w:rFonts w:hint="eastAsia" w:ascii="仿宋_GB2312" w:hAnsi="宋体"/>
                <w:b/>
                <w:sz w:val="24"/>
              </w:rPr>
              <w:t>14.提取发展基金</w:t>
            </w:r>
          </w:p>
        </w:tc>
        <w:tc>
          <w:tcPr>
            <w:tcW w:w="4111" w:type="dxa"/>
            <w:noWrap w:val="0"/>
            <w:vAlign w:val="top"/>
          </w:tcPr>
          <w:p>
            <w:pPr>
              <w:spacing w:line="280" w:lineRule="exact"/>
              <w:rPr>
                <w:rFonts w:ascii="仿宋_GB2312" w:hAnsi="宋体"/>
                <w:sz w:val="22"/>
                <w:szCs w:val="22"/>
              </w:rPr>
            </w:pPr>
            <w:r>
              <w:rPr>
                <w:rFonts w:hint="eastAsia" w:ascii="仿宋_GB2312" w:hAnsi="宋体"/>
                <w:sz w:val="22"/>
                <w:szCs w:val="22"/>
              </w:rPr>
              <w:t>学校应依法从净资产增加额或年度净收益中按照不低于25%的比例提取发展基金，用于学校的建设、维护和教学设备的添置、更新等。</w:t>
            </w:r>
          </w:p>
        </w:tc>
        <w:tc>
          <w:tcPr>
            <w:tcW w:w="3685" w:type="dxa"/>
            <w:noWrap w:val="0"/>
            <w:vAlign w:val="top"/>
          </w:tcPr>
          <w:p>
            <w:pPr>
              <w:spacing w:line="280" w:lineRule="exact"/>
              <w:rPr>
                <w:rFonts w:ascii="仿宋_GB2312" w:hAnsi="宋体"/>
                <w:sz w:val="22"/>
                <w:szCs w:val="22"/>
              </w:rPr>
            </w:pPr>
            <w:r>
              <w:rPr>
                <w:rFonts w:hint="eastAsia" w:ascii="仿宋_GB2312" w:hAnsi="宋体"/>
                <w:sz w:val="22"/>
                <w:szCs w:val="22"/>
              </w:rPr>
              <w:t>《民促法实施条例》第三十七条</w:t>
            </w:r>
          </w:p>
        </w:tc>
        <w:tc>
          <w:tcPr>
            <w:tcW w:w="2410" w:type="dxa"/>
            <w:noWrap w:val="0"/>
            <w:vAlign w:val="top"/>
          </w:tcPr>
          <w:p>
            <w:pPr>
              <w:spacing w:line="280" w:lineRule="exact"/>
              <w:rPr>
                <w:rFonts w:ascii="仿宋_GB2312" w:hAnsi="宋体"/>
                <w:sz w:val="22"/>
                <w:szCs w:val="22"/>
              </w:rPr>
            </w:pPr>
            <w:r>
              <w:rPr>
                <w:rFonts w:hint="eastAsia" w:ascii="仿宋_GB2312" w:hAnsi="宋体"/>
                <w:sz w:val="22"/>
                <w:szCs w:val="22"/>
              </w:rPr>
              <w:t>提供审计报告，必要时查阅会计账簿。</w:t>
            </w:r>
          </w:p>
        </w:tc>
        <w:tc>
          <w:tcPr>
            <w:tcW w:w="2126" w:type="dxa"/>
            <w:noWrap w:val="0"/>
            <w:vAlign w:val="top"/>
          </w:tcPr>
          <w:p>
            <w:pPr>
              <w:spacing w:line="280" w:lineRule="exact"/>
              <w:rPr>
                <w:rFonts w:ascii="仿宋_GB2312" w:hAns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382" w:type="dxa"/>
            <w:noWrap w:val="0"/>
            <w:vAlign w:val="center"/>
          </w:tcPr>
          <w:p>
            <w:pPr>
              <w:spacing w:line="280" w:lineRule="exact"/>
              <w:jc w:val="center"/>
              <w:rPr>
                <w:rFonts w:ascii="仿宋_GB2312" w:hAnsi="宋体"/>
                <w:b/>
                <w:sz w:val="24"/>
              </w:rPr>
            </w:pPr>
            <w:r>
              <w:rPr>
                <w:rFonts w:hint="eastAsia" w:ascii="仿宋_GB2312" w:hAnsi="宋体"/>
                <w:b/>
                <w:sz w:val="24"/>
              </w:rPr>
              <w:t>五、教育教学管理</w:t>
            </w:r>
          </w:p>
        </w:tc>
        <w:tc>
          <w:tcPr>
            <w:tcW w:w="1737" w:type="dxa"/>
            <w:noWrap w:val="0"/>
            <w:vAlign w:val="center"/>
          </w:tcPr>
          <w:p>
            <w:pPr>
              <w:spacing w:line="280" w:lineRule="exact"/>
              <w:rPr>
                <w:rFonts w:ascii="仿宋_GB2312" w:hAnsi="宋体"/>
                <w:b/>
                <w:sz w:val="24"/>
              </w:rPr>
            </w:pPr>
            <w:r>
              <w:rPr>
                <w:rFonts w:hint="eastAsia" w:ascii="仿宋_GB2312" w:hAnsi="宋体"/>
                <w:b/>
                <w:sz w:val="24"/>
              </w:rPr>
              <w:t>15.教育教学管理</w:t>
            </w:r>
          </w:p>
        </w:tc>
        <w:tc>
          <w:tcPr>
            <w:tcW w:w="4111" w:type="dxa"/>
            <w:noWrap w:val="0"/>
            <w:vAlign w:val="top"/>
          </w:tcPr>
          <w:p>
            <w:pPr>
              <w:spacing w:line="280" w:lineRule="exact"/>
              <w:rPr>
                <w:rFonts w:ascii="仿宋_GB2312" w:hAnsi="宋体"/>
                <w:sz w:val="22"/>
                <w:szCs w:val="22"/>
              </w:rPr>
            </w:pPr>
            <w:r>
              <w:rPr>
                <w:rFonts w:hint="eastAsia" w:ascii="仿宋_GB2312" w:hAnsi="宋体"/>
                <w:sz w:val="22"/>
                <w:szCs w:val="22"/>
              </w:rPr>
              <w:t>学校应当按照招生简章或广告的承诺开设相应专业、课程，并规范教学管理工作，开展教学检查，保障教育教学质量并保障教学经费投入。学校要按照人才培养目标制定并落实培养方案。</w:t>
            </w:r>
          </w:p>
        </w:tc>
        <w:tc>
          <w:tcPr>
            <w:tcW w:w="3685" w:type="dxa"/>
            <w:noWrap w:val="0"/>
            <w:vAlign w:val="top"/>
          </w:tcPr>
          <w:p>
            <w:pPr>
              <w:spacing w:line="280" w:lineRule="exact"/>
              <w:rPr>
                <w:rFonts w:ascii="仿宋_GB2312" w:hAnsi="宋体"/>
                <w:sz w:val="22"/>
                <w:szCs w:val="22"/>
              </w:rPr>
            </w:pPr>
            <w:r>
              <w:rPr>
                <w:rFonts w:hint="eastAsia" w:ascii="仿宋_GB2312" w:hAnsi="宋体"/>
                <w:sz w:val="22"/>
                <w:szCs w:val="22"/>
              </w:rPr>
              <w:t>1.《民办教育促进法》第六十二条第五款</w:t>
            </w:r>
          </w:p>
          <w:p>
            <w:pPr>
              <w:spacing w:line="280" w:lineRule="exact"/>
              <w:rPr>
                <w:rFonts w:ascii="仿宋_GB2312" w:hAnsi="宋体"/>
                <w:sz w:val="22"/>
                <w:szCs w:val="22"/>
              </w:rPr>
            </w:pPr>
            <w:r>
              <w:rPr>
                <w:rFonts w:hint="eastAsia" w:ascii="仿宋_GB2312" w:hAnsi="宋体"/>
                <w:sz w:val="22"/>
                <w:szCs w:val="22"/>
              </w:rPr>
              <w:t>2.《民促法实施条例》第二十六条、第五十一条第二款</w:t>
            </w:r>
          </w:p>
        </w:tc>
        <w:tc>
          <w:tcPr>
            <w:tcW w:w="2410" w:type="dxa"/>
            <w:noWrap w:val="0"/>
            <w:vAlign w:val="top"/>
          </w:tcPr>
          <w:p>
            <w:pPr>
              <w:spacing w:line="280" w:lineRule="exact"/>
              <w:rPr>
                <w:rFonts w:ascii="仿宋_GB2312" w:hAnsi="宋体"/>
                <w:sz w:val="22"/>
                <w:szCs w:val="22"/>
              </w:rPr>
            </w:pPr>
            <w:r>
              <w:rPr>
                <w:rFonts w:hint="eastAsia" w:ascii="仿宋_GB2312" w:hAnsi="宋体"/>
                <w:sz w:val="22"/>
                <w:szCs w:val="22"/>
              </w:rPr>
              <w:t>1.自查报告中应说明学校的专业设置及开设的课程情况、教学管理工作情况（包括机构、人员、工作制度等）、用于教育教学的经费投入情况。</w:t>
            </w:r>
          </w:p>
          <w:p>
            <w:pPr>
              <w:spacing w:line="280" w:lineRule="exact"/>
              <w:rPr>
                <w:rFonts w:hint="eastAsia" w:ascii="仿宋_GB2312" w:hAnsi="宋体"/>
                <w:sz w:val="22"/>
                <w:szCs w:val="22"/>
              </w:rPr>
            </w:pPr>
          </w:p>
          <w:p>
            <w:pPr>
              <w:spacing w:line="280" w:lineRule="exact"/>
              <w:rPr>
                <w:rFonts w:ascii="仿宋_GB2312" w:hAnsi="宋体"/>
                <w:sz w:val="22"/>
                <w:szCs w:val="22"/>
              </w:rPr>
            </w:pPr>
            <w:r>
              <w:rPr>
                <w:rFonts w:hint="eastAsia" w:ascii="仿宋_GB2312" w:hAnsi="宋体"/>
                <w:sz w:val="22"/>
                <w:szCs w:val="22"/>
              </w:rPr>
              <w:t>2.</w:t>
            </w:r>
            <w:r>
              <w:rPr>
                <w:rFonts w:hint="eastAsia" w:ascii="仿宋_GB2312" w:hAnsi="宋体"/>
                <w:b/>
                <w:sz w:val="22"/>
                <w:szCs w:val="22"/>
              </w:rPr>
              <w:t>实施学历教育和开展全日制教育</w:t>
            </w:r>
            <w:r>
              <w:rPr>
                <w:rFonts w:hint="eastAsia" w:ascii="仿宋_GB2312" w:hAnsi="宋体"/>
                <w:sz w:val="22"/>
                <w:szCs w:val="22"/>
              </w:rPr>
              <w:t>的民办高校提供人才培养方案及实施情况。</w:t>
            </w:r>
            <w:r>
              <w:rPr>
                <w:rFonts w:hint="eastAsia" w:ascii="仿宋_GB2312" w:hAnsi="宋体"/>
                <w:b/>
                <w:sz w:val="22"/>
                <w:szCs w:val="22"/>
              </w:rPr>
              <w:t>（自查报告附件7）</w:t>
            </w:r>
          </w:p>
        </w:tc>
        <w:tc>
          <w:tcPr>
            <w:tcW w:w="2126" w:type="dxa"/>
            <w:noWrap w:val="0"/>
            <w:vAlign w:val="top"/>
          </w:tcPr>
          <w:p>
            <w:pPr>
              <w:spacing w:line="280" w:lineRule="exact"/>
              <w:rPr>
                <w:rFonts w:ascii="仿宋_GB2312" w:hAns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382" w:type="dxa"/>
            <w:vMerge w:val="restart"/>
            <w:noWrap w:val="0"/>
            <w:vAlign w:val="center"/>
          </w:tcPr>
          <w:p>
            <w:pPr>
              <w:spacing w:line="280" w:lineRule="exact"/>
              <w:jc w:val="center"/>
              <w:rPr>
                <w:rFonts w:ascii="仿宋_GB2312" w:hAnsi="宋体"/>
                <w:b/>
                <w:bCs/>
                <w:sz w:val="24"/>
              </w:rPr>
            </w:pPr>
            <w:r>
              <w:rPr>
                <w:rFonts w:hint="eastAsia" w:ascii="仿宋_GB2312" w:hAnsi="宋体" w:cs="仿宋_GB2312"/>
                <w:b/>
                <w:bCs/>
                <w:sz w:val="24"/>
              </w:rPr>
              <w:t>六、党建和思想政治教育工作</w:t>
            </w:r>
          </w:p>
        </w:tc>
        <w:tc>
          <w:tcPr>
            <w:tcW w:w="1737" w:type="dxa"/>
            <w:noWrap w:val="0"/>
            <w:vAlign w:val="center"/>
          </w:tcPr>
          <w:p>
            <w:pPr>
              <w:spacing w:line="280" w:lineRule="exact"/>
              <w:rPr>
                <w:rFonts w:ascii="仿宋_GB2312" w:hAnsi="宋体"/>
                <w:b/>
                <w:bCs/>
                <w:sz w:val="24"/>
              </w:rPr>
            </w:pPr>
            <w:r>
              <w:rPr>
                <w:rFonts w:ascii="仿宋_GB2312" w:hAnsi="宋体" w:cs="仿宋_GB2312"/>
                <w:b/>
                <w:bCs/>
                <w:color w:val="000000"/>
                <w:sz w:val="24"/>
              </w:rPr>
              <w:t>1</w:t>
            </w:r>
            <w:r>
              <w:rPr>
                <w:rFonts w:hint="eastAsia" w:ascii="仿宋_GB2312" w:hAnsi="宋体" w:cs="仿宋_GB2312"/>
                <w:b/>
                <w:bCs/>
                <w:color w:val="000000"/>
                <w:sz w:val="24"/>
              </w:rPr>
              <w:t>6</w:t>
            </w:r>
            <w:r>
              <w:rPr>
                <w:rFonts w:ascii="仿宋_GB2312" w:hAnsi="宋体" w:cs="仿宋_GB2312"/>
                <w:b/>
                <w:bCs/>
                <w:color w:val="000000"/>
                <w:sz w:val="24"/>
              </w:rPr>
              <w:t>.</w:t>
            </w:r>
            <w:r>
              <w:rPr>
                <w:rFonts w:hint="eastAsia" w:ascii="仿宋_GB2312" w:hAnsi="宋体" w:cs="仿宋_GB2312"/>
                <w:b/>
                <w:bCs/>
                <w:color w:val="000000"/>
                <w:sz w:val="24"/>
              </w:rPr>
              <w:t>党建工作</w:t>
            </w:r>
          </w:p>
        </w:tc>
        <w:tc>
          <w:tcPr>
            <w:tcW w:w="4111" w:type="dxa"/>
            <w:noWrap w:val="0"/>
            <w:vAlign w:val="top"/>
          </w:tcPr>
          <w:p>
            <w:pPr>
              <w:spacing w:line="280" w:lineRule="exact"/>
              <w:jc w:val="left"/>
              <w:rPr>
                <w:rFonts w:ascii="仿宋_GB2312" w:hAnsi="Calibri"/>
                <w:bCs/>
                <w:sz w:val="22"/>
                <w:szCs w:val="22"/>
              </w:rPr>
            </w:pPr>
            <w:r>
              <w:rPr>
                <w:rFonts w:hint="eastAsia" w:ascii="仿宋_GB2312" w:hAnsi="Calibri" w:cs="仿宋_GB2312"/>
                <w:bCs/>
                <w:color w:val="000000"/>
                <w:sz w:val="24"/>
              </w:rPr>
              <w:t>党组织履行全面从严治党主体责任，认真执行党的路线方针政策和决策部署，发挥战斗堡垒作用；党组织机构健全，设置合理，按期换届；严肃党内政治生活,</w:t>
            </w:r>
            <w:r>
              <w:rPr>
                <w:rFonts w:hint="eastAsia" w:ascii="Calibri" w:hAnsi="Calibri" w:cs="仿宋_GB2312"/>
                <w:bCs/>
                <w:color w:val="000000"/>
                <w:sz w:val="24"/>
              </w:rPr>
              <w:t>落实</w:t>
            </w:r>
            <w:r>
              <w:rPr>
                <w:rFonts w:hint="eastAsia" w:ascii="仿宋_GB2312" w:hAnsi="Calibri" w:cs="仿宋_GB2312"/>
                <w:bCs/>
                <w:color w:val="000000"/>
                <w:sz w:val="24"/>
              </w:rPr>
              <w:t>“三会一课”、民主生活会和组织生活会、民主评议党员等制度；发展党员程序规范，手续完备；严格教育管理党员，推进“两学一做”学习教育常态化、制度化，及时用党的创新理论武装头脑</w:t>
            </w:r>
            <w:r>
              <w:rPr>
                <w:rFonts w:hint="eastAsia" w:ascii="Calibri" w:hAnsi="Calibri" w:cs="仿宋_GB2312"/>
                <w:bCs/>
                <w:color w:val="000000"/>
                <w:sz w:val="24"/>
              </w:rPr>
              <w:t>，</w:t>
            </w:r>
            <w:r>
              <w:rPr>
                <w:rFonts w:hint="eastAsia" w:ascii="仿宋_GB2312" w:hAnsi="Calibri" w:cs="仿宋_GB2312"/>
                <w:bCs/>
                <w:color w:val="000000"/>
                <w:sz w:val="24"/>
              </w:rPr>
              <w:t>引导党员在教书育人环节中发挥示范带动作用。</w:t>
            </w:r>
          </w:p>
        </w:tc>
        <w:tc>
          <w:tcPr>
            <w:tcW w:w="3685" w:type="dxa"/>
            <w:noWrap w:val="0"/>
            <w:vAlign w:val="top"/>
          </w:tcPr>
          <w:p>
            <w:pPr>
              <w:jc w:val="left"/>
              <w:rPr>
                <w:rFonts w:ascii="仿宋_GB2312" w:hAnsi="宋体" w:cs="仿宋_GB2312"/>
                <w:bCs/>
                <w:color w:val="000000"/>
                <w:sz w:val="24"/>
              </w:rPr>
            </w:pPr>
            <w:r>
              <w:rPr>
                <w:rFonts w:ascii="仿宋_GB2312" w:hAnsi="宋体" w:cs="仿宋_GB2312"/>
                <w:bCs/>
                <w:color w:val="000000"/>
                <w:sz w:val="24"/>
              </w:rPr>
              <w:t>1.</w:t>
            </w:r>
            <w:r>
              <w:rPr>
                <w:rFonts w:hint="eastAsia" w:ascii="仿宋_GB2312" w:hAnsi="宋体" w:cs="仿宋_GB2312"/>
                <w:bCs/>
                <w:color w:val="000000"/>
                <w:sz w:val="24"/>
              </w:rPr>
              <w:t>《中国共产党章程》</w:t>
            </w:r>
          </w:p>
          <w:p>
            <w:pPr>
              <w:spacing w:line="280" w:lineRule="exact"/>
              <w:jc w:val="left"/>
              <w:rPr>
                <w:rFonts w:ascii="仿宋_GB2312" w:hAnsi="Calibri"/>
                <w:bCs/>
                <w:sz w:val="22"/>
                <w:szCs w:val="22"/>
              </w:rPr>
            </w:pPr>
            <w:r>
              <w:rPr>
                <w:rFonts w:ascii="仿宋_GB2312" w:hAnsi="宋体" w:cs="仿宋_GB2312"/>
                <w:bCs/>
                <w:color w:val="000000"/>
                <w:sz w:val="24"/>
              </w:rPr>
              <w:t>2.</w:t>
            </w:r>
            <w:r>
              <w:rPr>
                <w:rFonts w:hint="eastAsia" w:ascii="仿宋_GB2312" w:hAnsi="宋体" w:cs="仿宋_GB2312"/>
                <w:bCs/>
                <w:color w:val="000000"/>
                <w:sz w:val="24"/>
              </w:rPr>
              <w:t>《北京市贯彻落实〈关于加强民办学校党的建设工作的意见（试行）〉实施方案》（京组通﹝</w:t>
            </w:r>
            <w:r>
              <w:rPr>
                <w:rFonts w:ascii="仿宋_GB2312" w:hAnsi="宋体" w:cs="仿宋_GB2312"/>
                <w:bCs/>
                <w:color w:val="000000"/>
                <w:sz w:val="24"/>
              </w:rPr>
              <w:t>20</w:t>
            </w:r>
            <w:r>
              <w:rPr>
                <w:rFonts w:hint="eastAsia" w:ascii="仿宋_GB2312" w:hAnsi="宋体" w:cs="仿宋_GB2312"/>
                <w:bCs/>
                <w:color w:val="000000"/>
                <w:sz w:val="24"/>
              </w:rPr>
              <w:t>17﹞43号）</w:t>
            </w:r>
          </w:p>
        </w:tc>
        <w:tc>
          <w:tcPr>
            <w:tcW w:w="2410" w:type="dxa"/>
            <w:noWrap w:val="0"/>
            <w:vAlign w:val="top"/>
          </w:tcPr>
          <w:p>
            <w:pPr>
              <w:tabs>
                <w:tab w:val="left" w:pos="825"/>
              </w:tabs>
              <w:rPr>
                <w:rFonts w:ascii="仿宋_GB2312" w:hAnsi="Calibri" w:cs="仿宋_GB2312"/>
                <w:bCs/>
                <w:color w:val="000000"/>
                <w:sz w:val="24"/>
              </w:rPr>
            </w:pPr>
            <w:r>
              <w:rPr>
                <w:rFonts w:hint="eastAsia" w:ascii="仿宋_GB2312" w:hAnsi="Calibri" w:cs="仿宋_GB2312"/>
                <w:bCs/>
                <w:color w:val="000000"/>
                <w:sz w:val="24"/>
              </w:rPr>
              <w:t>1.自查报告应说明党组织基本情况，当年党建工作思路、总体要求，加强党建工作的主要措施及实际效果。</w:t>
            </w:r>
          </w:p>
          <w:p>
            <w:pPr>
              <w:tabs>
                <w:tab w:val="left" w:pos="825"/>
              </w:tabs>
              <w:rPr>
                <w:rFonts w:ascii="仿宋_GB2312" w:hAnsi="Calibri" w:cs="仿宋_GB2312"/>
                <w:b/>
                <w:bCs/>
                <w:color w:val="000000"/>
                <w:sz w:val="24"/>
              </w:rPr>
            </w:pPr>
            <w:r>
              <w:rPr>
                <w:rFonts w:hint="eastAsia" w:ascii="仿宋_GB2312" w:hAnsi="Calibri" w:cs="仿宋_GB2312"/>
                <w:bCs/>
                <w:color w:val="000000"/>
                <w:sz w:val="24"/>
              </w:rPr>
              <w:t>2.提供“三会一课”、民主生活会和组织生活会、民主评议党员等组织生活召开情况记录复印件。</w:t>
            </w:r>
            <w:r>
              <w:rPr>
                <w:rFonts w:hint="eastAsia" w:ascii="仿宋_GB2312" w:hAnsi="Calibri" w:cs="仿宋_GB2312"/>
                <w:b/>
                <w:bCs/>
                <w:color w:val="000000"/>
                <w:sz w:val="24"/>
              </w:rPr>
              <w:t>（自查报告附件8）</w:t>
            </w:r>
          </w:p>
          <w:p>
            <w:pPr>
              <w:tabs>
                <w:tab w:val="left" w:pos="825"/>
              </w:tabs>
              <w:rPr>
                <w:rFonts w:ascii="仿宋_GB2312" w:hAnsi="Calibri" w:cs="仿宋_GB2312"/>
                <w:b/>
                <w:bCs/>
                <w:color w:val="000000"/>
                <w:sz w:val="24"/>
              </w:rPr>
            </w:pPr>
            <w:r>
              <w:rPr>
                <w:rFonts w:hint="eastAsia" w:ascii="仿宋_GB2312" w:hAnsi="Calibri" w:cs="仿宋_GB2312"/>
                <w:bCs/>
                <w:color w:val="000000"/>
                <w:sz w:val="24"/>
              </w:rPr>
              <w:t>3.提供“两学一做”学习教育常态化制度化安排、学习十九大精神记录及党内学习有关记录复印件。</w:t>
            </w:r>
            <w:r>
              <w:rPr>
                <w:rFonts w:hint="eastAsia" w:ascii="仿宋_GB2312" w:hAnsi="Calibri" w:cs="仿宋_GB2312"/>
                <w:b/>
                <w:bCs/>
                <w:color w:val="000000"/>
                <w:sz w:val="24"/>
              </w:rPr>
              <w:t>（自查报告9）</w:t>
            </w:r>
          </w:p>
          <w:p>
            <w:pPr>
              <w:tabs>
                <w:tab w:val="left" w:pos="825"/>
              </w:tabs>
              <w:spacing w:line="280" w:lineRule="exact"/>
              <w:rPr>
                <w:rFonts w:ascii="仿宋_GB2312" w:hAnsi="宋体"/>
                <w:bCs/>
                <w:sz w:val="22"/>
                <w:szCs w:val="22"/>
                <w:highlight w:val="yellow"/>
              </w:rPr>
            </w:pPr>
            <w:r>
              <w:rPr>
                <w:rFonts w:hint="eastAsia" w:ascii="仿宋_GB2312" w:hAnsi="Calibri" w:cs="仿宋_GB2312"/>
                <w:bCs/>
                <w:color w:val="000000"/>
                <w:sz w:val="24"/>
              </w:rPr>
              <w:t>4.提供当年党组织名称变更、隶属关系变更、换届等工作的批件复印件。（</w:t>
            </w:r>
            <w:r>
              <w:rPr>
                <w:rFonts w:hint="eastAsia" w:ascii="仿宋_GB2312" w:hAnsi="Calibri" w:cs="仿宋_GB2312"/>
                <w:b/>
                <w:bCs/>
                <w:color w:val="000000"/>
                <w:sz w:val="24"/>
              </w:rPr>
              <w:t>自查报告附件10</w:t>
            </w:r>
            <w:r>
              <w:rPr>
                <w:rFonts w:hint="eastAsia" w:ascii="仿宋_GB2312" w:hAnsi="Calibri" w:cs="仿宋_GB2312"/>
                <w:bCs/>
                <w:color w:val="000000"/>
                <w:sz w:val="24"/>
              </w:rPr>
              <w:t>）</w:t>
            </w:r>
          </w:p>
        </w:tc>
        <w:tc>
          <w:tcPr>
            <w:tcW w:w="2126" w:type="dxa"/>
            <w:noWrap w:val="0"/>
            <w:vAlign w:val="top"/>
          </w:tcPr>
          <w:p>
            <w:pPr>
              <w:spacing w:line="280" w:lineRule="exact"/>
              <w:rPr>
                <w:rFonts w:ascii="仿宋_GB2312" w:hAnsi="宋体"/>
                <w:sz w:val="22"/>
                <w:szCs w:val="22"/>
              </w:rPr>
            </w:pPr>
            <w:r>
              <w:rPr>
                <w:rFonts w:hint="eastAsia" w:ascii="仿宋_GB2312" w:hAnsi="宋体"/>
                <w:sz w:val="22"/>
                <w:szCs w:val="22"/>
              </w:rPr>
              <w:t>★应建而不建党组织的，年检结论不可为“通过”，</w:t>
            </w:r>
            <w:r>
              <w:rPr>
                <w:rFonts w:ascii="仿宋_GB2312" w:hAnsi="宋体"/>
                <w:sz w:val="22"/>
                <w:szCs w:val="22"/>
              </w:rPr>
              <w:t>视情况，</w:t>
            </w:r>
            <w:r>
              <w:rPr>
                <w:rFonts w:hint="eastAsia" w:ascii="仿宋_GB2312" w:hAnsi="宋体"/>
                <w:sz w:val="22"/>
                <w:szCs w:val="22"/>
              </w:rPr>
              <w:t>年检结论为“暂缓通过”或“不通过”。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382" w:type="dxa"/>
            <w:vMerge w:val="continue"/>
            <w:noWrap w:val="0"/>
            <w:vAlign w:val="top"/>
          </w:tcPr>
          <w:p>
            <w:pPr>
              <w:spacing w:line="280" w:lineRule="exact"/>
              <w:rPr>
                <w:rFonts w:ascii="仿宋_GB2312" w:hAnsi="宋体"/>
                <w:b/>
                <w:sz w:val="24"/>
              </w:rPr>
            </w:pPr>
          </w:p>
        </w:tc>
        <w:tc>
          <w:tcPr>
            <w:tcW w:w="1737" w:type="dxa"/>
            <w:noWrap w:val="0"/>
            <w:vAlign w:val="center"/>
          </w:tcPr>
          <w:p>
            <w:pPr>
              <w:spacing w:line="280" w:lineRule="exact"/>
              <w:rPr>
                <w:rFonts w:ascii="仿宋_GB2312" w:hAnsi="宋体"/>
                <w:b/>
                <w:sz w:val="22"/>
                <w:szCs w:val="22"/>
              </w:rPr>
            </w:pPr>
            <w:r>
              <w:rPr>
                <w:rFonts w:ascii="仿宋_GB2312" w:hAnsi="宋体" w:cs="仿宋_GB2312"/>
                <w:b/>
                <w:bCs/>
                <w:color w:val="000000"/>
                <w:sz w:val="24"/>
              </w:rPr>
              <w:t>1</w:t>
            </w:r>
            <w:r>
              <w:rPr>
                <w:rFonts w:hint="eastAsia" w:ascii="仿宋_GB2312" w:hAnsi="宋体" w:cs="仿宋_GB2312"/>
                <w:b/>
                <w:bCs/>
                <w:color w:val="000000"/>
                <w:sz w:val="24"/>
              </w:rPr>
              <w:t>7</w:t>
            </w:r>
            <w:r>
              <w:rPr>
                <w:rFonts w:ascii="仿宋_GB2312" w:hAnsi="宋体" w:cs="仿宋_GB2312"/>
                <w:b/>
                <w:bCs/>
                <w:color w:val="000000"/>
                <w:sz w:val="24"/>
              </w:rPr>
              <w:t>.</w:t>
            </w:r>
            <w:r>
              <w:rPr>
                <w:rFonts w:hint="eastAsia" w:ascii="仿宋_GB2312" w:hAnsi="宋体" w:cs="仿宋_GB2312"/>
                <w:b/>
                <w:bCs/>
                <w:color w:val="000000"/>
                <w:sz w:val="24"/>
              </w:rPr>
              <w:t>思想政治工作</w:t>
            </w:r>
          </w:p>
        </w:tc>
        <w:tc>
          <w:tcPr>
            <w:tcW w:w="4111" w:type="dxa"/>
            <w:noWrap w:val="0"/>
            <w:vAlign w:val="top"/>
          </w:tcPr>
          <w:p>
            <w:pPr>
              <w:spacing w:line="280" w:lineRule="exact"/>
              <w:rPr>
                <w:rFonts w:ascii="仿宋_GB2312" w:hAnsi="宋体"/>
                <w:sz w:val="22"/>
                <w:szCs w:val="22"/>
              </w:rPr>
            </w:pPr>
            <w:r>
              <w:rPr>
                <w:rFonts w:hint="eastAsia" w:ascii="仿宋_GB2312" w:hAnsi="Calibri" w:cs="仿宋_GB2312"/>
                <w:bCs/>
                <w:color w:val="000000"/>
                <w:sz w:val="24"/>
              </w:rPr>
              <w:t>党组织领导学校思想政治工作，加强分析研判，及时研究解决重要问题；牢牢掌握意识形态工作领导权，巩固学校思想文化和意识形态阵地；推动社会主义核心价值观进课堂、进教材、进头脑；准确把握学生思想动态，有针对性地做好学生思想政治工作；建立并落实师德师风评估制度，坚决落实师德“一票否决制”；领导和支持工会、教职工（代表）大会、共青团、学生会等群团组织工作；积极开展精神文明创建活动。</w:t>
            </w:r>
          </w:p>
        </w:tc>
        <w:tc>
          <w:tcPr>
            <w:tcW w:w="3685" w:type="dxa"/>
            <w:noWrap w:val="0"/>
            <w:vAlign w:val="top"/>
          </w:tcPr>
          <w:p>
            <w:pPr>
              <w:jc w:val="left"/>
              <w:rPr>
                <w:rFonts w:ascii="仿宋_GB2312" w:hAnsi="宋体" w:cs="仿宋_GB2312"/>
                <w:bCs/>
                <w:color w:val="000000"/>
                <w:sz w:val="24"/>
              </w:rPr>
            </w:pPr>
            <w:r>
              <w:rPr>
                <w:rFonts w:ascii="仿宋_GB2312" w:hAnsi="宋体" w:cs="仿宋_GB2312"/>
                <w:bCs/>
                <w:color w:val="000000"/>
                <w:sz w:val="24"/>
              </w:rPr>
              <w:t>1.</w:t>
            </w:r>
            <w:r>
              <w:rPr>
                <w:rFonts w:hint="eastAsia" w:ascii="仿宋_GB2312" w:hAnsi="宋体" w:cs="仿宋_GB2312"/>
                <w:bCs/>
                <w:color w:val="000000"/>
                <w:sz w:val="24"/>
              </w:rPr>
              <w:t>《中国共产党章程》</w:t>
            </w:r>
          </w:p>
          <w:p>
            <w:pPr>
              <w:spacing w:line="280" w:lineRule="exact"/>
              <w:rPr>
                <w:rFonts w:ascii="仿宋_GB2312" w:hAnsi="Calibri" w:cs="仿宋_GB2312"/>
                <w:bCs/>
                <w:spacing w:val="-8"/>
                <w:sz w:val="22"/>
                <w:szCs w:val="22"/>
              </w:rPr>
            </w:pPr>
            <w:r>
              <w:rPr>
                <w:rFonts w:ascii="仿宋_GB2312" w:hAnsi="宋体" w:cs="仿宋_GB2312"/>
                <w:bCs/>
                <w:color w:val="000000"/>
                <w:sz w:val="24"/>
              </w:rPr>
              <w:t>2.</w:t>
            </w:r>
            <w:r>
              <w:rPr>
                <w:rFonts w:hint="eastAsia" w:ascii="仿宋_GB2312" w:hAnsi="宋体" w:cs="仿宋_GB2312"/>
                <w:bCs/>
                <w:color w:val="000000"/>
                <w:sz w:val="24"/>
              </w:rPr>
              <w:t>《北京市贯彻落实〈关于加强民办学校党的建设工作的意见（试行）〉实施方案》（京组通﹝</w:t>
            </w:r>
            <w:r>
              <w:rPr>
                <w:rFonts w:ascii="仿宋_GB2312" w:hAnsi="宋体" w:cs="仿宋_GB2312"/>
                <w:bCs/>
                <w:color w:val="000000"/>
                <w:sz w:val="24"/>
              </w:rPr>
              <w:t>20</w:t>
            </w:r>
            <w:r>
              <w:rPr>
                <w:rFonts w:hint="eastAsia" w:ascii="仿宋_GB2312" w:hAnsi="宋体" w:cs="仿宋_GB2312"/>
                <w:bCs/>
                <w:color w:val="000000"/>
                <w:sz w:val="24"/>
              </w:rPr>
              <w:t>17﹞43号）</w:t>
            </w:r>
          </w:p>
        </w:tc>
        <w:tc>
          <w:tcPr>
            <w:tcW w:w="2410" w:type="dxa"/>
            <w:noWrap w:val="0"/>
            <w:vAlign w:val="top"/>
          </w:tcPr>
          <w:p>
            <w:pPr>
              <w:tabs>
                <w:tab w:val="left" w:pos="825"/>
              </w:tabs>
              <w:rPr>
                <w:rFonts w:ascii="仿宋_GB2312" w:hAnsi="Calibri" w:cs="仿宋_GB2312"/>
                <w:bCs/>
                <w:color w:val="000000"/>
                <w:sz w:val="24"/>
              </w:rPr>
            </w:pPr>
            <w:r>
              <w:rPr>
                <w:rFonts w:hint="eastAsia" w:ascii="仿宋_GB2312" w:hAnsi="Calibri" w:cs="仿宋_GB2312"/>
                <w:bCs/>
                <w:color w:val="000000"/>
                <w:sz w:val="24"/>
              </w:rPr>
              <w:t>1.自查报告应说明当年开展思想政治工作的基本思路、总体要求、主要措施及实际效果。</w:t>
            </w:r>
          </w:p>
          <w:p>
            <w:pPr>
              <w:tabs>
                <w:tab w:val="left" w:pos="825"/>
              </w:tabs>
              <w:spacing w:line="280" w:lineRule="exact"/>
              <w:rPr>
                <w:rFonts w:ascii="仿宋_GB2312" w:hAnsi="宋体"/>
                <w:sz w:val="22"/>
                <w:szCs w:val="22"/>
              </w:rPr>
            </w:pPr>
            <w:r>
              <w:rPr>
                <w:rFonts w:hint="eastAsia" w:ascii="仿宋_GB2312" w:hAnsi="Calibri" w:cs="仿宋_GB2312"/>
                <w:bCs/>
                <w:color w:val="000000"/>
                <w:sz w:val="24"/>
              </w:rPr>
              <w:t>2.提供党组织研究思想政治工作的会议记录复印件。（</w:t>
            </w:r>
            <w:r>
              <w:rPr>
                <w:rFonts w:hint="eastAsia" w:ascii="仿宋_GB2312" w:hAnsi="Calibri" w:cs="仿宋_GB2312"/>
                <w:b/>
                <w:bCs/>
                <w:color w:val="000000"/>
                <w:sz w:val="24"/>
              </w:rPr>
              <w:t>自查报告附件11</w:t>
            </w:r>
            <w:r>
              <w:rPr>
                <w:rFonts w:hint="eastAsia" w:ascii="仿宋_GB2312" w:hAnsi="Calibri" w:cs="仿宋_GB2312"/>
                <w:bCs/>
                <w:color w:val="000000"/>
                <w:sz w:val="24"/>
              </w:rPr>
              <w:t>）</w:t>
            </w:r>
          </w:p>
        </w:tc>
        <w:tc>
          <w:tcPr>
            <w:tcW w:w="2126" w:type="dxa"/>
            <w:noWrap w:val="0"/>
            <w:vAlign w:val="top"/>
          </w:tcPr>
          <w:p>
            <w:pPr>
              <w:spacing w:line="280" w:lineRule="exact"/>
              <w:rPr>
                <w:rFonts w:ascii="仿宋_GB2312" w:hAns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382" w:type="dxa"/>
            <w:vMerge w:val="continue"/>
            <w:noWrap w:val="0"/>
            <w:vAlign w:val="top"/>
          </w:tcPr>
          <w:p>
            <w:pPr>
              <w:spacing w:line="280" w:lineRule="exact"/>
              <w:rPr>
                <w:rFonts w:ascii="宋体" w:hAnsi="宋体" w:eastAsia="宋体"/>
                <w:sz w:val="24"/>
              </w:rPr>
            </w:pPr>
          </w:p>
        </w:tc>
        <w:tc>
          <w:tcPr>
            <w:tcW w:w="1737" w:type="dxa"/>
            <w:noWrap w:val="0"/>
            <w:vAlign w:val="center"/>
          </w:tcPr>
          <w:p>
            <w:pPr>
              <w:spacing w:line="280" w:lineRule="exact"/>
              <w:rPr>
                <w:rFonts w:ascii="宋体" w:hAnsi="宋体" w:eastAsia="宋体"/>
                <w:b/>
                <w:sz w:val="24"/>
              </w:rPr>
            </w:pPr>
            <w:r>
              <w:rPr>
                <w:rFonts w:ascii="宋体" w:hAnsi="宋体" w:eastAsia="宋体" w:cs="宋体"/>
                <w:b/>
                <w:bCs/>
                <w:color w:val="000000"/>
                <w:sz w:val="24"/>
              </w:rPr>
              <w:t>1</w:t>
            </w:r>
            <w:r>
              <w:rPr>
                <w:rFonts w:hint="eastAsia" w:ascii="宋体" w:hAnsi="宋体" w:eastAsia="宋体" w:cs="宋体"/>
                <w:b/>
                <w:bCs/>
                <w:color w:val="000000"/>
                <w:sz w:val="24"/>
              </w:rPr>
              <w:t>8</w:t>
            </w:r>
            <w:r>
              <w:rPr>
                <w:rFonts w:ascii="宋体" w:hAnsi="宋体" w:eastAsia="宋体" w:cs="宋体"/>
                <w:b/>
                <w:bCs/>
                <w:color w:val="000000"/>
                <w:sz w:val="24"/>
              </w:rPr>
              <w:t>.</w:t>
            </w:r>
            <w:r>
              <w:rPr>
                <w:rFonts w:hint="eastAsia" w:ascii="仿宋_GB2312" w:hAnsi="Calibri" w:cs="仿宋_GB2312"/>
                <w:b/>
                <w:bCs/>
                <w:color w:val="000000"/>
                <w:sz w:val="24"/>
              </w:rPr>
              <w:t>条件保障</w:t>
            </w:r>
          </w:p>
        </w:tc>
        <w:tc>
          <w:tcPr>
            <w:tcW w:w="4111" w:type="dxa"/>
            <w:noWrap w:val="0"/>
            <w:vAlign w:val="top"/>
          </w:tcPr>
          <w:p>
            <w:pPr>
              <w:spacing w:line="280" w:lineRule="exact"/>
              <w:rPr>
                <w:rFonts w:ascii="仿宋_GB2312" w:hAnsi="宋体"/>
                <w:sz w:val="22"/>
                <w:szCs w:val="22"/>
              </w:rPr>
            </w:pPr>
            <w:r>
              <w:rPr>
                <w:rFonts w:hint="eastAsia" w:ascii="仿宋_GB2312" w:hAnsi="Calibri" w:cs="仿宋_GB2312"/>
                <w:bCs/>
                <w:color w:val="000000"/>
                <w:sz w:val="24"/>
              </w:rPr>
              <w:t>决策机构、校行政领导班子支持党建工作，保证党组织的话语权；党组织有必要的办公场所、设施、设备和活动场所,</w:t>
            </w:r>
            <w:r>
              <w:rPr>
                <w:rFonts w:hint="eastAsia" w:ascii="Calibri" w:hAnsi="Calibri" w:cs="仿宋_GB2312"/>
                <w:bCs/>
                <w:color w:val="000000"/>
                <w:sz w:val="24"/>
              </w:rPr>
              <w:t>设</w:t>
            </w:r>
            <w:r>
              <w:rPr>
                <w:rFonts w:hint="eastAsia" w:ascii="仿宋_GB2312" w:hAnsi="Calibri" w:cs="仿宋_GB2312"/>
                <w:bCs/>
                <w:color w:val="000000"/>
                <w:sz w:val="24"/>
              </w:rPr>
              <w:t>党委的有必要的职能部门；党建工作经费纳入学校年度预算，党建和思想政治教育活动有必要的经费保障；辅导员、班主任、思政课教师</w:t>
            </w:r>
            <w:r>
              <w:rPr>
                <w:rFonts w:hint="eastAsia" w:ascii="Calibri" w:hAnsi="Calibri" w:cs="仿宋_GB2312"/>
                <w:bCs/>
                <w:color w:val="000000"/>
                <w:sz w:val="24"/>
              </w:rPr>
              <w:t>和党务干部</w:t>
            </w:r>
            <w:r>
              <w:rPr>
                <w:rFonts w:hint="eastAsia" w:ascii="仿宋_GB2312" w:hAnsi="Calibri" w:cs="仿宋_GB2312"/>
                <w:bCs/>
                <w:color w:val="000000"/>
                <w:sz w:val="24"/>
              </w:rPr>
              <w:t>等队伍健全，落实相应待遇。</w:t>
            </w:r>
          </w:p>
        </w:tc>
        <w:tc>
          <w:tcPr>
            <w:tcW w:w="3685" w:type="dxa"/>
            <w:noWrap w:val="0"/>
            <w:vAlign w:val="top"/>
          </w:tcPr>
          <w:p>
            <w:pPr>
              <w:jc w:val="left"/>
              <w:rPr>
                <w:rFonts w:ascii="仿宋_GB2312" w:hAnsi="宋体" w:cs="仿宋_GB2312"/>
                <w:bCs/>
                <w:color w:val="000000"/>
                <w:sz w:val="24"/>
              </w:rPr>
            </w:pPr>
            <w:r>
              <w:rPr>
                <w:rFonts w:ascii="仿宋_GB2312" w:hAnsi="宋体" w:cs="仿宋_GB2312"/>
                <w:bCs/>
                <w:color w:val="000000"/>
                <w:sz w:val="24"/>
              </w:rPr>
              <w:t>1.</w:t>
            </w:r>
            <w:r>
              <w:rPr>
                <w:rFonts w:hint="eastAsia" w:ascii="仿宋_GB2312" w:hAnsi="宋体" w:cs="仿宋_GB2312"/>
                <w:bCs/>
                <w:color w:val="000000"/>
                <w:sz w:val="24"/>
              </w:rPr>
              <w:t>《中国共产党章程》</w:t>
            </w:r>
          </w:p>
          <w:p>
            <w:pPr>
              <w:spacing w:line="280" w:lineRule="exact"/>
              <w:rPr>
                <w:rFonts w:ascii="仿宋_GB2312" w:hAnsi="宋体"/>
                <w:sz w:val="22"/>
                <w:szCs w:val="22"/>
              </w:rPr>
            </w:pPr>
            <w:r>
              <w:rPr>
                <w:rFonts w:ascii="仿宋_GB2312" w:hAnsi="宋体" w:cs="仿宋_GB2312"/>
                <w:bCs/>
                <w:color w:val="000000"/>
                <w:sz w:val="24"/>
              </w:rPr>
              <w:t>2.</w:t>
            </w:r>
            <w:r>
              <w:rPr>
                <w:rFonts w:hint="eastAsia" w:ascii="仿宋_GB2312" w:hAnsi="宋体" w:cs="仿宋_GB2312"/>
                <w:bCs/>
                <w:color w:val="000000"/>
                <w:sz w:val="24"/>
              </w:rPr>
              <w:t>《北京市贯彻落实〈关于加强民办学校党的建设工作的意见（试行）〉实施方案》（京组通﹝</w:t>
            </w:r>
            <w:r>
              <w:rPr>
                <w:rFonts w:ascii="仿宋_GB2312" w:hAnsi="宋体" w:cs="仿宋_GB2312"/>
                <w:bCs/>
                <w:color w:val="000000"/>
                <w:sz w:val="24"/>
              </w:rPr>
              <w:t>20</w:t>
            </w:r>
            <w:r>
              <w:rPr>
                <w:rFonts w:hint="eastAsia" w:ascii="仿宋_GB2312" w:hAnsi="宋体" w:cs="仿宋_GB2312"/>
                <w:bCs/>
                <w:color w:val="000000"/>
                <w:sz w:val="24"/>
              </w:rPr>
              <w:t>17﹞43号）</w:t>
            </w:r>
          </w:p>
        </w:tc>
        <w:tc>
          <w:tcPr>
            <w:tcW w:w="2410" w:type="dxa"/>
            <w:noWrap w:val="0"/>
            <w:vAlign w:val="top"/>
          </w:tcPr>
          <w:p>
            <w:pPr>
              <w:tabs>
                <w:tab w:val="left" w:pos="825"/>
              </w:tabs>
              <w:spacing w:line="280" w:lineRule="exact"/>
              <w:rPr>
                <w:rFonts w:ascii="仿宋_GB2312" w:hAnsi="Calibri" w:cs="仿宋_GB2312"/>
                <w:b/>
                <w:bCs/>
                <w:color w:val="000000"/>
                <w:sz w:val="24"/>
              </w:rPr>
            </w:pPr>
            <w:r>
              <w:rPr>
                <w:rFonts w:hint="eastAsia" w:ascii="仿宋_GB2312" w:hAnsi="Calibri" w:cs="仿宋_GB2312"/>
                <w:bCs/>
                <w:color w:val="000000"/>
                <w:sz w:val="24"/>
              </w:rPr>
              <w:t>提供学校决策机构与行政领导班子支持党建工作会议纪要及指示记录复印件；党委职能部门的设置文件复印件；财务年度预算决算复印件；辅导员、班主任、思政课教师</w:t>
            </w:r>
            <w:r>
              <w:rPr>
                <w:rFonts w:hint="eastAsia" w:ascii="Calibri" w:hAnsi="Calibri" w:cs="仿宋_GB2312"/>
                <w:bCs/>
                <w:color w:val="000000"/>
                <w:sz w:val="24"/>
              </w:rPr>
              <w:t>和党务干部</w:t>
            </w:r>
            <w:r>
              <w:rPr>
                <w:rFonts w:hint="eastAsia" w:ascii="仿宋_GB2312" w:hAnsi="Calibri" w:cs="仿宋_GB2312"/>
                <w:bCs/>
                <w:color w:val="000000"/>
                <w:sz w:val="24"/>
              </w:rPr>
              <w:t>等队伍</w:t>
            </w:r>
            <w:r>
              <w:rPr>
                <w:rFonts w:hint="eastAsia" w:ascii="Calibri" w:hAnsi="Calibri" w:cs="仿宋_GB2312"/>
                <w:bCs/>
                <w:color w:val="000000"/>
                <w:sz w:val="24"/>
              </w:rPr>
              <w:t>名册</w:t>
            </w:r>
            <w:r>
              <w:rPr>
                <w:rFonts w:hint="eastAsia" w:ascii="仿宋_GB2312" w:hAnsi="Calibri" w:cs="仿宋_GB2312"/>
                <w:bCs/>
                <w:color w:val="000000"/>
                <w:sz w:val="24"/>
              </w:rPr>
              <w:t>，辅导员津贴发放表及专兼职党务工作人员待遇发放表复印件。</w:t>
            </w:r>
            <w:r>
              <w:rPr>
                <w:rFonts w:hint="eastAsia" w:ascii="仿宋_GB2312" w:hAnsi="Calibri" w:cs="仿宋_GB2312"/>
                <w:b/>
                <w:bCs/>
                <w:color w:val="000000"/>
                <w:sz w:val="24"/>
              </w:rPr>
              <w:t>（自查报告附件12）</w:t>
            </w:r>
          </w:p>
          <w:p>
            <w:pPr>
              <w:tabs>
                <w:tab w:val="left" w:pos="825"/>
              </w:tabs>
              <w:spacing w:line="280" w:lineRule="exact"/>
              <w:rPr>
                <w:rFonts w:ascii="仿宋_GB2312" w:hAnsi="Calibri" w:cs="仿宋_GB2312"/>
                <w:bCs/>
                <w:spacing w:val="-4"/>
                <w:sz w:val="22"/>
                <w:szCs w:val="22"/>
              </w:rPr>
            </w:pPr>
          </w:p>
        </w:tc>
        <w:tc>
          <w:tcPr>
            <w:tcW w:w="2126" w:type="dxa"/>
            <w:noWrap w:val="0"/>
            <w:vAlign w:val="top"/>
          </w:tcPr>
          <w:p>
            <w:pPr>
              <w:spacing w:line="280" w:lineRule="exact"/>
              <w:rPr>
                <w:rFonts w:ascii="仿宋_GB2312" w:hAns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382" w:type="dxa"/>
            <w:vMerge w:val="restart"/>
            <w:noWrap w:val="0"/>
            <w:vAlign w:val="center"/>
          </w:tcPr>
          <w:p>
            <w:pPr>
              <w:spacing w:line="280" w:lineRule="exact"/>
              <w:jc w:val="center"/>
              <w:rPr>
                <w:rFonts w:ascii="仿宋_GB2312" w:hAnsi="Calibri" w:cs="仿宋_GB2312"/>
                <w:b/>
                <w:bCs/>
                <w:sz w:val="24"/>
              </w:rPr>
            </w:pPr>
            <w:r>
              <w:rPr>
                <w:rFonts w:hint="eastAsia" w:ascii="仿宋_GB2312" w:hAnsi="Calibri" w:cs="仿宋_GB2312"/>
                <w:b/>
                <w:bCs/>
                <w:sz w:val="24"/>
              </w:rPr>
              <w:t>七、安全稳定工作</w:t>
            </w:r>
          </w:p>
          <w:p>
            <w:pPr>
              <w:spacing w:line="280" w:lineRule="exact"/>
              <w:jc w:val="center"/>
              <w:rPr>
                <w:rFonts w:ascii="仿宋_GB2312" w:hAnsi="Calibri" w:cs="仿宋_GB2312"/>
                <w:bCs/>
                <w:sz w:val="24"/>
              </w:rPr>
            </w:pPr>
          </w:p>
        </w:tc>
        <w:tc>
          <w:tcPr>
            <w:tcW w:w="1737" w:type="dxa"/>
            <w:noWrap w:val="0"/>
            <w:vAlign w:val="center"/>
          </w:tcPr>
          <w:p>
            <w:pPr>
              <w:spacing w:line="280" w:lineRule="exact"/>
              <w:rPr>
                <w:rFonts w:ascii="仿宋_GB2312" w:hAnsi="Calibri" w:cs="仿宋_GB2312"/>
                <w:b/>
                <w:bCs/>
                <w:sz w:val="24"/>
              </w:rPr>
            </w:pPr>
            <w:r>
              <w:rPr>
                <w:rFonts w:hint="eastAsia" w:ascii="仿宋_GB2312" w:hAnsi="Calibri" w:cs="仿宋_GB2312"/>
                <w:b/>
                <w:bCs/>
                <w:sz w:val="24"/>
              </w:rPr>
              <w:t>19.组织领导与条件保障</w:t>
            </w:r>
          </w:p>
        </w:tc>
        <w:tc>
          <w:tcPr>
            <w:tcW w:w="4111" w:type="dxa"/>
            <w:noWrap w:val="0"/>
            <w:vAlign w:val="top"/>
          </w:tcPr>
          <w:p>
            <w:pPr>
              <w:widowControl/>
              <w:spacing w:line="280" w:lineRule="exact"/>
              <w:jc w:val="left"/>
              <w:rPr>
                <w:rFonts w:ascii="仿宋_GB2312" w:hAnsi="Calibri" w:cs="仿宋_GB2312"/>
                <w:bCs/>
                <w:sz w:val="22"/>
                <w:szCs w:val="22"/>
              </w:rPr>
            </w:pPr>
            <w:r>
              <w:rPr>
                <w:rFonts w:hint="eastAsia" w:ascii="仿宋_GB2312" w:hAnsi="Calibri" w:cs="仿宋_GB2312"/>
                <w:bCs/>
                <w:sz w:val="22"/>
                <w:szCs w:val="22"/>
              </w:rPr>
              <w:t>1.高度重视维护安全稳定工作，落实安全稳定主体责任，认真贯彻落实中央和市委有关指示精神，定期研判学校安全稳定形势，推动安全稳定各项工作落实到位。</w:t>
            </w:r>
          </w:p>
          <w:p>
            <w:pPr>
              <w:widowControl/>
              <w:spacing w:line="280" w:lineRule="exact"/>
              <w:jc w:val="left"/>
              <w:rPr>
                <w:rFonts w:ascii="仿宋_GB2312" w:hAnsi="Calibri" w:cs="仿宋_GB2312"/>
                <w:bCs/>
                <w:sz w:val="22"/>
                <w:szCs w:val="22"/>
              </w:rPr>
            </w:pPr>
            <w:r>
              <w:rPr>
                <w:rFonts w:hint="eastAsia" w:ascii="仿宋_GB2312" w:hAnsi="Calibri" w:cs="仿宋_GB2312"/>
                <w:bCs/>
                <w:sz w:val="22"/>
                <w:szCs w:val="22"/>
              </w:rPr>
              <w:t>2.学校设有专门的安全稳定工作部门，院（系）有负责安全稳定工作的干部，聘请有资质的专职保安人员承担校园安全保卫任务。</w:t>
            </w:r>
          </w:p>
          <w:p>
            <w:pPr>
              <w:widowControl/>
              <w:spacing w:line="280" w:lineRule="exact"/>
              <w:jc w:val="left"/>
              <w:rPr>
                <w:rFonts w:ascii="仿宋_GB2312" w:hAnsi="Calibri" w:cs="仿宋_GB2312"/>
                <w:bCs/>
                <w:sz w:val="22"/>
                <w:szCs w:val="22"/>
              </w:rPr>
            </w:pPr>
            <w:r>
              <w:rPr>
                <w:rFonts w:hint="eastAsia" w:ascii="仿宋_GB2312" w:hAnsi="Calibri" w:cs="仿宋_GB2312"/>
                <w:bCs/>
                <w:sz w:val="22"/>
                <w:szCs w:val="22"/>
              </w:rPr>
              <w:t>3.每年对专兼职保卫干部做好培训。</w:t>
            </w:r>
          </w:p>
          <w:p>
            <w:pPr>
              <w:spacing w:line="280" w:lineRule="exact"/>
              <w:jc w:val="left"/>
              <w:rPr>
                <w:rFonts w:ascii="仿宋_GB2312" w:hAnsi="Calibri" w:cs="仿宋_GB2312"/>
                <w:bCs/>
                <w:spacing w:val="-10"/>
                <w:sz w:val="22"/>
                <w:szCs w:val="22"/>
              </w:rPr>
            </w:pPr>
            <w:r>
              <w:rPr>
                <w:rFonts w:hint="eastAsia" w:ascii="仿宋_GB2312" w:hAnsi="Calibri" w:cs="仿宋_GB2312"/>
                <w:bCs/>
                <w:spacing w:val="-10"/>
                <w:sz w:val="22"/>
                <w:szCs w:val="22"/>
              </w:rPr>
              <w:t>4.设立开展校园安全稳定工作的保障经费。</w:t>
            </w:r>
          </w:p>
          <w:p>
            <w:pPr>
              <w:spacing w:line="280" w:lineRule="exact"/>
              <w:jc w:val="left"/>
              <w:rPr>
                <w:rFonts w:ascii="仿宋_GB2312" w:hAnsi="Calibri" w:cs="仿宋_GB2312"/>
                <w:bCs/>
                <w:sz w:val="22"/>
                <w:szCs w:val="22"/>
              </w:rPr>
            </w:pPr>
            <w:r>
              <w:rPr>
                <w:rFonts w:hint="eastAsia" w:ascii="仿宋_GB2312" w:hAnsi="Calibri" w:cs="仿宋_GB2312"/>
                <w:bCs/>
                <w:sz w:val="22"/>
                <w:szCs w:val="22"/>
              </w:rPr>
              <w:t>5. 非全日制民办非学历高等教育机构应结合实际加强安全稳定组织保障。</w:t>
            </w:r>
          </w:p>
        </w:tc>
        <w:tc>
          <w:tcPr>
            <w:tcW w:w="3685" w:type="dxa"/>
            <w:noWrap w:val="0"/>
            <w:vAlign w:val="top"/>
          </w:tcPr>
          <w:p>
            <w:pPr>
              <w:tabs>
                <w:tab w:val="left" w:pos="360"/>
                <w:tab w:val="left" w:pos="8460"/>
                <w:tab w:val="left" w:pos="8640"/>
              </w:tabs>
              <w:spacing w:line="280" w:lineRule="exact"/>
              <w:jc w:val="left"/>
              <w:rPr>
                <w:rFonts w:ascii="仿宋_GB2312" w:hAnsi="Calibri" w:cs="仿宋_GB2312"/>
                <w:bCs/>
                <w:sz w:val="22"/>
                <w:szCs w:val="22"/>
              </w:rPr>
            </w:pPr>
            <w:r>
              <w:rPr>
                <w:rFonts w:hint="eastAsia" w:ascii="仿宋_GB2312" w:hAnsi="Calibri" w:cs="仿宋_GB2312"/>
                <w:bCs/>
                <w:sz w:val="22"/>
                <w:szCs w:val="22"/>
              </w:rPr>
              <w:t>1.《民办高等学校办学管理若干规定》（教育部令25号）</w:t>
            </w:r>
          </w:p>
          <w:p>
            <w:pPr>
              <w:tabs>
                <w:tab w:val="left" w:pos="360"/>
                <w:tab w:val="left" w:pos="8460"/>
                <w:tab w:val="left" w:pos="8640"/>
              </w:tabs>
              <w:spacing w:line="280" w:lineRule="exact"/>
              <w:jc w:val="left"/>
              <w:rPr>
                <w:rFonts w:ascii="仿宋_GB2312" w:hAnsi="Calibri" w:cs="仿宋_GB2312"/>
                <w:bCs/>
                <w:sz w:val="22"/>
                <w:szCs w:val="22"/>
              </w:rPr>
            </w:pPr>
            <w:r>
              <w:rPr>
                <w:rFonts w:hint="eastAsia" w:ascii="仿宋_GB2312" w:hAnsi="Calibri" w:cs="仿宋_GB2312"/>
                <w:bCs/>
                <w:sz w:val="22"/>
                <w:szCs w:val="22"/>
              </w:rPr>
              <w:t>2.《北京市实施&lt;民办教育促进法&gt;办法》</w:t>
            </w:r>
          </w:p>
          <w:p>
            <w:pPr>
              <w:tabs>
                <w:tab w:val="left" w:pos="360"/>
                <w:tab w:val="left" w:pos="8460"/>
                <w:tab w:val="left" w:pos="8640"/>
              </w:tabs>
              <w:spacing w:after="120" w:afterLines="50" w:line="280" w:lineRule="exact"/>
              <w:jc w:val="left"/>
              <w:rPr>
                <w:rFonts w:ascii="仿宋_GB2312" w:hAnsi="Calibri" w:cs="仿宋_GB2312"/>
                <w:bCs/>
                <w:sz w:val="22"/>
                <w:szCs w:val="22"/>
              </w:rPr>
            </w:pPr>
          </w:p>
        </w:tc>
        <w:tc>
          <w:tcPr>
            <w:tcW w:w="2410" w:type="dxa"/>
            <w:noWrap w:val="0"/>
            <w:vAlign w:val="top"/>
          </w:tcPr>
          <w:p>
            <w:pPr>
              <w:spacing w:line="280" w:lineRule="exact"/>
              <w:jc w:val="left"/>
              <w:rPr>
                <w:rFonts w:ascii="仿宋_GB2312" w:hAnsi="Calibri" w:cs="仿宋_GB2312"/>
                <w:bCs/>
                <w:sz w:val="22"/>
                <w:szCs w:val="22"/>
              </w:rPr>
            </w:pPr>
            <w:r>
              <w:rPr>
                <w:rFonts w:hint="eastAsia" w:ascii="仿宋_GB2312" w:hAnsi="Calibri" w:cs="仿宋_GB2312"/>
                <w:bCs/>
                <w:sz w:val="22"/>
                <w:szCs w:val="22"/>
              </w:rPr>
              <w:t>自查报告中应说明安全稳定工作部门、队伍建设及培训、经费投入等情况。</w:t>
            </w:r>
          </w:p>
        </w:tc>
        <w:tc>
          <w:tcPr>
            <w:tcW w:w="2126" w:type="dxa"/>
            <w:noWrap w:val="0"/>
            <w:vAlign w:val="top"/>
          </w:tcPr>
          <w:p>
            <w:pPr>
              <w:spacing w:line="280" w:lineRule="exact"/>
              <w:jc w:val="left"/>
              <w:rPr>
                <w:rFonts w:ascii="仿宋_GB2312" w:hAnsi="Calibri" w:cs="仿宋_GB2312"/>
                <w:bCs/>
                <w:sz w:val="22"/>
                <w:szCs w:val="22"/>
              </w:rPr>
            </w:pPr>
            <w:bookmarkStart w:id="0" w:name="OLE_LINK3"/>
            <w:bookmarkStart w:id="1" w:name="OLE_LINK4"/>
            <w:r>
              <w:rPr>
                <w:rFonts w:hint="eastAsia" w:ascii="仿宋_GB2312" w:hAnsi="宋体"/>
                <w:sz w:val="22"/>
                <w:szCs w:val="22"/>
              </w:rPr>
              <w:t>★民办学历高校和全日制民办非学历高等教育机构无安全稳定工作机构、未配备专职保卫干部的，年检结论不可为“通过”，视情况，年检结论为“暂缓通过”或“不通过”</w:t>
            </w:r>
            <w:bookmarkEnd w:id="0"/>
            <w:bookmarkEnd w:id="1"/>
            <w:r>
              <w:rPr>
                <w:rFonts w:hint="eastAsia" w:ascii="仿宋_GB2312" w:hAnsi="宋体"/>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382" w:type="dxa"/>
            <w:vMerge w:val="continue"/>
            <w:noWrap w:val="0"/>
            <w:vAlign w:val="top"/>
          </w:tcPr>
          <w:p>
            <w:pPr>
              <w:spacing w:line="280" w:lineRule="exact"/>
              <w:rPr>
                <w:rFonts w:ascii="仿宋_GB2312" w:hAnsi="Calibri" w:cs="仿宋_GB2312"/>
                <w:bCs/>
                <w:sz w:val="24"/>
              </w:rPr>
            </w:pPr>
          </w:p>
        </w:tc>
        <w:tc>
          <w:tcPr>
            <w:tcW w:w="1737" w:type="dxa"/>
            <w:noWrap w:val="0"/>
            <w:vAlign w:val="center"/>
          </w:tcPr>
          <w:p>
            <w:pPr>
              <w:spacing w:line="280" w:lineRule="exact"/>
              <w:rPr>
                <w:rFonts w:ascii="仿宋_GB2312" w:hAnsi="Calibri" w:cs="仿宋_GB2312"/>
                <w:b/>
                <w:bCs/>
                <w:sz w:val="24"/>
              </w:rPr>
            </w:pPr>
            <w:r>
              <w:rPr>
                <w:rFonts w:hint="eastAsia" w:ascii="仿宋_GB2312" w:hAnsi="Calibri" w:cs="仿宋_GB2312"/>
                <w:b/>
                <w:bCs/>
                <w:sz w:val="24"/>
              </w:rPr>
              <w:t>20．维护稳定工作</w:t>
            </w:r>
          </w:p>
        </w:tc>
        <w:tc>
          <w:tcPr>
            <w:tcW w:w="4111" w:type="dxa"/>
            <w:noWrap w:val="0"/>
            <w:vAlign w:val="top"/>
          </w:tcPr>
          <w:p>
            <w:pPr>
              <w:spacing w:line="280" w:lineRule="exact"/>
              <w:jc w:val="left"/>
              <w:rPr>
                <w:rFonts w:ascii="仿宋_GB2312" w:hAnsi="Calibri" w:cs="仿宋_GB2312"/>
                <w:bCs/>
                <w:sz w:val="22"/>
                <w:szCs w:val="22"/>
              </w:rPr>
            </w:pPr>
            <w:r>
              <w:rPr>
                <w:rFonts w:hint="eastAsia" w:ascii="仿宋_GB2312" w:hAnsi="Calibri" w:cs="仿宋_GB2312"/>
                <w:bCs/>
                <w:sz w:val="22"/>
                <w:szCs w:val="22"/>
              </w:rPr>
              <w:t>1.高度重视意识形态领域工作，及时发现、妥善解决各类敏感问题，积极配合有关机关开展工作，坚决维护国家安全。</w:t>
            </w:r>
          </w:p>
          <w:p>
            <w:pPr>
              <w:spacing w:line="280" w:lineRule="exact"/>
              <w:jc w:val="left"/>
              <w:rPr>
                <w:rFonts w:ascii="仿宋_GB2312" w:hAnsi="Calibri" w:cs="仿宋_GB2312"/>
                <w:bCs/>
                <w:sz w:val="22"/>
                <w:szCs w:val="22"/>
              </w:rPr>
            </w:pPr>
            <w:r>
              <w:rPr>
                <w:rFonts w:hint="eastAsia" w:ascii="仿宋_GB2312" w:hAnsi="Calibri" w:cs="仿宋_GB2312"/>
                <w:bCs/>
                <w:sz w:val="22"/>
                <w:szCs w:val="22"/>
              </w:rPr>
              <w:t xml:space="preserve">2.做好各类矛盾纠纷排查化解工作，及时发现、妥善解决办学过程中出现的各类矛盾纠纷，坚决防止发生群体性事件、个人极端行为等突出问题。 </w:t>
            </w:r>
          </w:p>
          <w:p>
            <w:pPr>
              <w:spacing w:line="280" w:lineRule="exact"/>
              <w:jc w:val="left"/>
              <w:rPr>
                <w:rFonts w:ascii="仿宋_GB2312" w:hAnsi="Calibri" w:cs="仿宋_GB2312"/>
                <w:bCs/>
                <w:sz w:val="22"/>
                <w:szCs w:val="22"/>
              </w:rPr>
            </w:pPr>
            <w:r>
              <w:rPr>
                <w:rFonts w:hint="eastAsia" w:ascii="仿宋_GB2312" w:hAnsi="Calibri" w:cs="仿宋_GB2312"/>
                <w:bCs/>
                <w:sz w:val="22"/>
                <w:szCs w:val="22"/>
              </w:rPr>
              <w:t>3.密切关注、及时掌握师生思想动态和相关网络舆情，有针对性加强教育引导，及时解决涉及师生利益的相关问题，做好相关舆情应对工作，确保师生群体稳定。</w:t>
            </w:r>
          </w:p>
          <w:p>
            <w:pPr>
              <w:spacing w:line="280" w:lineRule="exact"/>
              <w:jc w:val="left"/>
              <w:rPr>
                <w:rFonts w:ascii="仿宋_GB2312" w:hAnsi="Calibri" w:cs="仿宋_GB2312"/>
                <w:bCs/>
                <w:sz w:val="22"/>
                <w:szCs w:val="22"/>
              </w:rPr>
            </w:pPr>
            <w:r>
              <w:rPr>
                <w:rFonts w:hint="eastAsia" w:ascii="仿宋_GB2312" w:hAnsi="Calibri" w:cs="仿宋_GB2312"/>
                <w:bCs/>
                <w:sz w:val="22"/>
                <w:szCs w:val="22"/>
              </w:rPr>
              <w:t>4.认真落实上级和属地要求，认真做好各重要节点维护安全稳定工作。</w:t>
            </w:r>
          </w:p>
          <w:p>
            <w:pPr>
              <w:spacing w:line="280" w:lineRule="exact"/>
              <w:jc w:val="left"/>
              <w:rPr>
                <w:rFonts w:ascii="仿宋_GB2312" w:hAnsi="Calibri" w:cs="仿宋_GB2312"/>
                <w:bCs/>
                <w:sz w:val="22"/>
                <w:szCs w:val="22"/>
              </w:rPr>
            </w:pPr>
          </w:p>
          <w:p>
            <w:pPr>
              <w:spacing w:line="280" w:lineRule="exact"/>
              <w:jc w:val="left"/>
              <w:rPr>
                <w:rFonts w:ascii="仿宋_GB2312" w:hAnsi="Calibri" w:cs="仿宋_GB2312"/>
                <w:bCs/>
                <w:sz w:val="22"/>
                <w:szCs w:val="22"/>
              </w:rPr>
            </w:pPr>
          </w:p>
        </w:tc>
        <w:tc>
          <w:tcPr>
            <w:tcW w:w="3685" w:type="dxa"/>
            <w:noWrap w:val="0"/>
            <w:vAlign w:val="top"/>
          </w:tcPr>
          <w:p>
            <w:pPr>
              <w:tabs>
                <w:tab w:val="left" w:pos="360"/>
                <w:tab w:val="left" w:pos="8460"/>
                <w:tab w:val="left" w:pos="8640"/>
              </w:tabs>
              <w:spacing w:line="280" w:lineRule="exact"/>
              <w:jc w:val="left"/>
              <w:rPr>
                <w:rFonts w:ascii="仿宋_GB2312" w:hAnsi="Calibri" w:cs="仿宋_GB2312"/>
                <w:bCs/>
                <w:sz w:val="22"/>
                <w:szCs w:val="22"/>
              </w:rPr>
            </w:pPr>
            <w:r>
              <w:rPr>
                <w:rFonts w:hint="eastAsia" w:ascii="仿宋_GB2312" w:hAnsi="Calibri" w:cs="仿宋_GB2312"/>
                <w:bCs/>
                <w:sz w:val="22"/>
                <w:szCs w:val="22"/>
              </w:rPr>
              <w:t>1、《国家安全法》</w:t>
            </w:r>
          </w:p>
          <w:p>
            <w:pPr>
              <w:tabs>
                <w:tab w:val="left" w:pos="360"/>
                <w:tab w:val="left" w:pos="8460"/>
                <w:tab w:val="left" w:pos="8640"/>
              </w:tabs>
              <w:spacing w:line="280" w:lineRule="exact"/>
              <w:jc w:val="left"/>
              <w:rPr>
                <w:rFonts w:ascii="仿宋_GB2312" w:hAnsi="Calibri" w:cs="仿宋_GB2312"/>
                <w:bCs/>
                <w:sz w:val="22"/>
                <w:szCs w:val="22"/>
              </w:rPr>
            </w:pPr>
            <w:r>
              <w:rPr>
                <w:rFonts w:hint="eastAsia" w:ascii="仿宋_GB2312" w:hAnsi="Calibri" w:cs="仿宋_GB2312"/>
                <w:bCs/>
                <w:sz w:val="22"/>
                <w:szCs w:val="22"/>
              </w:rPr>
              <w:t>2.《民办高等学校办学管理若干规定》（教育部令25号）</w:t>
            </w:r>
          </w:p>
          <w:p>
            <w:pPr>
              <w:tabs>
                <w:tab w:val="left" w:pos="360"/>
                <w:tab w:val="left" w:pos="8460"/>
                <w:tab w:val="left" w:pos="8640"/>
              </w:tabs>
              <w:spacing w:line="280" w:lineRule="exact"/>
              <w:jc w:val="left"/>
              <w:rPr>
                <w:rFonts w:ascii="仿宋_GB2312" w:hAnsi="Calibri" w:cs="仿宋_GB2312"/>
                <w:bCs/>
                <w:sz w:val="22"/>
                <w:szCs w:val="22"/>
              </w:rPr>
            </w:pPr>
            <w:r>
              <w:rPr>
                <w:rFonts w:hint="eastAsia" w:ascii="仿宋_GB2312" w:hAnsi="Calibri" w:cs="仿宋_GB2312"/>
                <w:bCs/>
                <w:sz w:val="22"/>
                <w:szCs w:val="22"/>
              </w:rPr>
              <w:t>3.《北京市实施&lt;民办教育促进法&gt;办法》</w:t>
            </w:r>
          </w:p>
          <w:p>
            <w:pPr>
              <w:spacing w:line="280" w:lineRule="exact"/>
              <w:jc w:val="left"/>
              <w:rPr>
                <w:rFonts w:ascii="仿宋_GB2312" w:hAnsi="Calibri" w:cs="仿宋_GB2312"/>
                <w:bCs/>
                <w:sz w:val="22"/>
                <w:szCs w:val="22"/>
              </w:rPr>
            </w:pPr>
          </w:p>
        </w:tc>
        <w:tc>
          <w:tcPr>
            <w:tcW w:w="2410" w:type="dxa"/>
            <w:noWrap w:val="0"/>
            <w:vAlign w:val="top"/>
          </w:tcPr>
          <w:p>
            <w:pPr>
              <w:spacing w:line="280" w:lineRule="exact"/>
              <w:jc w:val="left"/>
              <w:rPr>
                <w:rFonts w:ascii="仿宋_GB2312" w:hAnsi="Calibri" w:cs="仿宋_GB2312"/>
                <w:bCs/>
                <w:sz w:val="22"/>
                <w:szCs w:val="22"/>
              </w:rPr>
            </w:pPr>
            <w:r>
              <w:rPr>
                <w:rFonts w:hint="eastAsia" w:ascii="仿宋_GB2312" w:hAnsi="Calibri" w:cs="仿宋_GB2312"/>
                <w:bCs/>
                <w:sz w:val="22"/>
                <w:szCs w:val="22"/>
              </w:rPr>
              <w:t>自查报告中应说明是否存在影响稳定的各类矛盾纠纷及采取针对性解决措施情况；重要时期维护校园稳定工作情况。</w:t>
            </w:r>
          </w:p>
        </w:tc>
        <w:tc>
          <w:tcPr>
            <w:tcW w:w="2126" w:type="dxa"/>
            <w:noWrap w:val="0"/>
            <w:vAlign w:val="top"/>
          </w:tcPr>
          <w:p>
            <w:pPr>
              <w:spacing w:line="280" w:lineRule="exact"/>
              <w:rPr>
                <w:rFonts w:ascii="仿宋_GB2312" w:hAnsi="宋体"/>
                <w:sz w:val="22"/>
                <w:szCs w:val="22"/>
              </w:rPr>
            </w:pPr>
            <w:r>
              <w:rPr>
                <w:rFonts w:hint="eastAsia" w:ascii="仿宋_GB2312" w:hAnsi="宋体"/>
                <w:sz w:val="22"/>
                <w:szCs w:val="22"/>
              </w:rPr>
              <w:t>★本年度发生校园安全稳定突出问题的，年检结论不可为“通过”，造成严重后果的，年检结论为“暂缓通过”或“不通过”。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382" w:type="dxa"/>
            <w:vMerge w:val="continue"/>
            <w:noWrap w:val="0"/>
            <w:vAlign w:val="top"/>
          </w:tcPr>
          <w:p>
            <w:pPr>
              <w:spacing w:line="280" w:lineRule="exact"/>
              <w:rPr>
                <w:rFonts w:ascii="仿宋_GB2312" w:hAnsi="Calibri" w:cs="仿宋_GB2312"/>
                <w:bCs/>
                <w:sz w:val="24"/>
              </w:rPr>
            </w:pPr>
          </w:p>
        </w:tc>
        <w:tc>
          <w:tcPr>
            <w:tcW w:w="1737" w:type="dxa"/>
            <w:noWrap w:val="0"/>
            <w:vAlign w:val="center"/>
          </w:tcPr>
          <w:p>
            <w:pPr>
              <w:spacing w:line="280" w:lineRule="exact"/>
              <w:rPr>
                <w:rFonts w:ascii="仿宋_GB2312" w:hAnsi="Calibri" w:cs="仿宋_GB2312"/>
                <w:b/>
                <w:bCs/>
                <w:sz w:val="24"/>
              </w:rPr>
            </w:pPr>
            <w:r>
              <w:rPr>
                <w:rFonts w:hint="eastAsia" w:ascii="仿宋_GB2312" w:hAnsi="Calibri" w:cs="仿宋_GB2312"/>
                <w:b/>
                <w:bCs/>
                <w:sz w:val="24"/>
              </w:rPr>
              <w:t>21.安全教育管理</w:t>
            </w:r>
          </w:p>
        </w:tc>
        <w:tc>
          <w:tcPr>
            <w:tcW w:w="4111" w:type="dxa"/>
            <w:noWrap w:val="0"/>
            <w:vAlign w:val="top"/>
          </w:tcPr>
          <w:p>
            <w:pPr>
              <w:widowControl/>
              <w:spacing w:line="280" w:lineRule="exact"/>
              <w:jc w:val="left"/>
              <w:rPr>
                <w:rFonts w:hint="eastAsia" w:ascii="仿宋_GB2312" w:hAnsi="Calibri" w:cs="仿宋_GB2312"/>
                <w:bCs/>
                <w:sz w:val="22"/>
                <w:szCs w:val="22"/>
              </w:rPr>
            </w:pPr>
          </w:p>
          <w:p>
            <w:pPr>
              <w:widowControl/>
              <w:spacing w:line="280" w:lineRule="exact"/>
              <w:jc w:val="left"/>
              <w:rPr>
                <w:rFonts w:ascii="仿宋_GB2312" w:hAnsi="Calibri" w:cs="仿宋_GB2312"/>
                <w:bCs/>
                <w:sz w:val="22"/>
                <w:szCs w:val="22"/>
              </w:rPr>
            </w:pPr>
            <w:r>
              <w:rPr>
                <w:rFonts w:hint="eastAsia" w:ascii="仿宋_GB2312" w:hAnsi="Calibri" w:cs="仿宋_GB2312"/>
                <w:bCs/>
                <w:sz w:val="22"/>
                <w:szCs w:val="22"/>
              </w:rPr>
              <w:t>1.校园消防、交通、治安防范、饮食卫生、生产安全等设备设施达到国家、北京市有关标准，确保运行良好。</w:t>
            </w:r>
          </w:p>
          <w:p>
            <w:pPr>
              <w:widowControl/>
              <w:spacing w:line="280" w:lineRule="exact"/>
              <w:jc w:val="left"/>
              <w:rPr>
                <w:rFonts w:ascii="仿宋_GB2312" w:hAnsi="Calibri" w:cs="仿宋_GB2312"/>
                <w:bCs/>
                <w:sz w:val="22"/>
                <w:szCs w:val="22"/>
              </w:rPr>
            </w:pPr>
            <w:r>
              <w:rPr>
                <w:rFonts w:hint="eastAsia" w:ascii="仿宋_GB2312" w:hAnsi="Calibri" w:cs="仿宋_GB2312"/>
                <w:bCs/>
                <w:sz w:val="22"/>
                <w:szCs w:val="22"/>
              </w:rPr>
              <w:t>2.按照北京市地方标准加强技防系统建设，技防系统维护、更新及时到位。</w:t>
            </w:r>
          </w:p>
          <w:p>
            <w:pPr>
              <w:widowControl/>
              <w:spacing w:line="280" w:lineRule="exact"/>
              <w:jc w:val="left"/>
              <w:rPr>
                <w:rFonts w:ascii="仿宋_GB2312" w:hAnsi="Calibri" w:cs="仿宋_GB2312"/>
                <w:bCs/>
                <w:sz w:val="22"/>
                <w:szCs w:val="22"/>
              </w:rPr>
            </w:pPr>
            <w:r>
              <w:rPr>
                <w:rFonts w:hint="eastAsia" w:ascii="仿宋_GB2312" w:hAnsi="Calibri" w:cs="仿宋_GB2312"/>
                <w:bCs/>
                <w:sz w:val="22"/>
                <w:szCs w:val="22"/>
              </w:rPr>
              <w:t>3.校园安全管理各方面规章制度健全完备，各项工作措施落实到位。</w:t>
            </w:r>
          </w:p>
          <w:p>
            <w:pPr>
              <w:spacing w:line="280" w:lineRule="exact"/>
              <w:jc w:val="left"/>
              <w:rPr>
                <w:rFonts w:ascii="仿宋_GB2312" w:hAnsi="Calibri" w:cs="仿宋_GB2312"/>
                <w:bCs/>
                <w:sz w:val="22"/>
                <w:szCs w:val="22"/>
              </w:rPr>
            </w:pPr>
            <w:r>
              <w:rPr>
                <w:rFonts w:hint="eastAsia" w:ascii="仿宋_GB2312" w:hAnsi="Calibri" w:cs="仿宋_GB2312"/>
                <w:bCs/>
                <w:sz w:val="22"/>
                <w:szCs w:val="22"/>
              </w:rPr>
              <w:t>4.健全安全隐患定期排查与日常安全检查相结合的工作机制，及时排查整治各类安全隐患。</w:t>
            </w:r>
          </w:p>
          <w:p>
            <w:pPr>
              <w:widowControl/>
              <w:spacing w:line="280" w:lineRule="exact"/>
              <w:jc w:val="left"/>
              <w:rPr>
                <w:rFonts w:ascii="仿宋_GB2312" w:hAnsi="Calibri" w:cs="仿宋_GB2312"/>
                <w:bCs/>
                <w:sz w:val="22"/>
                <w:szCs w:val="22"/>
              </w:rPr>
            </w:pPr>
            <w:r>
              <w:rPr>
                <w:rFonts w:hint="eastAsia" w:ascii="仿宋_GB2312" w:hAnsi="Calibri" w:cs="仿宋_GB2312"/>
                <w:bCs/>
                <w:sz w:val="22"/>
                <w:szCs w:val="22"/>
              </w:rPr>
              <w:t>5.面向全体师生积极开展安全教育，增强安全意识，提高安全防范技能。</w:t>
            </w:r>
          </w:p>
          <w:p>
            <w:pPr>
              <w:widowControl/>
              <w:spacing w:line="280" w:lineRule="exact"/>
              <w:jc w:val="left"/>
              <w:rPr>
                <w:rFonts w:ascii="仿宋_GB2312" w:hAnsi="Calibri" w:cs="仿宋_GB2312"/>
                <w:bCs/>
                <w:sz w:val="22"/>
                <w:szCs w:val="22"/>
              </w:rPr>
            </w:pPr>
            <w:r>
              <w:rPr>
                <w:rFonts w:hint="eastAsia" w:ascii="仿宋_GB2312" w:hAnsi="Calibri" w:cs="仿宋_GB2312"/>
                <w:bCs/>
                <w:sz w:val="22"/>
                <w:szCs w:val="22"/>
              </w:rPr>
              <w:t>6、对学校运营管理的网站和信息系统落实信息安全等级防护制度，加强内容发布审核，确保信息安全和内容安全。</w:t>
            </w:r>
          </w:p>
          <w:p>
            <w:pPr>
              <w:widowControl/>
              <w:spacing w:line="280" w:lineRule="exact"/>
              <w:jc w:val="left"/>
              <w:rPr>
                <w:rFonts w:ascii="仿宋_GB2312" w:hAnsi="Calibri" w:cs="仿宋_GB2312"/>
                <w:bCs/>
                <w:sz w:val="22"/>
                <w:szCs w:val="22"/>
              </w:rPr>
            </w:pPr>
            <w:r>
              <w:rPr>
                <w:rFonts w:hint="eastAsia" w:ascii="仿宋_GB2312" w:hAnsi="Calibri" w:cs="仿宋_GB2312"/>
                <w:bCs/>
                <w:sz w:val="22"/>
                <w:szCs w:val="22"/>
              </w:rPr>
              <w:t>7、加强校园重点部位、实验室、危化品安全管理，</w:t>
            </w:r>
            <w:r>
              <w:rPr>
                <w:rFonts w:ascii="Arial" w:hAnsi="Arial" w:cs="Arial"/>
                <w:color w:val="333333"/>
                <w:sz w:val="21"/>
                <w:szCs w:val="21"/>
                <w:shd w:val="clear" w:color="auto" w:fill="FFFFFF"/>
              </w:rPr>
              <w:t>协助、配合有关部门开展反恐怖工作，发现恐怖活动嫌疑或者恐怖活动嫌疑人员的，及时向公安机关或者有关部门报告。</w:t>
            </w:r>
          </w:p>
          <w:p>
            <w:pPr>
              <w:widowControl/>
              <w:spacing w:line="280" w:lineRule="exact"/>
              <w:jc w:val="left"/>
              <w:rPr>
                <w:rFonts w:hint="eastAsia" w:ascii="仿宋_GB2312" w:hAnsi="Calibri" w:cs="仿宋_GB2312"/>
                <w:bCs/>
                <w:sz w:val="22"/>
                <w:szCs w:val="22"/>
              </w:rPr>
            </w:pPr>
            <w:r>
              <w:rPr>
                <w:rFonts w:hint="eastAsia" w:ascii="仿宋_GB2312" w:hAnsi="Calibri" w:cs="仿宋_GB2312"/>
                <w:bCs/>
                <w:sz w:val="22"/>
                <w:szCs w:val="22"/>
              </w:rPr>
              <w:t>8.非全日制民办非学历高等教育机构应结合实际开展工作。</w:t>
            </w:r>
          </w:p>
          <w:p>
            <w:pPr>
              <w:widowControl/>
              <w:spacing w:line="280" w:lineRule="exact"/>
              <w:jc w:val="left"/>
              <w:rPr>
                <w:rFonts w:ascii="仿宋_GB2312" w:hAnsi="Calibri" w:cs="仿宋_GB2312"/>
                <w:bCs/>
                <w:sz w:val="22"/>
                <w:szCs w:val="22"/>
              </w:rPr>
            </w:pPr>
          </w:p>
        </w:tc>
        <w:tc>
          <w:tcPr>
            <w:tcW w:w="3685" w:type="dxa"/>
            <w:noWrap w:val="0"/>
            <w:vAlign w:val="top"/>
          </w:tcPr>
          <w:p>
            <w:pPr>
              <w:tabs>
                <w:tab w:val="left" w:pos="360"/>
                <w:tab w:val="left" w:pos="8460"/>
                <w:tab w:val="left" w:pos="8640"/>
              </w:tabs>
              <w:spacing w:line="280" w:lineRule="exact"/>
              <w:jc w:val="left"/>
              <w:rPr>
                <w:rFonts w:hint="eastAsia" w:ascii="仿宋_GB2312" w:hAnsi="Calibri" w:cs="仿宋_GB2312"/>
                <w:bCs/>
                <w:sz w:val="22"/>
                <w:szCs w:val="22"/>
              </w:rPr>
            </w:pPr>
          </w:p>
          <w:p>
            <w:pPr>
              <w:tabs>
                <w:tab w:val="left" w:pos="360"/>
                <w:tab w:val="left" w:pos="8460"/>
                <w:tab w:val="left" w:pos="8640"/>
              </w:tabs>
              <w:spacing w:line="280" w:lineRule="exact"/>
              <w:jc w:val="left"/>
              <w:rPr>
                <w:rFonts w:ascii="仿宋_GB2312" w:hAnsi="Calibri" w:cs="仿宋_GB2312"/>
                <w:bCs/>
                <w:sz w:val="22"/>
                <w:szCs w:val="22"/>
              </w:rPr>
            </w:pPr>
            <w:r>
              <w:rPr>
                <w:rFonts w:hint="eastAsia" w:ascii="仿宋_GB2312" w:hAnsi="Calibri" w:cs="仿宋_GB2312"/>
                <w:bCs/>
                <w:sz w:val="22"/>
                <w:szCs w:val="22"/>
              </w:rPr>
              <w:t>1、《网络安全法》、《反恐怖主义法》</w:t>
            </w:r>
          </w:p>
          <w:p>
            <w:pPr>
              <w:tabs>
                <w:tab w:val="left" w:pos="360"/>
                <w:tab w:val="left" w:pos="8460"/>
                <w:tab w:val="left" w:pos="8640"/>
              </w:tabs>
              <w:spacing w:line="280" w:lineRule="exact"/>
              <w:jc w:val="left"/>
              <w:rPr>
                <w:rFonts w:ascii="仿宋_GB2312" w:hAnsi="Calibri" w:cs="仿宋_GB2312"/>
                <w:bCs/>
                <w:sz w:val="22"/>
                <w:szCs w:val="22"/>
              </w:rPr>
            </w:pPr>
            <w:r>
              <w:rPr>
                <w:rFonts w:hint="eastAsia" w:ascii="仿宋_GB2312" w:hAnsi="Calibri" w:cs="仿宋_GB2312"/>
                <w:bCs/>
                <w:sz w:val="22"/>
                <w:szCs w:val="22"/>
              </w:rPr>
              <w:t>1.《民办高等学校办学管理若干规定》（教育部令25号）</w:t>
            </w:r>
          </w:p>
          <w:p>
            <w:pPr>
              <w:tabs>
                <w:tab w:val="left" w:pos="360"/>
                <w:tab w:val="left" w:pos="8460"/>
                <w:tab w:val="left" w:pos="8640"/>
              </w:tabs>
              <w:spacing w:line="280" w:lineRule="exact"/>
              <w:jc w:val="left"/>
              <w:rPr>
                <w:rFonts w:ascii="仿宋_GB2312" w:hAnsi="Calibri" w:cs="仿宋_GB2312"/>
                <w:bCs/>
                <w:sz w:val="22"/>
                <w:szCs w:val="22"/>
              </w:rPr>
            </w:pPr>
            <w:r>
              <w:rPr>
                <w:rFonts w:hint="eastAsia" w:ascii="仿宋_GB2312" w:hAnsi="Calibri" w:cs="仿宋_GB2312"/>
                <w:bCs/>
                <w:sz w:val="22"/>
                <w:szCs w:val="22"/>
              </w:rPr>
              <w:t>2.《北京市实施&lt;民办教育促进法&gt;办法》</w:t>
            </w:r>
          </w:p>
          <w:p>
            <w:pPr>
              <w:tabs>
                <w:tab w:val="left" w:pos="360"/>
                <w:tab w:val="left" w:pos="8460"/>
                <w:tab w:val="left" w:pos="8640"/>
              </w:tabs>
              <w:spacing w:line="280" w:lineRule="exact"/>
              <w:jc w:val="left"/>
              <w:rPr>
                <w:rFonts w:ascii="仿宋_GB2312" w:hAnsi="Calibri" w:cs="仿宋_GB2312"/>
                <w:bCs/>
                <w:sz w:val="22"/>
                <w:szCs w:val="22"/>
              </w:rPr>
            </w:pPr>
            <w:r>
              <w:rPr>
                <w:rFonts w:hint="eastAsia" w:ascii="仿宋_GB2312" w:hAnsi="Calibri" w:cs="仿宋_GB2312"/>
                <w:bCs/>
                <w:sz w:val="22"/>
                <w:szCs w:val="22"/>
              </w:rPr>
              <w:t>3.国家和北京市相关地方标准</w:t>
            </w:r>
          </w:p>
        </w:tc>
        <w:tc>
          <w:tcPr>
            <w:tcW w:w="2410" w:type="dxa"/>
            <w:noWrap w:val="0"/>
            <w:vAlign w:val="top"/>
          </w:tcPr>
          <w:p>
            <w:pPr>
              <w:tabs>
                <w:tab w:val="left" w:pos="360"/>
                <w:tab w:val="left" w:pos="8460"/>
                <w:tab w:val="left" w:pos="8640"/>
              </w:tabs>
              <w:spacing w:after="120" w:afterLines="50" w:line="280" w:lineRule="exact"/>
              <w:jc w:val="left"/>
              <w:rPr>
                <w:rFonts w:hint="eastAsia" w:ascii="仿宋_GB2312" w:hAnsi="Calibri" w:cs="仿宋_GB2312"/>
                <w:bCs/>
                <w:sz w:val="22"/>
                <w:szCs w:val="22"/>
              </w:rPr>
            </w:pPr>
          </w:p>
          <w:p>
            <w:pPr>
              <w:tabs>
                <w:tab w:val="left" w:pos="360"/>
                <w:tab w:val="left" w:pos="8460"/>
                <w:tab w:val="left" w:pos="8640"/>
              </w:tabs>
              <w:spacing w:after="120" w:afterLines="50" w:line="280" w:lineRule="exact"/>
              <w:jc w:val="left"/>
              <w:rPr>
                <w:rFonts w:ascii="仿宋_GB2312" w:hAnsi="Calibri" w:cs="仿宋_GB2312"/>
                <w:bCs/>
                <w:sz w:val="22"/>
                <w:szCs w:val="22"/>
              </w:rPr>
            </w:pPr>
            <w:r>
              <w:rPr>
                <w:rFonts w:hint="eastAsia" w:ascii="仿宋_GB2312" w:hAnsi="Calibri" w:cs="仿宋_GB2312"/>
                <w:bCs/>
                <w:sz w:val="22"/>
                <w:szCs w:val="22"/>
              </w:rPr>
              <w:t>自查报告中应说明校园安全基础设施和技防系统建设情况，规章制度建立、安全隐患排查、安全教育开展情况。</w:t>
            </w:r>
          </w:p>
        </w:tc>
        <w:tc>
          <w:tcPr>
            <w:tcW w:w="2126" w:type="dxa"/>
            <w:noWrap w:val="0"/>
            <w:vAlign w:val="top"/>
          </w:tcPr>
          <w:p>
            <w:pPr>
              <w:spacing w:line="280" w:lineRule="exact"/>
              <w:jc w:val="left"/>
              <w:rPr>
                <w:rFonts w:hint="eastAsia" w:ascii="仿宋_GB2312" w:hAnsi="宋体"/>
                <w:sz w:val="22"/>
                <w:szCs w:val="22"/>
              </w:rPr>
            </w:pPr>
            <w:bookmarkStart w:id="2" w:name="OLE_LINK7"/>
            <w:bookmarkStart w:id="3" w:name="OLE_LINK8"/>
          </w:p>
          <w:p>
            <w:pPr>
              <w:spacing w:line="280" w:lineRule="exact"/>
              <w:jc w:val="left"/>
              <w:rPr>
                <w:rFonts w:ascii="仿宋_GB2312" w:hAnsi="Calibri" w:cs="仿宋_GB2312"/>
                <w:bCs/>
                <w:sz w:val="22"/>
                <w:szCs w:val="22"/>
              </w:rPr>
            </w:pPr>
            <w:r>
              <w:rPr>
                <w:rFonts w:hint="eastAsia" w:ascii="仿宋_GB2312" w:hAnsi="宋体"/>
                <w:sz w:val="22"/>
                <w:szCs w:val="22"/>
              </w:rPr>
              <w:t>★民办学历高校和全日制民办非学历高等教育机构未建立视频监控技防系统和消防设施的，年检结论不可为“通过”，视情况，年检结论可为“暂缓通过”或“不通过”。</w:t>
            </w:r>
            <w:bookmarkEnd w:id="2"/>
            <w:bookmarkEnd w:id="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6" w:hRule="atLeast"/>
        </w:trPr>
        <w:tc>
          <w:tcPr>
            <w:tcW w:w="1382" w:type="dxa"/>
            <w:vMerge w:val="continue"/>
            <w:noWrap w:val="0"/>
            <w:vAlign w:val="top"/>
          </w:tcPr>
          <w:p>
            <w:pPr>
              <w:spacing w:line="280" w:lineRule="exact"/>
              <w:rPr>
                <w:rFonts w:ascii="仿宋_GB2312" w:hAnsi="Calibri" w:cs="仿宋_GB2312"/>
                <w:bCs/>
                <w:sz w:val="24"/>
              </w:rPr>
            </w:pPr>
          </w:p>
        </w:tc>
        <w:tc>
          <w:tcPr>
            <w:tcW w:w="1737" w:type="dxa"/>
            <w:noWrap w:val="0"/>
            <w:vAlign w:val="center"/>
          </w:tcPr>
          <w:p>
            <w:pPr>
              <w:spacing w:line="280" w:lineRule="exact"/>
              <w:rPr>
                <w:rFonts w:ascii="仿宋_GB2312" w:hAnsi="Calibri" w:cs="仿宋_GB2312"/>
                <w:b/>
                <w:bCs/>
                <w:sz w:val="24"/>
              </w:rPr>
            </w:pPr>
            <w:r>
              <w:rPr>
                <w:rFonts w:hint="eastAsia" w:ascii="仿宋_GB2312" w:hAnsi="Calibri" w:cs="仿宋_GB2312"/>
                <w:b/>
                <w:bCs/>
                <w:sz w:val="24"/>
              </w:rPr>
              <w:t>22.应急处置</w:t>
            </w:r>
          </w:p>
        </w:tc>
        <w:tc>
          <w:tcPr>
            <w:tcW w:w="4111" w:type="dxa"/>
            <w:noWrap w:val="0"/>
            <w:vAlign w:val="top"/>
          </w:tcPr>
          <w:p>
            <w:pPr>
              <w:widowControl/>
              <w:spacing w:line="280" w:lineRule="exact"/>
              <w:jc w:val="left"/>
              <w:rPr>
                <w:rFonts w:hint="eastAsia" w:ascii="仿宋_GB2312" w:hAnsi="Calibri" w:cs="仿宋_GB2312"/>
                <w:bCs/>
                <w:sz w:val="22"/>
                <w:szCs w:val="22"/>
              </w:rPr>
            </w:pPr>
          </w:p>
          <w:p>
            <w:pPr>
              <w:widowControl/>
              <w:spacing w:line="280" w:lineRule="exact"/>
              <w:jc w:val="left"/>
              <w:rPr>
                <w:rFonts w:ascii="仿宋_GB2312" w:hAnsi="Calibri" w:cs="仿宋_GB2312"/>
                <w:bCs/>
                <w:sz w:val="22"/>
                <w:szCs w:val="22"/>
              </w:rPr>
            </w:pPr>
            <w:r>
              <w:rPr>
                <w:rFonts w:hint="eastAsia" w:ascii="仿宋_GB2312" w:hAnsi="Calibri" w:cs="仿宋_GB2312"/>
                <w:bCs/>
                <w:sz w:val="22"/>
                <w:szCs w:val="22"/>
              </w:rPr>
              <w:t>1.建立完善突发事件应急总体预案和专项预案。</w:t>
            </w:r>
          </w:p>
          <w:p>
            <w:pPr>
              <w:spacing w:line="280" w:lineRule="exact"/>
              <w:jc w:val="left"/>
              <w:rPr>
                <w:rFonts w:ascii="仿宋_GB2312" w:hAnsi="Calibri" w:cs="仿宋_GB2312"/>
                <w:bCs/>
                <w:sz w:val="22"/>
                <w:szCs w:val="22"/>
              </w:rPr>
            </w:pPr>
            <w:r>
              <w:rPr>
                <w:rFonts w:hint="eastAsia" w:ascii="仿宋_GB2312" w:hAnsi="Calibri" w:cs="仿宋_GB2312"/>
                <w:bCs/>
                <w:sz w:val="22"/>
                <w:szCs w:val="22"/>
              </w:rPr>
              <w:t>2.健全突发事件应急处置组织领导体系和工作机构，建立专兼职应急处置队伍，配备必要应急处置装备。</w:t>
            </w:r>
          </w:p>
          <w:p>
            <w:pPr>
              <w:spacing w:line="280" w:lineRule="exact"/>
              <w:jc w:val="left"/>
              <w:rPr>
                <w:rFonts w:ascii="仿宋_GB2312" w:hAnsi="Calibri" w:cs="仿宋_GB2312"/>
                <w:bCs/>
                <w:sz w:val="22"/>
                <w:szCs w:val="22"/>
              </w:rPr>
            </w:pPr>
            <w:r>
              <w:rPr>
                <w:rFonts w:hint="eastAsia" w:ascii="仿宋_GB2312" w:hAnsi="Calibri" w:cs="仿宋_GB2312"/>
                <w:bCs/>
                <w:sz w:val="22"/>
                <w:szCs w:val="22"/>
              </w:rPr>
              <w:t>3.定期组织相关部门和师生开展应急演练。</w:t>
            </w:r>
          </w:p>
          <w:p>
            <w:pPr>
              <w:spacing w:line="280" w:lineRule="exact"/>
              <w:jc w:val="left"/>
              <w:rPr>
                <w:rFonts w:ascii="仿宋_GB2312" w:hAnsi="Calibri" w:cs="仿宋_GB2312"/>
                <w:bCs/>
                <w:sz w:val="22"/>
                <w:szCs w:val="22"/>
              </w:rPr>
            </w:pPr>
            <w:r>
              <w:rPr>
                <w:rFonts w:hint="eastAsia" w:ascii="仿宋_GB2312" w:hAnsi="Calibri" w:cs="仿宋_GB2312"/>
                <w:bCs/>
                <w:sz w:val="22"/>
                <w:szCs w:val="22"/>
              </w:rPr>
              <w:t>4.突发事件应急处置及时有效，信息报送及时准确。</w:t>
            </w:r>
          </w:p>
          <w:p>
            <w:pPr>
              <w:spacing w:line="280" w:lineRule="exact"/>
              <w:jc w:val="left"/>
              <w:rPr>
                <w:rFonts w:hint="eastAsia" w:ascii="仿宋_GB2312" w:hAnsi="Calibri" w:cs="仿宋_GB2312"/>
                <w:bCs/>
                <w:sz w:val="22"/>
                <w:szCs w:val="22"/>
              </w:rPr>
            </w:pPr>
            <w:r>
              <w:rPr>
                <w:rFonts w:hint="eastAsia" w:ascii="仿宋_GB2312" w:hAnsi="Calibri" w:cs="仿宋_GB2312"/>
                <w:bCs/>
                <w:sz w:val="22"/>
                <w:szCs w:val="22"/>
              </w:rPr>
              <w:t>5.非全日制民办非学历高等教育机构应结合实际开展工作。</w:t>
            </w:r>
          </w:p>
          <w:p>
            <w:pPr>
              <w:spacing w:line="280" w:lineRule="exact"/>
              <w:jc w:val="left"/>
              <w:rPr>
                <w:rFonts w:ascii="仿宋_GB2312" w:hAnsi="Calibri" w:cs="仿宋_GB2312"/>
                <w:bCs/>
                <w:sz w:val="22"/>
                <w:szCs w:val="22"/>
              </w:rPr>
            </w:pPr>
          </w:p>
        </w:tc>
        <w:tc>
          <w:tcPr>
            <w:tcW w:w="3685" w:type="dxa"/>
            <w:noWrap w:val="0"/>
            <w:vAlign w:val="top"/>
          </w:tcPr>
          <w:p>
            <w:pPr>
              <w:tabs>
                <w:tab w:val="left" w:pos="360"/>
                <w:tab w:val="left" w:pos="8460"/>
                <w:tab w:val="left" w:pos="8640"/>
              </w:tabs>
              <w:spacing w:line="280" w:lineRule="exact"/>
              <w:jc w:val="left"/>
              <w:rPr>
                <w:rFonts w:hint="eastAsia" w:ascii="仿宋_GB2312" w:hAnsi="Calibri" w:cs="仿宋_GB2312"/>
                <w:bCs/>
                <w:sz w:val="22"/>
                <w:szCs w:val="22"/>
              </w:rPr>
            </w:pPr>
          </w:p>
          <w:p>
            <w:pPr>
              <w:tabs>
                <w:tab w:val="left" w:pos="360"/>
                <w:tab w:val="left" w:pos="8460"/>
                <w:tab w:val="left" w:pos="8640"/>
              </w:tabs>
              <w:spacing w:line="280" w:lineRule="exact"/>
              <w:jc w:val="left"/>
              <w:rPr>
                <w:rFonts w:ascii="仿宋_GB2312" w:hAnsi="Calibri" w:cs="仿宋_GB2312"/>
                <w:bCs/>
                <w:sz w:val="22"/>
                <w:szCs w:val="22"/>
              </w:rPr>
            </w:pPr>
            <w:r>
              <w:rPr>
                <w:rFonts w:hint="eastAsia" w:ascii="仿宋_GB2312" w:hAnsi="Calibri" w:cs="仿宋_GB2312"/>
                <w:bCs/>
                <w:sz w:val="22"/>
                <w:szCs w:val="22"/>
              </w:rPr>
              <w:t>1.《民办高等学校办学管理若干规定》（教育部令25号）</w:t>
            </w:r>
          </w:p>
          <w:p>
            <w:pPr>
              <w:tabs>
                <w:tab w:val="left" w:pos="360"/>
                <w:tab w:val="left" w:pos="8460"/>
                <w:tab w:val="left" w:pos="8640"/>
              </w:tabs>
              <w:spacing w:line="280" w:lineRule="exact"/>
              <w:jc w:val="left"/>
              <w:rPr>
                <w:rFonts w:ascii="仿宋_GB2312" w:hAnsi="Calibri" w:cs="仿宋_GB2312"/>
                <w:bCs/>
                <w:sz w:val="22"/>
                <w:szCs w:val="22"/>
              </w:rPr>
            </w:pPr>
            <w:r>
              <w:rPr>
                <w:rFonts w:hint="eastAsia" w:ascii="仿宋_GB2312" w:hAnsi="Calibri" w:cs="仿宋_GB2312"/>
                <w:bCs/>
                <w:sz w:val="22"/>
                <w:szCs w:val="22"/>
              </w:rPr>
              <w:t>2.《北京市实施&lt;民办教育促进法&gt;办法》</w:t>
            </w:r>
          </w:p>
          <w:p>
            <w:pPr>
              <w:tabs>
                <w:tab w:val="left" w:pos="360"/>
                <w:tab w:val="left" w:pos="8460"/>
                <w:tab w:val="left" w:pos="8640"/>
              </w:tabs>
              <w:spacing w:line="280" w:lineRule="exact"/>
              <w:jc w:val="left"/>
              <w:rPr>
                <w:rFonts w:ascii="仿宋_GB2312" w:hAnsi="Calibri" w:cs="仿宋_GB2312"/>
                <w:bCs/>
                <w:sz w:val="22"/>
                <w:szCs w:val="22"/>
              </w:rPr>
            </w:pPr>
            <w:r>
              <w:rPr>
                <w:rFonts w:hint="eastAsia" w:ascii="仿宋_GB2312" w:hAnsi="Calibri" w:cs="仿宋_GB2312"/>
                <w:bCs/>
                <w:sz w:val="22"/>
                <w:szCs w:val="22"/>
              </w:rPr>
              <w:t>3.《中华人民共和国突发事件应对法》</w:t>
            </w:r>
          </w:p>
        </w:tc>
        <w:tc>
          <w:tcPr>
            <w:tcW w:w="2410" w:type="dxa"/>
            <w:noWrap w:val="0"/>
            <w:vAlign w:val="top"/>
          </w:tcPr>
          <w:p>
            <w:pPr>
              <w:spacing w:line="280" w:lineRule="exact"/>
              <w:jc w:val="left"/>
              <w:rPr>
                <w:rFonts w:hint="eastAsia" w:ascii="仿宋_GB2312" w:hAnsi="Calibri" w:cs="仿宋_GB2312"/>
                <w:bCs/>
                <w:sz w:val="22"/>
                <w:szCs w:val="22"/>
              </w:rPr>
            </w:pPr>
          </w:p>
          <w:p>
            <w:pPr>
              <w:spacing w:line="280" w:lineRule="exact"/>
              <w:jc w:val="left"/>
              <w:rPr>
                <w:rFonts w:ascii="仿宋_GB2312" w:hAnsi="Calibri" w:cs="仿宋_GB2312"/>
                <w:bCs/>
                <w:sz w:val="22"/>
                <w:szCs w:val="22"/>
              </w:rPr>
            </w:pPr>
            <w:r>
              <w:rPr>
                <w:rFonts w:hint="eastAsia" w:ascii="仿宋_GB2312" w:hAnsi="Calibri" w:cs="仿宋_GB2312"/>
                <w:bCs/>
                <w:sz w:val="22"/>
                <w:szCs w:val="22"/>
              </w:rPr>
              <w:t>自查报告中应说明突发事件应急总体、专项预案制定情况，应急工作机构、队伍建设和装备情况，演练情况。</w:t>
            </w:r>
          </w:p>
        </w:tc>
        <w:tc>
          <w:tcPr>
            <w:tcW w:w="2126" w:type="dxa"/>
            <w:noWrap w:val="0"/>
            <w:vAlign w:val="top"/>
          </w:tcPr>
          <w:p>
            <w:pPr>
              <w:spacing w:line="280" w:lineRule="exact"/>
              <w:jc w:val="left"/>
              <w:rPr>
                <w:rFonts w:hint="eastAsia" w:ascii="仿宋_GB2312" w:hAnsi="宋体"/>
                <w:sz w:val="22"/>
                <w:szCs w:val="22"/>
              </w:rPr>
            </w:pPr>
          </w:p>
          <w:p>
            <w:pPr>
              <w:spacing w:line="280" w:lineRule="exact"/>
              <w:jc w:val="left"/>
              <w:rPr>
                <w:rFonts w:ascii="仿宋_GB2312" w:hAnsi="Calibri" w:cs="仿宋_GB2312"/>
                <w:bCs/>
                <w:sz w:val="22"/>
                <w:szCs w:val="22"/>
              </w:rPr>
            </w:pPr>
            <w:r>
              <w:rPr>
                <w:rFonts w:hint="eastAsia" w:ascii="仿宋_GB2312" w:hAnsi="宋体"/>
                <w:sz w:val="22"/>
                <w:szCs w:val="22"/>
              </w:rPr>
              <w:t>★瞒报、漏报、迟报重大突发事件的，年检结论不可为“通过”，视情况，年检结论为“暂缓通过”或“不通过”。</w:t>
            </w:r>
          </w:p>
        </w:tc>
      </w:tr>
    </w:tbl>
    <w:p>
      <w:pPr>
        <w:spacing w:line="360" w:lineRule="exact"/>
        <w:rPr>
          <w:rFonts w:hint="eastAsia" w:ascii="黑体" w:eastAsia="黑体"/>
          <w:szCs w:val="32"/>
        </w:rPr>
      </w:pPr>
    </w:p>
    <w:p>
      <w:pPr>
        <w:spacing w:line="360" w:lineRule="exact"/>
        <w:rPr>
          <w:rFonts w:hint="eastAsia" w:ascii="黑体" w:eastAsia="黑体"/>
          <w:szCs w:val="32"/>
        </w:rPr>
      </w:pPr>
    </w:p>
    <w:p>
      <w:pPr>
        <w:spacing w:line="360" w:lineRule="exact"/>
        <w:rPr>
          <w:rFonts w:hint="eastAsia" w:ascii="黑体" w:eastAsia="黑体"/>
          <w:szCs w:val="32"/>
        </w:rPr>
      </w:pPr>
    </w:p>
    <w:p>
      <w:pPr>
        <w:spacing w:line="360" w:lineRule="exact"/>
        <w:rPr>
          <w:rFonts w:hint="eastAsia" w:ascii="黑体" w:eastAsia="黑体"/>
          <w:szCs w:val="32"/>
        </w:rPr>
      </w:pPr>
    </w:p>
    <w:p>
      <w:pPr>
        <w:spacing w:line="360" w:lineRule="exact"/>
        <w:rPr>
          <w:rFonts w:hint="eastAsia" w:ascii="黑体" w:eastAsia="黑体"/>
          <w:szCs w:val="32"/>
        </w:rPr>
      </w:pPr>
    </w:p>
    <w:p>
      <w:pPr>
        <w:spacing w:line="360" w:lineRule="exact"/>
        <w:rPr>
          <w:rFonts w:hint="eastAsia" w:ascii="黑体" w:eastAsia="黑体"/>
          <w:szCs w:val="32"/>
        </w:rPr>
      </w:pPr>
    </w:p>
    <w:p>
      <w:pPr>
        <w:spacing w:line="360" w:lineRule="exact"/>
        <w:rPr>
          <w:rFonts w:hint="eastAsia" w:ascii="黑体" w:eastAsia="黑体"/>
          <w:szCs w:val="32"/>
        </w:rPr>
      </w:pPr>
    </w:p>
    <w:p>
      <w:pPr>
        <w:spacing w:line="360" w:lineRule="exact"/>
        <w:rPr>
          <w:rFonts w:hint="eastAsia" w:ascii="黑体" w:eastAsia="黑体"/>
          <w:szCs w:val="32"/>
        </w:rPr>
      </w:pPr>
    </w:p>
    <w:p>
      <w:pPr>
        <w:spacing w:line="360" w:lineRule="exact"/>
        <w:rPr>
          <w:rFonts w:hint="eastAsia" w:ascii="黑体" w:eastAsia="黑体"/>
          <w:szCs w:val="32"/>
        </w:rPr>
      </w:pPr>
    </w:p>
    <w:p>
      <w:pPr>
        <w:spacing w:line="360" w:lineRule="exact"/>
        <w:rPr>
          <w:rFonts w:hint="eastAsia" w:ascii="黑体" w:eastAsia="黑体"/>
          <w:szCs w:val="32"/>
        </w:rPr>
      </w:pPr>
    </w:p>
    <w:p>
      <w:pPr>
        <w:spacing w:line="360" w:lineRule="exact"/>
        <w:rPr>
          <w:rFonts w:hint="eastAsia" w:ascii="黑体" w:eastAsia="黑体"/>
          <w:szCs w:val="32"/>
        </w:rPr>
      </w:pPr>
    </w:p>
    <w:p>
      <w:pPr>
        <w:spacing w:line="360" w:lineRule="exact"/>
        <w:rPr>
          <w:rFonts w:ascii="黑体" w:eastAsia="黑体"/>
          <w:szCs w:val="32"/>
        </w:rPr>
      </w:pPr>
      <w:r>
        <w:rPr>
          <w:rFonts w:hint="eastAsia" w:ascii="黑体" w:eastAsia="黑体"/>
          <w:szCs w:val="32"/>
        </w:rPr>
        <w:t>二、全日制及部分非全日制非学历民办高等教育机构安全稳定、食品安全、卫生安全进校检查要点</w:t>
      </w:r>
    </w:p>
    <w:tbl>
      <w:tblPr>
        <w:tblStyle w:val="3"/>
        <w:tblW w:w="14879"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620"/>
        <w:gridCol w:w="720"/>
        <w:gridCol w:w="7353"/>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trPr>
        <w:tc>
          <w:tcPr>
            <w:tcW w:w="1500" w:type="dxa"/>
            <w:noWrap w:val="0"/>
            <w:vAlign w:val="center"/>
          </w:tcPr>
          <w:p>
            <w:pPr>
              <w:spacing w:line="360" w:lineRule="exact"/>
              <w:jc w:val="center"/>
              <w:rPr>
                <w:rFonts w:ascii="仿宋_GB2312"/>
                <w:b/>
                <w:sz w:val="24"/>
              </w:rPr>
            </w:pPr>
            <w:r>
              <w:rPr>
                <w:rFonts w:hint="eastAsia" w:ascii="仿宋_GB2312"/>
                <w:b/>
                <w:sz w:val="24"/>
              </w:rPr>
              <w:t>考核项目</w:t>
            </w:r>
          </w:p>
        </w:tc>
        <w:tc>
          <w:tcPr>
            <w:tcW w:w="1620" w:type="dxa"/>
            <w:noWrap w:val="0"/>
            <w:vAlign w:val="center"/>
          </w:tcPr>
          <w:p>
            <w:pPr>
              <w:spacing w:line="360" w:lineRule="exact"/>
              <w:jc w:val="center"/>
              <w:rPr>
                <w:rFonts w:ascii="仿宋_GB2312"/>
                <w:b/>
                <w:sz w:val="24"/>
              </w:rPr>
            </w:pPr>
            <w:r>
              <w:rPr>
                <w:rFonts w:hint="eastAsia" w:ascii="仿宋_GB2312"/>
                <w:b/>
                <w:sz w:val="24"/>
              </w:rPr>
              <w:t>考核要点</w:t>
            </w:r>
          </w:p>
        </w:tc>
        <w:tc>
          <w:tcPr>
            <w:tcW w:w="720" w:type="dxa"/>
            <w:noWrap w:val="0"/>
            <w:vAlign w:val="center"/>
          </w:tcPr>
          <w:p>
            <w:pPr>
              <w:spacing w:line="360" w:lineRule="exact"/>
              <w:jc w:val="center"/>
              <w:rPr>
                <w:rFonts w:ascii="仿宋_GB2312"/>
                <w:b/>
                <w:sz w:val="24"/>
              </w:rPr>
            </w:pPr>
            <w:r>
              <w:rPr>
                <w:rFonts w:hint="eastAsia" w:ascii="仿宋_GB2312"/>
                <w:b/>
                <w:sz w:val="24"/>
              </w:rPr>
              <w:t>分值</w:t>
            </w:r>
          </w:p>
        </w:tc>
        <w:tc>
          <w:tcPr>
            <w:tcW w:w="7353" w:type="dxa"/>
            <w:noWrap w:val="0"/>
            <w:vAlign w:val="center"/>
          </w:tcPr>
          <w:p>
            <w:pPr>
              <w:spacing w:line="360" w:lineRule="exact"/>
              <w:jc w:val="center"/>
              <w:rPr>
                <w:rFonts w:ascii="仿宋_GB2312"/>
                <w:b/>
                <w:sz w:val="24"/>
              </w:rPr>
            </w:pPr>
            <w:r>
              <w:rPr>
                <w:rFonts w:hint="eastAsia" w:ascii="仿宋_GB2312"/>
                <w:b/>
                <w:sz w:val="24"/>
              </w:rPr>
              <w:t>考核内容</w:t>
            </w:r>
          </w:p>
        </w:tc>
        <w:tc>
          <w:tcPr>
            <w:tcW w:w="3686" w:type="dxa"/>
            <w:noWrap w:val="0"/>
            <w:vAlign w:val="center"/>
          </w:tcPr>
          <w:p>
            <w:pPr>
              <w:spacing w:line="360" w:lineRule="exact"/>
              <w:jc w:val="center"/>
              <w:rPr>
                <w:rFonts w:ascii="仿宋_GB2312"/>
                <w:b/>
                <w:sz w:val="24"/>
              </w:rPr>
            </w:pPr>
            <w:r>
              <w:rPr>
                <w:rFonts w:hint="eastAsia" w:ascii="仿宋_GB2312"/>
                <w:b/>
                <w:sz w:val="24"/>
              </w:rPr>
              <w:t>查阅材料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500" w:type="dxa"/>
            <w:vMerge w:val="restart"/>
            <w:noWrap w:val="0"/>
            <w:vAlign w:val="center"/>
          </w:tcPr>
          <w:p>
            <w:pPr>
              <w:spacing w:line="360" w:lineRule="exact"/>
              <w:rPr>
                <w:rFonts w:ascii="仿宋_GB2312"/>
                <w:b/>
                <w:sz w:val="24"/>
              </w:rPr>
            </w:pPr>
            <w:r>
              <w:rPr>
                <w:rFonts w:hint="eastAsia" w:ascii="仿宋_GB2312"/>
                <w:b/>
                <w:sz w:val="24"/>
              </w:rPr>
              <w:t>一、安全稳定</w:t>
            </w:r>
          </w:p>
        </w:tc>
        <w:tc>
          <w:tcPr>
            <w:tcW w:w="1620" w:type="dxa"/>
            <w:noWrap w:val="0"/>
            <w:vAlign w:val="center"/>
          </w:tcPr>
          <w:p>
            <w:pPr>
              <w:spacing w:line="360" w:lineRule="exact"/>
              <w:rPr>
                <w:rFonts w:ascii="仿宋_GB2312" w:hAnsi="Calibri" w:cs="仿宋_GB2312"/>
                <w:b/>
                <w:bCs/>
                <w:sz w:val="24"/>
              </w:rPr>
            </w:pPr>
            <w:r>
              <w:rPr>
                <w:rFonts w:hint="eastAsia" w:ascii="仿宋_GB2312" w:hAnsi="Calibri" w:cs="仿宋_GB2312"/>
                <w:b/>
                <w:bCs/>
                <w:sz w:val="24"/>
              </w:rPr>
              <w:t>1.基础工作</w:t>
            </w:r>
          </w:p>
        </w:tc>
        <w:tc>
          <w:tcPr>
            <w:tcW w:w="720" w:type="dxa"/>
            <w:noWrap w:val="0"/>
            <w:vAlign w:val="center"/>
          </w:tcPr>
          <w:p>
            <w:pPr>
              <w:spacing w:line="360" w:lineRule="exact"/>
              <w:jc w:val="center"/>
              <w:rPr>
                <w:rFonts w:ascii="仿宋_GB2312" w:hAnsi="宋体"/>
                <w:sz w:val="24"/>
              </w:rPr>
            </w:pPr>
            <w:r>
              <w:rPr>
                <w:rFonts w:hint="eastAsia" w:ascii="仿宋_GB2312" w:hAnsi="宋体"/>
                <w:sz w:val="24"/>
              </w:rPr>
              <w:t>1</w:t>
            </w:r>
          </w:p>
        </w:tc>
        <w:tc>
          <w:tcPr>
            <w:tcW w:w="7353" w:type="dxa"/>
            <w:noWrap w:val="0"/>
            <w:vAlign w:val="center"/>
          </w:tcPr>
          <w:p>
            <w:pPr>
              <w:spacing w:line="360" w:lineRule="exact"/>
              <w:rPr>
                <w:rFonts w:ascii="仿宋_GB2312" w:hAnsi="宋体"/>
                <w:sz w:val="24"/>
              </w:rPr>
            </w:pPr>
            <w:r>
              <w:rPr>
                <w:rFonts w:hint="eastAsia" w:ascii="仿宋_GB2312" w:hAnsi="宋体"/>
                <w:sz w:val="24"/>
              </w:rPr>
              <w:t>单独设置安全保卫工作机构，按照1000:1比例配备专职保卫干部，主管领导及保卫干部取得保卫干部资格证书；所使用的保安人员符合国务院保安服务条例相关规定；安全保卫工作制度健全；各类突发事件应急处置预案齐全；执行情况良好。</w:t>
            </w:r>
          </w:p>
        </w:tc>
        <w:tc>
          <w:tcPr>
            <w:tcW w:w="3686" w:type="dxa"/>
            <w:noWrap w:val="0"/>
            <w:vAlign w:val="center"/>
          </w:tcPr>
          <w:p>
            <w:pPr>
              <w:spacing w:line="360" w:lineRule="exact"/>
              <w:rPr>
                <w:rFonts w:ascii="仿宋_GB2312" w:hAnsi="宋体"/>
                <w:sz w:val="24"/>
              </w:rPr>
            </w:pPr>
            <w:r>
              <w:rPr>
                <w:rFonts w:hint="eastAsia" w:ascii="仿宋_GB2312" w:hAnsi="宋体"/>
                <w:sz w:val="24"/>
              </w:rPr>
              <w:t>查阅保卫干部资格证书、各种安全制度及预案；各类安全制度日常执行的工作记录等。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1500" w:type="dxa"/>
            <w:vMerge w:val="continue"/>
            <w:noWrap w:val="0"/>
            <w:vAlign w:val="center"/>
          </w:tcPr>
          <w:p>
            <w:pPr>
              <w:spacing w:line="360" w:lineRule="exact"/>
              <w:jc w:val="center"/>
              <w:rPr>
                <w:rFonts w:ascii="仿宋_GB2312"/>
                <w:b/>
                <w:bCs/>
                <w:sz w:val="24"/>
              </w:rPr>
            </w:pPr>
          </w:p>
        </w:tc>
        <w:tc>
          <w:tcPr>
            <w:tcW w:w="1620" w:type="dxa"/>
            <w:noWrap w:val="0"/>
            <w:vAlign w:val="center"/>
          </w:tcPr>
          <w:p>
            <w:pPr>
              <w:spacing w:line="360" w:lineRule="exact"/>
              <w:rPr>
                <w:rFonts w:ascii="仿宋_GB2312" w:hAnsi="Calibri" w:cs="仿宋_GB2312"/>
                <w:b/>
                <w:bCs/>
                <w:sz w:val="24"/>
              </w:rPr>
            </w:pPr>
            <w:r>
              <w:rPr>
                <w:rFonts w:hint="eastAsia" w:ascii="仿宋_GB2312" w:hAnsi="Calibri" w:cs="仿宋_GB2312"/>
                <w:b/>
                <w:bCs/>
                <w:sz w:val="24"/>
              </w:rPr>
              <w:t>2.安全防范</w:t>
            </w:r>
          </w:p>
        </w:tc>
        <w:tc>
          <w:tcPr>
            <w:tcW w:w="720" w:type="dxa"/>
            <w:noWrap w:val="0"/>
            <w:vAlign w:val="center"/>
          </w:tcPr>
          <w:p>
            <w:pPr>
              <w:spacing w:line="360" w:lineRule="exact"/>
              <w:jc w:val="center"/>
              <w:rPr>
                <w:rFonts w:ascii="仿宋_GB2312" w:hAnsi="宋体"/>
                <w:sz w:val="24"/>
              </w:rPr>
            </w:pPr>
            <w:r>
              <w:rPr>
                <w:rFonts w:hint="eastAsia" w:ascii="仿宋_GB2312" w:hAnsi="宋体"/>
                <w:sz w:val="24"/>
              </w:rPr>
              <w:t>3</w:t>
            </w:r>
          </w:p>
        </w:tc>
        <w:tc>
          <w:tcPr>
            <w:tcW w:w="7353" w:type="dxa"/>
            <w:noWrap w:val="0"/>
            <w:vAlign w:val="center"/>
          </w:tcPr>
          <w:p>
            <w:pPr>
              <w:spacing w:line="360" w:lineRule="exact"/>
              <w:rPr>
                <w:rFonts w:ascii="仿宋_GB2312" w:hAnsi="宋体"/>
                <w:sz w:val="24"/>
              </w:rPr>
            </w:pPr>
            <w:r>
              <w:rPr>
                <w:rFonts w:hint="eastAsia" w:ascii="仿宋_GB2312" w:hAnsi="宋体"/>
                <w:sz w:val="24"/>
              </w:rPr>
              <w:t>按北京市地方标准（DB11/255-2004）三级风险等级规定的场所、部位安装技术防范设施；有技术防范系统运行维护合同；中控室值守人员具有岗位资格证书，24小时值班，值班记录齐全，有工作流程和应急预案；监控图像显示清晰、硬盘录像机回放图像清晰、存储时间符合要求；定期开展安全检查，检查记录详细、清楚，检查中发现的安全隐患及时进行整改。</w:t>
            </w:r>
          </w:p>
        </w:tc>
        <w:tc>
          <w:tcPr>
            <w:tcW w:w="3686" w:type="dxa"/>
            <w:noWrap w:val="0"/>
            <w:vAlign w:val="center"/>
          </w:tcPr>
          <w:p>
            <w:pPr>
              <w:spacing w:line="360" w:lineRule="exact"/>
              <w:rPr>
                <w:rFonts w:ascii="仿宋_GB2312" w:hAnsi="宋体"/>
                <w:sz w:val="24"/>
              </w:rPr>
            </w:pPr>
            <w:r>
              <w:rPr>
                <w:rFonts w:hint="eastAsia" w:ascii="仿宋_GB2312" w:hAnsi="宋体"/>
                <w:sz w:val="24"/>
              </w:rPr>
              <w:t>查阅技防系统相关材料、安全检查记录等。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500" w:type="dxa"/>
            <w:vMerge w:val="continue"/>
            <w:noWrap w:val="0"/>
            <w:vAlign w:val="center"/>
          </w:tcPr>
          <w:p>
            <w:pPr>
              <w:spacing w:line="360" w:lineRule="exact"/>
              <w:jc w:val="center"/>
              <w:rPr>
                <w:rFonts w:ascii="仿宋_GB2312"/>
                <w:b/>
                <w:bCs/>
                <w:sz w:val="24"/>
              </w:rPr>
            </w:pPr>
          </w:p>
        </w:tc>
        <w:tc>
          <w:tcPr>
            <w:tcW w:w="1620" w:type="dxa"/>
            <w:noWrap w:val="0"/>
            <w:vAlign w:val="center"/>
          </w:tcPr>
          <w:p>
            <w:pPr>
              <w:spacing w:line="360" w:lineRule="exact"/>
              <w:rPr>
                <w:rFonts w:ascii="仿宋_GB2312" w:hAnsi="宋体"/>
                <w:sz w:val="24"/>
              </w:rPr>
            </w:pPr>
            <w:r>
              <w:rPr>
                <w:rFonts w:hint="eastAsia" w:ascii="仿宋_GB2312" w:hAnsi="Calibri" w:cs="仿宋_GB2312"/>
                <w:b/>
                <w:bCs/>
                <w:sz w:val="24"/>
              </w:rPr>
              <w:t>3.校园稳定</w:t>
            </w:r>
          </w:p>
        </w:tc>
        <w:tc>
          <w:tcPr>
            <w:tcW w:w="720" w:type="dxa"/>
            <w:noWrap w:val="0"/>
            <w:vAlign w:val="center"/>
          </w:tcPr>
          <w:p>
            <w:pPr>
              <w:spacing w:line="360" w:lineRule="exact"/>
              <w:jc w:val="center"/>
              <w:rPr>
                <w:rFonts w:ascii="仿宋_GB2312" w:hAnsi="宋体"/>
                <w:sz w:val="24"/>
              </w:rPr>
            </w:pPr>
            <w:r>
              <w:rPr>
                <w:rFonts w:hint="eastAsia" w:ascii="仿宋_GB2312" w:hAnsi="宋体"/>
                <w:sz w:val="24"/>
              </w:rPr>
              <w:t>2</w:t>
            </w:r>
          </w:p>
        </w:tc>
        <w:tc>
          <w:tcPr>
            <w:tcW w:w="7353" w:type="dxa"/>
            <w:noWrap w:val="0"/>
            <w:vAlign w:val="top"/>
          </w:tcPr>
          <w:p>
            <w:pPr>
              <w:spacing w:line="360" w:lineRule="exact"/>
              <w:rPr>
                <w:rFonts w:ascii="仿宋_GB2312" w:hAnsi="宋体"/>
                <w:sz w:val="24"/>
              </w:rPr>
            </w:pPr>
            <w:r>
              <w:rPr>
                <w:rFonts w:hint="eastAsia" w:ascii="仿宋_GB2312" w:hAnsi="宋体"/>
                <w:sz w:val="24"/>
              </w:rPr>
              <w:t>切实深入了解掌握师生思想动态，摸排校园内部各类不安定因素，及时上报各类预警性信息，做好各类矛盾纠纷的预防化解工作；按照安委会通知要求，每月报送的信息及采用数量达标；及时准确报告并积极协助有关部门稳妥处置各类群体性事件；加强对学生的法制安全教育，适时开展各类</w:t>
            </w:r>
            <w:r>
              <w:rPr>
                <w:rFonts w:hint="eastAsia" w:ascii="仿宋_GB2312" w:hAnsi="宋体"/>
                <w:sz w:val="24"/>
                <w:lang w:eastAsia="zh-CN"/>
              </w:rPr>
              <w:t>反恐防暴</w:t>
            </w:r>
            <w:r>
              <w:rPr>
                <w:rFonts w:hint="eastAsia" w:ascii="仿宋_GB2312" w:hAnsi="宋体"/>
                <w:sz w:val="24"/>
              </w:rPr>
              <w:t>及安全演练，并留有声像资料。切实提高学生</w:t>
            </w:r>
            <w:r>
              <w:rPr>
                <w:rFonts w:hint="eastAsia" w:ascii="仿宋_GB2312" w:hAnsi="宋体"/>
                <w:sz w:val="24"/>
                <w:lang w:val="en-US" w:eastAsia="zh-CN"/>
              </w:rPr>
              <w:t>法治</w:t>
            </w:r>
            <w:r>
              <w:rPr>
                <w:rFonts w:hint="eastAsia" w:ascii="仿宋_GB2312" w:hAnsi="宋体"/>
                <w:sz w:val="24"/>
              </w:rPr>
              <w:t>意识及安全防范意识，提高学生的自我保护和紧急避险能力；学校应争创“零发案”学校，上一评定年度内学校发生治安、刑事案件及安全生产事故等情况。</w:t>
            </w:r>
          </w:p>
        </w:tc>
        <w:tc>
          <w:tcPr>
            <w:tcW w:w="3686" w:type="dxa"/>
            <w:noWrap w:val="0"/>
            <w:vAlign w:val="center"/>
          </w:tcPr>
          <w:p>
            <w:pPr>
              <w:spacing w:line="360" w:lineRule="exact"/>
              <w:rPr>
                <w:rFonts w:ascii="仿宋_GB2312" w:hAnsi="宋体"/>
                <w:sz w:val="24"/>
              </w:rPr>
            </w:pPr>
            <w:r>
              <w:rPr>
                <w:rFonts w:hint="eastAsia" w:ascii="仿宋_GB2312" w:hAnsi="宋体"/>
                <w:sz w:val="24"/>
              </w:rPr>
              <w:t>查阅按要求报送信息情况、法制教育、各类演练的相关资料、学校上一年度发案情况。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00" w:type="dxa"/>
            <w:vMerge w:val="continue"/>
            <w:noWrap w:val="0"/>
            <w:vAlign w:val="center"/>
          </w:tcPr>
          <w:p>
            <w:pPr>
              <w:spacing w:line="360" w:lineRule="exact"/>
              <w:jc w:val="center"/>
              <w:rPr>
                <w:rFonts w:ascii="仿宋_GB2312"/>
                <w:b/>
                <w:bCs/>
                <w:sz w:val="24"/>
              </w:rPr>
            </w:pPr>
          </w:p>
        </w:tc>
        <w:tc>
          <w:tcPr>
            <w:tcW w:w="1620" w:type="dxa"/>
            <w:noWrap w:val="0"/>
            <w:vAlign w:val="center"/>
          </w:tcPr>
          <w:p>
            <w:pPr>
              <w:spacing w:line="360" w:lineRule="exact"/>
              <w:rPr>
                <w:rFonts w:ascii="仿宋_GB2312" w:hAnsi="Calibri" w:cs="仿宋_GB2312"/>
                <w:b/>
                <w:bCs/>
                <w:sz w:val="24"/>
              </w:rPr>
            </w:pPr>
            <w:r>
              <w:rPr>
                <w:rFonts w:hint="eastAsia" w:ascii="仿宋_GB2312" w:hAnsi="Calibri" w:cs="仿宋_GB2312"/>
                <w:b/>
                <w:bCs/>
                <w:sz w:val="24"/>
              </w:rPr>
              <w:t>4.消防基础</w:t>
            </w:r>
          </w:p>
          <w:p>
            <w:pPr>
              <w:spacing w:line="360" w:lineRule="exact"/>
              <w:rPr>
                <w:rFonts w:ascii="仿宋_GB2312" w:hAnsi="宋体"/>
                <w:sz w:val="24"/>
              </w:rPr>
            </w:pPr>
            <w:r>
              <w:rPr>
                <w:rFonts w:hint="eastAsia" w:ascii="仿宋_GB2312" w:hAnsi="Calibri" w:cs="仿宋_GB2312"/>
                <w:b/>
                <w:bCs/>
                <w:sz w:val="24"/>
              </w:rPr>
              <w:t>工作</w:t>
            </w:r>
          </w:p>
        </w:tc>
        <w:tc>
          <w:tcPr>
            <w:tcW w:w="720" w:type="dxa"/>
            <w:noWrap w:val="0"/>
            <w:vAlign w:val="center"/>
          </w:tcPr>
          <w:p>
            <w:pPr>
              <w:spacing w:line="360" w:lineRule="exact"/>
              <w:jc w:val="center"/>
              <w:rPr>
                <w:rFonts w:ascii="仿宋_GB2312" w:hAnsi="宋体"/>
                <w:sz w:val="24"/>
              </w:rPr>
            </w:pPr>
            <w:r>
              <w:rPr>
                <w:rFonts w:hint="eastAsia" w:ascii="仿宋_GB2312" w:hAnsi="宋体"/>
                <w:sz w:val="24"/>
              </w:rPr>
              <w:t>3</w:t>
            </w:r>
          </w:p>
        </w:tc>
        <w:tc>
          <w:tcPr>
            <w:tcW w:w="7353" w:type="dxa"/>
            <w:noWrap w:val="0"/>
            <w:vAlign w:val="center"/>
          </w:tcPr>
          <w:p>
            <w:pPr>
              <w:spacing w:line="360" w:lineRule="exact"/>
              <w:rPr>
                <w:rFonts w:ascii="仿宋_GB2312" w:hAnsi="宋体"/>
                <w:spacing w:val="-6"/>
                <w:sz w:val="24"/>
              </w:rPr>
            </w:pPr>
            <w:r>
              <w:rPr>
                <w:rFonts w:hint="eastAsia" w:ascii="仿宋_GB2312" w:hAnsi="宋体"/>
                <w:spacing w:val="-6"/>
                <w:sz w:val="24"/>
              </w:rPr>
              <w:t>单位内建筑应依法取得消防合格验收行政许可或备案。单位应建立消防安全管理组织机构并定期召开工作会议。应根据消防法规的规定建立专职消防队、义务消防队，并开展消防安全专项培训。校内建筑消防设施、灭火器材齐备、有效，并每年进行一次检测。提供《电气防火技术检测报告》、《建筑消防设施检测报告》。单位内部安全出口、疏散通道保持畅通，指示标志设置明显。在明显位置设置平面疏散示意图；单位应按照消防法和公安部“61号令”等法律法规的规定建立消防安全基本情况档案和消防安全管理情况档案以及各项消防安全管理制度。</w:t>
            </w:r>
          </w:p>
        </w:tc>
        <w:tc>
          <w:tcPr>
            <w:tcW w:w="3686" w:type="dxa"/>
            <w:noWrap w:val="0"/>
            <w:vAlign w:val="center"/>
          </w:tcPr>
          <w:p>
            <w:pPr>
              <w:spacing w:line="360" w:lineRule="exact"/>
              <w:rPr>
                <w:rFonts w:ascii="仿宋_GB2312" w:hAnsi="宋体"/>
                <w:sz w:val="24"/>
              </w:rPr>
            </w:pPr>
            <w:r>
              <w:rPr>
                <w:rFonts w:hint="eastAsia" w:ascii="仿宋_GB2312" w:hAnsi="宋体"/>
                <w:sz w:val="24"/>
              </w:rPr>
              <w:t>查看会议记录、单位文件、检测报告等，实地检查和抽查。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500" w:type="dxa"/>
            <w:vMerge w:val="continue"/>
            <w:noWrap w:val="0"/>
            <w:vAlign w:val="center"/>
          </w:tcPr>
          <w:p>
            <w:pPr>
              <w:spacing w:line="360" w:lineRule="exact"/>
              <w:jc w:val="center"/>
              <w:rPr>
                <w:rFonts w:ascii="仿宋_GB2312"/>
                <w:b/>
                <w:bCs/>
                <w:sz w:val="24"/>
              </w:rPr>
            </w:pPr>
          </w:p>
        </w:tc>
        <w:tc>
          <w:tcPr>
            <w:tcW w:w="1620" w:type="dxa"/>
            <w:noWrap w:val="0"/>
            <w:vAlign w:val="center"/>
          </w:tcPr>
          <w:p>
            <w:pPr>
              <w:spacing w:line="360" w:lineRule="exact"/>
              <w:rPr>
                <w:rFonts w:ascii="仿宋_GB2312" w:hAnsi="Calibri" w:cs="仿宋_GB2312"/>
                <w:b/>
                <w:bCs/>
                <w:sz w:val="24"/>
              </w:rPr>
            </w:pPr>
            <w:r>
              <w:rPr>
                <w:rFonts w:hint="eastAsia" w:ascii="仿宋_GB2312" w:hAnsi="Calibri" w:cs="仿宋_GB2312"/>
                <w:b/>
                <w:bCs/>
                <w:sz w:val="24"/>
              </w:rPr>
              <w:t>5.消防隐患排查及演练</w:t>
            </w:r>
          </w:p>
        </w:tc>
        <w:tc>
          <w:tcPr>
            <w:tcW w:w="720" w:type="dxa"/>
            <w:noWrap w:val="0"/>
            <w:vAlign w:val="center"/>
          </w:tcPr>
          <w:p>
            <w:pPr>
              <w:spacing w:line="360" w:lineRule="exact"/>
              <w:jc w:val="center"/>
              <w:rPr>
                <w:rFonts w:ascii="仿宋_GB2312" w:hAnsi="宋体"/>
                <w:sz w:val="24"/>
              </w:rPr>
            </w:pPr>
            <w:r>
              <w:rPr>
                <w:rFonts w:hint="eastAsia" w:ascii="仿宋_GB2312" w:hAnsi="宋体"/>
                <w:sz w:val="24"/>
              </w:rPr>
              <w:t>1</w:t>
            </w:r>
          </w:p>
        </w:tc>
        <w:tc>
          <w:tcPr>
            <w:tcW w:w="7353" w:type="dxa"/>
            <w:noWrap w:val="0"/>
            <w:vAlign w:val="center"/>
          </w:tcPr>
          <w:p>
            <w:pPr>
              <w:spacing w:line="360" w:lineRule="exact"/>
              <w:rPr>
                <w:rFonts w:ascii="仿宋_GB2312" w:hAnsi="宋体"/>
                <w:sz w:val="24"/>
              </w:rPr>
            </w:pPr>
            <w:r>
              <w:rPr>
                <w:rFonts w:hint="eastAsia" w:ascii="仿宋_GB2312" w:hAnsi="宋体"/>
                <w:sz w:val="24"/>
              </w:rPr>
              <w:t>应落实每周、每月的防火安全检查。检查次数符合规定。实行火灾隐患整改责任制，发现的火灾隐患应当立即改正。不能立即改正的火灾隐患，应限定整改期限，整改完毕应当组织验收；单位应制定灭火和应急疏散预案，并定期演练。演练要有声像、文字等记录。</w:t>
            </w:r>
          </w:p>
        </w:tc>
        <w:tc>
          <w:tcPr>
            <w:tcW w:w="3686" w:type="dxa"/>
            <w:noWrap w:val="0"/>
            <w:vAlign w:val="center"/>
          </w:tcPr>
          <w:p>
            <w:pPr>
              <w:spacing w:line="360" w:lineRule="exact"/>
              <w:rPr>
                <w:rFonts w:ascii="仿宋_GB2312" w:hAnsi="宋体"/>
                <w:sz w:val="24"/>
              </w:rPr>
            </w:pPr>
            <w:r>
              <w:rPr>
                <w:rFonts w:hint="eastAsia" w:ascii="仿宋_GB2312" w:hAnsi="宋体"/>
                <w:sz w:val="24"/>
              </w:rPr>
              <w:t>查看防火检查记录及火灾隐患整改制度和整改记录、演练预案、演练记录等。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1500" w:type="dxa"/>
            <w:vMerge w:val="restart"/>
            <w:noWrap w:val="0"/>
            <w:vAlign w:val="center"/>
          </w:tcPr>
          <w:p>
            <w:pPr>
              <w:spacing w:line="360" w:lineRule="exact"/>
              <w:jc w:val="center"/>
              <w:rPr>
                <w:rFonts w:ascii="仿宋_GB2312"/>
                <w:b/>
                <w:sz w:val="24"/>
              </w:rPr>
            </w:pPr>
            <w:r>
              <w:rPr>
                <w:rFonts w:hint="eastAsia" w:ascii="仿宋_GB2312"/>
                <w:b/>
                <w:sz w:val="24"/>
              </w:rPr>
              <w:t>二、学校食堂食品安全</w:t>
            </w:r>
          </w:p>
        </w:tc>
        <w:tc>
          <w:tcPr>
            <w:tcW w:w="1620" w:type="dxa"/>
            <w:noWrap w:val="0"/>
            <w:vAlign w:val="center"/>
          </w:tcPr>
          <w:p>
            <w:pPr>
              <w:spacing w:line="360" w:lineRule="exact"/>
              <w:rPr>
                <w:rFonts w:ascii="仿宋_GB2312" w:hAnsi="Calibri" w:cs="仿宋_GB2312"/>
                <w:b/>
                <w:bCs/>
                <w:sz w:val="24"/>
              </w:rPr>
            </w:pPr>
            <w:r>
              <w:rPr>
                <w:rFonts w:hint="eastAsia" w:ascii="仿宋_GB2312" w:hAnsi="Calibri" w:cs="仿宋_GB2312"/>
                <w:b/>
                <w:bCs/>
                <w:sz w:val="24"/>
              </w:rPr>
              <w:t>6.许可、从业人员及设施布局</w:t>
            </w:r>
          </w:p>
        </w:tc>
        <w:tc>
          <w:tcPr>
            <w:tcW w:w="720" w:type="dxa"/>
            <w:noWrap w:val="0"/>
            <w:vAlign w:val="center"/>
          </w:tcPr>
          <w:p>
            <w:pPr>
              <w:spacing w:line="360" w:lineRule="exact"/>
              <w:jc w:val="center"/>
              <w:rPr>
                <w:rFonts w:ascii="仿宋_GB2312" w:hAnsi="宋体"/>
                <w:sz w:val="24"/>
              </w:rPr>
            </w:pPr>
            <w:r>
              <w:rPr>
                <w:rFonts w:hint="eastAsia" w:ascii="仿宋_GB2312" w:hAnsi="宋体"/>
                <w:sz w:val="24"/>
              </w:rPr>
              <w:t>4</w:t>
            </w:r>
          </w:p>
        </w:tc>
        <w:tc>
          <w:tcPr>
            <w:tcW w:w="7353" w:type="dxa"/>
            <w:noWrap w:val="0"/>
            <w:vAlign w:val="center"/>
          </w:tcPr>
          <w:p>
            <w:pPr>
              <w:spacing w:line="360" w:lineRule="exact"/>
              <w:rPr>
                <w:rFonts w:ascii="仿宋_GB2312" w:hAnsi="宋体" w:cs="仿宋_GB2312"/>
                <w:sz w:val="24"/>
              </w:rPr>
            </w:pPr>
            <w:r>
              <w:rPr>
                <w:rFonts w:hint="eastAsia" w:ascii="仿宋_GB2312" w:hAnsi="宋体" w:cs="仿宋_GB2312"/>
                <w:sz w:val="24"/>
              </w:rPr>
              <w:t>是否取得有效的食品经营许可证；实际经营地址、经营内容与食品经营许可证上许可内容是否一致。</w:t>
            </w:r>
          </w:p>
          <w:p>
            <w:pPr>
              <w:spacing w:line="360" w:lineRule="exact"/>
              <w:rPr>
                <w:rFonts w:ascii="仿宋_GB2312" w:hAnsi="宋体" w:cs="仿宋_GB2312"/>
                <w:sz w:val="24"/>
              </w:rPr>
            </w:pPr>
            <w:r>
              <w:rPr>
                <w:rFonts w:hint="eastAsia" w:ascii="仿宋_GB2312" w:hAnsi="宋体" w:cs="仿宋_GB2312"/>
                <w:sz w:val="24"/>
              </w:rPr>
              <w:t>服务从业人员是否每年进行健康检查，取得健康合格证明；从业人员是否定期接受食品安全教育和培训，是否建立培训档案；从业人员是否穿戴清洁的工作衣帽，并保持个人卫生。</w:t>
            </w:r>
          </w:p>
          <w:p>
            <w:pPr>
              <w:spacing w:line="360" w:lineRule="exact"/>
              <w:rPr>
                <w:rFonts w:ascii="仿宋_GB2312" w:hAnsi="宋体"/>
                <w:sz w:val="24"/>
              </w:rPr>
            </w:pPr>
            <w:r>
              <w:rPr>
                <w:rFonts w:hint="eastAsia" w:ascii="仿宋_GB2312" w:hAnsi="宋体" w:cs="仿宋_GB2312"/>
                <w:sz w:val="24"/>
              </w:rPr>
              <w:t>设备布局和工艺流程是否合理，是否擅自改变布局。</w:t>
            </w:r>
          </w:p>
        </w:tc>
        <w:tc>
          <w:tcPr>
            <w:tcW w:w="3686" w:type="dxa"/>
            <w:noWrap w:val="0"/>
            <w:vAlign w:val="center"/>
          </w:tcPr>
          <w:p>
            <w:pPr>
              <w:spacing w:line="360" w:lineRule="exact"/>
              <w:rPr>
                <w:rFonts w:ascii="仿宋_GB2312" w:hAnsi="宋体"/>
                <w:sz w:val="24"/>
              </w:rPr>
            </w:pPr>
            <w:r>
              <w:rPr>
                <w:rFonts w:hint="eastAsia" w:ascii="仿宋_GB2312" w:hAnsi="宋体"/>
                <w:sz w:val="24"/>
              </w:rPr>
              <w:t>学校食堂《餐饮服务许可证》、供餐协议、供餐单位资质证明。</w:t>
            </w:r>
          </w:p>
          <w:p>
            <w:pPr>
              <w:spacing w:line="360" w:lineRule="exact"/>
              <w:rPr>
                <w:rFonts w:ascii="仿宋_GB2312" w:hAnsi="宋体"/>
                <w:sz w:val="24"/>
              </w:rPr>
            </w:pPr>
            <w:r>
              <w:rPr>
                <w:rFonts w:hint="eastAsia" w:ascii="仿宋_GB2312" w:hAnsi="宋体"/>
                <w:sz w:val="24"/>
              </w:rPr>
              <w:t>食品安全管理人员培训合格证明，从业人员健康管理和培训管理制度，从业人员健康证，从业人员晨检记录，</w:t>
            </w:r>
            <w:r>
              <w:rPr>
                <w:rFonts w:hint="eastAsia" w:ascii="仿宋_GB2312" w:hAnsi="宋体" w:cs="仿宋_GB2312"/>
                <w:sz w:val="24"/>
              </w:rPr>
              <w:t>食堂平面布局图</w:t>
            </w:r>
            <w:r>
              <w:rPr>
                <w:rFonts w:hint="eastAsia" w:ascii="仿宋_GB2312"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00" w:type="dxa"/>
            <w:vMerge w:val="continue"/>
            <w:noWrap w:val="0"/>
            <w:vAlign w:val="center"/>
          </w:tcPr>
          <w:p>
            <w:pPr>
              <w:spacing w:line="360" w:lineRule="exact"/>
              <w:jc w:val="center"/>
              <w:rPr>
                <w:rFonts w:ascii="仿宋_GB2312"/>
                <w:b/>
                <w:bCs/>
                <w:sz w:val="24"/>
              </w:rPr>
            </w:pPr>
          </w:p>
        </w:tc>
        <w:tc>
          <w:tcPr>
            <w:tcW w:w="1620" w:type="dxa"/>
            <w:noWrap w:val="0"/>
            <w:vAlign w:val="center"/>
          </w:tcPr>
          <w:p>
            <w:pPr>
              <w:spacing w:line="360" w:lineRule="exact"/>
              <w:rPr>
                <w:rFonts w:ascii="仿宋_GB2312" w:hAnsi="Calibri" w:cs="仿宋_GB2312"/>
                <w:b/>
                <w:bCs/>
                <w:sz w:val="24"/>
              </w:rPr>
            </w:pPr>
            <w:r>
              <w:rPr>
                <w:rFonts w:hint="eastAsia" w:ascii="仿宋_GB2312" w:hAnsi="Calibri" w:cs="仿宋_GB2312"/>
                <w:b/>
                <w:bCs/>
                <w:sz w:val="24"/>
              </w:rPr>
              <w:t>7.粗加工间、操作间及餐饮具消毒</w:t>
            </w:r>
          </w:p>
        </w:tc>
        <w:tc>
          <w:tcPr>
            <w:tcW w:w="720" w:type="dxa"/>
            <w:noWrap w:val="0"/>
            <w:vAlign w:val="center"/>
          </w:tcPr>
          <w:p>
            <w:pPr>
              <w:spacing w:line="360" w:lineRule="exact"/>
              <w:jc w:val="center"/>
              <w:rPr>
                <w:rFonts w:ascii="仿宋_GB2312" w:hAnsi="宋体"/>
                <w:sz w:val="24"/>
              </w:rPr>
            </w:pPr>
            <w:r>
              <w:rPr>
                <w:rFonts w:hint="eastAsia" w:ascii="仿宋_GB2312" w:hAnsi="宋体"/>
                <w:sz w:val="24"/>
              </w:rPr>
              <w:t>3</w:t>
            </w:r>
          </w:p>
        </w:tc>
        <w:tc>
          <w:tcPr>
            <w:tcW w:w="7353" w:type="dxa"/>
            <w:noWrap w:val="0"/>
            <w:vAlign w:val="center"/>
          </w:tcPr>
          <w:p>
            <w:pPr>
              <w:spacing w:line="360" w:lineRule="exact"/>
              <w:rPr>
                <w:rFonts w:ascii="仿宋_GB2312" w:hAnsi="宋体" w:cs="仿宋_GB2312"/>
                <w:spacing w:val="-6"/>
                <w:sz w:val="24"/>
              </w:rPr>
            </w:pPr>
            <w:r>
              <w:rPr>
                <w:rFonts w:hint="eastAsia" w:ascii="仿宋_GB2312" w:hAnsi="宋体" w:cs="仿宋_GB2312"/>
                <w:spacing w:val="-6"/>
                <w:sz w:val="24"/>
              </w:rPr>
              <w:t>粗加工间：动物性食品、植物性食品、水产品3类食品原料是否分开清洗，水池数量或容量与加工食品的数量相适应。各类水池、容器、加工工具是否以明显标识标明其用途。</w:t>
            </w:r>
          </w:p>
          <w:p>
            <w:pPr>
              <w:spacing w:line="360" w:lineRule="exact"/>
              <w:rPr>
                <w:rFonts w:ascii="仿宋_GB2312" w:hAnsi="宋体" w:cs="仿宋_GB2312"/>
                <w:spacing w:val="-14"/>
                <w:sz w:val="24"/>
              </w:rPr>
            </w:pPr>
            <w:r>
              <w:rPr>
                <w:rFonts w:hint="eastAsia" w:ascii="仿宋_GB2312" w:hAnsi="宋体" w:cs="仿宋_GB2312"/>
                <w:spacing w:val="-14"/>
                <w:sz w:val="24"/>
              </w:rPr>
              <w:t>操作间：操作环境是否整洁；地面、墙壁、设备设施是否符合保证食品安全的要求。冰箱内食品原料、半成品、成品是否分开存放。</w:t>
            </w:r>
          </w:p>
          <w:p>
            <w:pPr>
              <w:spacing w:line="360" w:lineRule="exact"/>
              <w:rPr>
                <w:rFonts w:ascii="仿宋_GB2312" w:hAnsi="宋体"/>
                <w:sz w:val="24"/>
              </w:rPr>
            </w:pPr>
            <w:r>
              <w:rPr>
                <w:rFonts w:hint="eastAsia" w:ascii="仿宋_GB2312" w:hAnsi="宋体" w:cs="仿宋_GB2312"/>
                <w:spacing w:val="-6"/>
                <w:sz w:val="24"/>
              </w:rPr>
              <w:t>餐饮具消毒：餐饮具消毒设施是否正常运转；盛放直接入口食品的容器，使用前是否洗净、消毒；已消毒的餐饮具是存放在密闭保洁柜中并有明显标记。</w:t>
            </w:r>
          </w:p>
        </w:tc>
        <w:tc>
          <w:tcPr>
            <w:tcW w:w="3686" w:type="dxa"/>
            <w:noWrap w:val="0"/>
            <w:vAlign w:val="center"/>
          </w:tcPr>
          <w:p>
            <w:pPr>
              <w:spacing w:line="360" w:lineRule="exact"/>
              <w:rPr>
                <w:rFonts w:ascii="仿宋_GB2312" w:hAnsi="宋体"/>
                <w:sz w:val="24"/>
              </w:rPr>
            </w:pPr>
            <w:r>
              <w:rPr>
                <w:rFonts w:hint="eastAsia" w:ascii="仿宋_GB2312" w:hAnsi="宋体"/>
                <w:sz w:val="24"/>
              </w:rPr>
              <w:t>关键环节操作规程，餐厨废弃物处置管理制度。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500" w:type="dxa"/>
            <w:vMerge w:val="continue"/>
            <w:noWrap w:val="0"/>
            <w:vAlign w:val="center"/>
          </w:tcPr>
          <w:p>
            <w:pPr>
              <w:spacing w:line="360" w:lineRule="exact"/>
              <w:jc w:val="center"/>
              <w:rPr>
                <w:rFonts w:ascii="仿宋_GB2312"/>
                <w:b/>
                <w:bCs/>
                <w:sz w:val="24"/>
              </w:rPr>
            </w:pPr>
          </w:p>
        </w:tc>
        <w:tc>
          <w:tcPr>
            <w:tcW w:w="1620" w:type="dxa"/>
            <w:noWrap w:val="0"/>
            <w:vAlign w:val="center"/>
          </w:tcPr>
          <w:p>
            <w:pPr>
              <w:spacing w:line="360" w:lineRule="exact"/>
              <w:rPr>
                <w:rFonts w:ascii="仿宋_GB2312" w:hAnsi="Calibri" w:cs="仿宋_GB2312"/>
                <w:b/>
                <w:bCs/>
                <w:sz w:val="24"/>
              </w:rPr>
            </w:pPr>
            <w:r>
              <w:rPr>
                <w:rFonts w:hint="eastAsia" w:ascii="仿宋_GB2312" w:hAnsi="Calibri" w:cs="仿宋_GB2312"/>
                <w:b/>
                <w:bCs/>
                <w:sz w:val="24"/>
              </w:rPr>
              <w:t>8.库房、食品及食品原料等安全管理</w:t>
            </w:r>
          </w:p>
        </w:tc>
        <w:tc>
          <w:tcPr>
            <w:tcW w:w="720" w:type="dxa"/>
            <w:noWrap w:val="0"/>
            <w:vAlign w:val="center"/>
          </w:tcPr>
          <w:p>
            <w:pPr>
              <w:spacing w:line="360" w:lineRule="exact"/>
              <w:jc w:val="center"/>
              <w:rPr>
                <w:rFonts w:ascii="仿宋_GB2312" w:hAnsi="宋体"/>
                <w:sz w:val="24"/>
              </w:rPr>
            </w:pPr>
            <w:r>
              <w:rPr>
                <w:rFonts w:hint="eastAsia" w:ascii="仿宋_GB2312" w:hAnsi="宋体"/>
                <w:sz w:val="24"/>
              </w:rPr>
              <w:t>3</w:t>
            </w:r>
          </w:p>
        </w:tc>
        <w:tc>
          <w:tcPr>
            <w:tcW w:w="7353" w:type="dxa"/>
            <w:noWrap w:val="0"/>
            <w:vAlign w:val="center"/>
          </w:tcPr>
          <w:p>
            <w:pPr>
              <w:spacing w:line="360" w:lineRule="exact"/>
              <w:rPr>
                <w:rFonts w:ascii="仿宋_GB2312" w:hAnsi="宋体" w:cs="仿宋_GB2312"/>
                <w:spacing w:val="-4"/>
                <w:sz w:val="24"/>
              </w:rPr>
            </w:pPr>
            <w:r>
              <w:rPr>
                <w:rFonts w:hint="eastAsia" w:ascii="仿宋_GB2312" w:hAnsi="宋体" w:cs="仿宋_GB2312"/>
                <w:spacing w:val="-4"/>
                <w:sz w:val="24"/>
              </w:rPr>
              <w:t>食品仓库是否符合贮存条件；食品是否分类，分架，隔墙隔地存放，各类食品是否有明显标志；是否建立仓库进出库专人验收登记制度，做到勤进勤出，先进先出，定期清仓检查；食品成品、半成品及食品原料是否做到分开存放，是否存在食品与药品、杂品等物品混放；食品添加剂是否设置了单独的存放区域，进出库及使用是否有详细记录。</w:t>
            </w:r>
          </w:p>
          <w:p>
            <w:pPr>
              <w:spacing w:line="360" w:lineRule="exact"/>
              <w:rPr>
                <w:rFonts w:ascii="仿宋_GB2312" w:hAnsi="宋体"/>
                <w:sz w:val="24"/>
              </w:rPr>
            </w:pPr>
            <w:r>
              <w:rPr>
                <w:rFonts w:hint="eastAsia" w:ascii="仿宋_GB2312" w:hAnsi="宋体" w:cs="仿宋_GB2312"/>
                <w:sz w:val="24"/>
              </w:rPr>
              <w:t>是否严格执行食品及原料、食品添加剂、食品相关产品进货查验和索证索票制度并建立台账。</w:t>
            </w:r>
          </w:p>
        </w:tc>
        <w:tc>
          <w:tcPr>
            <w:tcW w:w="3686" w:type="dxa"/>
            <w:noWrap w:val="0"/>
            <w:vAlign w:val="center"/>
          </w:tcPr>
          <w:p>
            <w:pPr>
              <w:spacing w:line="360" w:lineRule="exact"/>
              <w:rPr>
                <w:rFonts w:ascii="仿宋_GB2312" w:hAnsi="宋体"/>
                <w:sz w:val="24"/>
              </w:rPr>
            </w:pPr>
            <w:r>
              <w:rPr>
                <w:rFonts w:hint="eastAsia" w:ascii="仿宋_GB2312" w:hAnsi="宋体"/>
                <w:sz w:val="24"/>
              </w:rPr>
              <w:t>食品、食品添加剂、食品相关产品采购索证索票、进货查验和台账记录、</w:t>
            </w:r>
            <w:r>
              <w:rPr>
                <w:rFonts w:hint="eastAsia" w:ascii="仿宋_GB2312" w:hAnsi="宋体" w:cs="仿宋_GB2312"/>
                <w:sz w:val="24"/>
              </w:rPr>
              <w:t>食品添加剂使用记录。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500" w:type="dxa"/>
            <w:vMerge w:val="restart"/>
            <w:noWrap w:val="0"/>
            <w:vAlign w:val="center"/>
          </w:tcPr>
          <w:p>
            <w:pPr>
              <w:spacing w:line="360" w:lineRule="exact"/>
              <w:jc w:val="center"/>
              <w:rPr>
                <w:rFonts w:ascii="仿宋_GB2312"/>
                <w:b/>
                <w:sz w:val="24"/>
              </w:rPr>
            </w:pPr>
            <w:r>
              <w:rPr>
                <w:rFonts w:hint="eastAsia" w:ascii="仿宋_GB2312"/>
                <w:b/>
                <w:sz w:val="24"/>
              </w:rPr>
              <w:t>三、卫生安全</w:t>
            </w:r>
          </w:p>
        </w:tc>
        <w:tc>
          <w:tcPr>
            <w:tcW w:w="1620" w:type="dxa"/>
            <w:noWrap w:val="0"/>
            <w:vAlign w:val="center"/>
          </w:tcPr>
          <w:p>
            <w:pPr>
              <w:spacing w:line="360" w:lineRule="exact"/>
              <w:rPr>
                <w:rFonts w:ascii="仿宋_GB2312" w:hAnsi="Calibri" w:cs="仿宋_GB2312"/>
                <w:b/>
                <w:bCs/>
                <w:sz w:val="24"/>
              </w:rPr>
            </w:pPr>
            <w:r>
              <w:rPr>
                <w:rFonts w:hint="eastAsia" w:ascii="仿宋_GB2312" w:hAnsi="Calibri" w:cs="仿宋_GB2312"/>
                <w:b/>
                <w:bCs/>
                <w:sz w:val="24"/>
              </w:rPr>
              <w:t>9.生活饮用水</w:t>
            </w:r>
          </w:p>
        </w:tc>
        <w:tc>
          <w:tcPr>
            <w:tcW w:w="720" w:type="dxa"/>
            <w:noWrap w:val="0"/>
            <w:vAlign w:val="center"/>
          </w:tcPr>
          <w:p>
            <w:pPr>
              <w:spacing w:line="360" w:lineRule="exact"/>
              <w:jc w:val="center"/>
              <w:rPr>
                <w:rFonts w:ascii="仿宋_GB2312" w:hAnsi="宋体"/>
                <w:sz w:val="24"/>
              </w:rPr>
            </w:pPr>
            <w:r>
              <w:rPr>
                <w:rFonts w:hint="eastAsia" w:ascii="仿宋_GB2312" w:hAnsi="宋体"/>
                <w:sz w:val="24"/>
              </w:rPr>
              <w:t>4</w:t>
            </w:r>
          </w:p>
        </w:tc>
        <w:tc>
          <w:tcPr>
            <w:tcW w:w="7353" w:type="dxa"/>
            <w:noWrap w:val="0"/>
            <w:vAlign w:val="center"/>
          </w:tcPr>
          <w:p>
            <w:pPr>
              <w:spacing w:line="360" w:lineRule="exact"/>
              <w:rPr>
                <w:rFonts w:ascii="仿宋_GB2312" w:hAnsi="宋体"/>
                <w:sz w:val="24"/>
              </w:rPr>
            </w:pPr>
            <w:r>
              <w:rPr>
                <w:rFonts w:hint="eastAsia" w:ascii="仿宋_GB2312" w:hAnsi="宋体"/>
                <w:sz w:val="24"/>
              </w:rPr>
              <w:t>自备水井、二次供水有卫生许可证。学校使用的涉水产品有省级以上卫生行政部门颁发的涉水产品批件。水质消毒设备正常运转并有巡视检查记录。学校近12个月内未发生水污染事件。</w:t>
            </w:r>
          </w:p>
        </w:tc>
        <w:tc>
          <w:tcPr>
            <w:tcW w:w="3686" w:type="dxa"/>
            <w:noWrap w:val="0"/>
            <w:vAlign w:val="center"/>
          </w:tcPr>
          <w:p>
            <w:pPr>
              <w:spacing w:line="360" w:lineRule="exact"/>
              <w:rPr>
                <w:rFonts w:ascii="仿宋_GB2312" w:hAnsi="宋体"/>
                <w:sz w:val="24"/>
              </w:rPr>
            </w:pPr>
            <w:r>
              <w:rPr>
                <w:rFonts w:hint="eastAsia" w:ascii="仿宋_GB2312" w:hAnsi="宋体"/>
                <w:sz w:val="24"/>
              </w:rPr>
              <w:t>学校自备水井或二次供水卫生许可证、学校使用涉水产品的省级以上卫生行政部门颁发的涉水产品卫生许可批件、水质消毒设备正常运转巡视检查记录、近12个月辖区卫生行政部门检查记录。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500" w:type="dxa"/>
            <w:vMerge w:val="continue"/>
            <w:noWrap w:val="0"/>
            <w:vAlign w:val="center"/>
          </w:tcPr>
          <w:p>
            <w:pPr>
              <w:spacing w:line="360" w:lineRule="exact"/>
              <w:jc w:val="center"/>
              <w:rPr>
                <w:rFonts w:ascii="仿宋_GB2312"/>
                <w:b/>
                <w:bCs/>
                <w:sz w:val="24"/>
              </w:rPr>
            </w:pPr>
          </w:p>
        </w:tc>
        <w:tc>
          <w:tcPr>
            <w:tcW w:w="1620" w:type="dxa"/>
            <w:noWrap w:val="0"/>
            <w:vAlign w:val="center"/>
          </w:tcPr>
          <w:p>
            <w:pPr>
              <w:spacing w:line="360" w:lineRule="exact"/>
              <w:rPr>
                <w:rFonts w:ascii="仿宋_GB2312" w:hAnsi="宋体"/>
                <w:b/>
                <w:sz w:val="24"/>
              </w:rPr>
            </w:pPr>
            <w:r>
              <w:rPr>
                <w:rFonts w:hint="eastAsia" w:ascii="仿宋_GB2312" w:hAnsi="宋体"/>
                <w:b/>
                <w:sz w:val="24"/>
              </w:rPr>
              <w:t>10.医疗机构与传染病管理</w:t>
            </w:r>
          </w:p>
        </w:tc>
        <w:tc>
          <w:tcPr>
            <w:tcW w:w="720" w:type="dxa"/>
            <w:noWrap w:val="0"/>
            <w:vAlign w:val="center"/>
          </w:tcPr>
          <w:p>
            <w:pPr>
              <w:spacing w:line="360" w:lineRule="exact"/>
              <w:jc w:val="center"/>
              <w:rPr>
                <w:rFonts w:ascii="仿宋_GB2312" w:hAnsi="宋体"/>
                <w:sz w:val="24"/>
              </w:rPr>
            </w:pPr>
            <w:r>
              <w:rPr>
                <w:rFonts w:hint="eastAsia" w:ascii="仿宋_GB2312" w:hAnsi="宋体"/>
                <w:sz w:val="24"/>
              </w:rPr>
              <w:t>4</w:t>
            </w:r>
          </w:p>
        </w:tc>
        <w:tc>
          <w:tcPr>
            <w:tcW w:w="7353" w:type="dxa"/>
            <w:noWrap w:val="0"/>
            <w:vAlign w:val="center"/>
          </w:tcPr>
          <w:p>
            <w:pPr>
              <w:spacing w:line="360" w:lineRule="exact"/>
              <w:rPr>
                <w:rFonts w:ascii="仿宋_GB2312" w:hAnsi="宋体"/>
                <w:sz w:val="24"/>
              </w:rPr>
            </w:pPr>
            <w:r>
              <w:rPr>
                <w:rFonts w:hint="eastAsia" w:ascii="仿宋_GB2312" w:hAnsi="宋体"/>
                <w:sz w:val="24"/>
              </w:rPr>
              <w:t>全日制教育机构应设置校内医疗机构，并具有合法、有效的《医疗机构执业许可证》；医疗机构实际提供服务的诊疗项目与《医疗机构执业许可证》核准的诊疗项目相符；各类卫生技术人员均取得执业资格，注册地点在本院，按照本人执业范围开展诊疗活动；按要求分类收集医疗废物，医疗废物盛放容器符合要求，医疗废物暂存地点和条件符合要求，暂存不超过2天。学校建立校长负责制，主管学校传染病防控工作，有传染病防控工作应急预案，有传染病报告制度、消毒隔离制度、接种证查验制度等，有专人负责传染病疫情报告，有晨午检、因病缺课、追访、复课登记、日常巡查、消毒等相关记录；学校入学有体检记录；学校近12个月内未发生因瞒报、漏报、迟报或措施落实不力而导致的传染病暴发事件。</w:t>
            </w:r>
          </w:p>
        </w:tc>
        <w:tc>
          <w:tcPr>
            <w:tcW w:w="3686" w:type="dxa"/>
            <w:noWrap w:val="0"/>
            <w:vAlign w:val="center"/>
          </w:tcPr>
          <w:p>
            <w:pPr>
              <w:spacing w:line="360" w:lineRule="exact"/>
              <w:rPr>
                <w:rFonts w:ascii="仿宋_GB2312" w:hAnsi="宋体"/>
                <w:sz w:val="24"/>
              </w:rPr>
            </w:pPr>
            <w:r>
              <w:rPr>
                <w:rFonts w:hint="eastAsia" w:ascii="仿宋_GB2312" w:hAnsi="宋体"/>
                <w:sz w:val="24"/>
              </w:rPr>
              <w:t>《医疗机构执业许可证》、学校医务人员的相应《职业证书》或《卫生技术专业职称证书》、医疗废物处置记录、学校传染病疫情报告登记本、新生入学体检记录、近12个月辖区卫生计生行政部门检查记录。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500" w:type="dxa"/>
            <w:vMerge w:val="continue"/>
            <w:noWrap w:val="0"/>
            <w:vAlign w:val="center"/>
          </w:tcPr>
          <w:p>
            <w:pPr>
              <w:spacing w:line="360" w:lineRule="exact"/>
              <w:jc w:val="center"/>
              <w:rPr>
                <w:rFonts w:ascii="仿宋_GB2312"/>
                <w:b/>
                <w:bCs/>
                <w:sz w:val="24"/>
              </w:rPr>
            </w:pPr>
          </w:p>
        </w:tc>
        <w:tc>
          <w:tcPr>
            <w:tcW w:w="1620" w:type="dxa"/>
            <w:noWrap w:val="0"/>
            <w:vAlign w:val="center"/>
          </w:tcPr>
          <w:p>
            <w:pPr>
              <w:spacing w:line="360" w:lineRule="exact"/>
              <w:rPr>
                <w:rFonts w:ascii="仿宋_GB2312" w:hAnsi="宋体"/>
                <w:b/>
                <w:sz w:val="24"/>
              </w:rPr>
            </w:pPr>
            <w:r>
              <w:rPr>
                <w:rFonts w:hint="eastAsia" w:ascii="仿宋_GB2312" w:hAnsi="宋体"/>
                <w:b/>
                <w:sz w:val="24"/>
              </w:rPr>
              <w:t>11.教学及生活环境</w:t>
            </w:r>
          </w:p>
        </w:tc>
        <w:tc>
          <w:tcPr>
            <w:tcW w:w="720" w:type="dxa"/>
            <w:noWrap w:val="0"/>
            <w:vAlign w:val="center"/>
          </w:tcPr>
          <w:p>
            <w:pPr>
              <w:spacing w:line="360" w:lineRule="exact"/>
              <w:jc w:val="center"/>
              <w:rPr>
                <w:rFonts w:ascii="仿宋_GB2312" w:hAnsi="宋体"/>
                <w:sz w:val="24"/>
              </w:rPr>
            </w:pPr>
            <w:r>
              <w:rPr>
                <w:rFonts w:hint="eastAsia" w:ascii="仿宋_GB2312" w:hAnsi="宋体"/>
                <w:sz w:val="24"/>
              </w:rPr>
              <w:t>2</w:t>
            </w:r>
          </w:p>
        </w:tc>
        <w:tc>
          <w:tcPr>
            <w:tcW w:w="7353" w:type="dxa"/>
            <w:noWrap w:val="0"/>
            <w:vAlign w:val="center"/>
          </w:tcPr>
          <w:p>
            <w:pPr>
              <w:spacing w:line="360" w:lineRule="exact"/>
              <w:rPr>
                <w:rFonts w:ascii="仿宋_GB2312" w:hAnsi="宋体"/>
                <w:sz w:val="24"/>
              </w:rPr>
            </w:pPr>
            <w:r>
              <w:rPr>
                <w:rFonts w:hint="eastAsia" w:ascii="仿宋_GB2312" w:hAnsi="宋体"/>
                <w:sz w:val="24"/>
              </w:rPr>
              <w:t>一年内新购进的人造板课桌椅、实验台，应有省级卫生部门出具的甲醛释放量检测报告、且结果符合国家卫生标准。学校宿舍应符合《学生宿舍要求及管理规范》(GB31177-2014)要求。</w:t>
            </w:r>
          </w:p>
        </w:tc>
        <w:tc>
          <w:tcPr>
            <w:tcW w:w="3686" w:type="dxa"/>
            <w:noWrap w:val="0"/>
            <w:vAlign w:val="center"/>
          </w:tcPr>
          <w:p>
            <w:pPr>
              <w:spacing w:line="360" w:lineRule="exact"/>
              <w:rPr>
                <w:rFonts w:ascii="仿宋_GB2312" w:hAnsi="宋体"/>
                <w:spacing w:val="-6"/>
                <w:sz w:val="24"/>
              </w:rPr>
            </w:pPr>
            <w:r>
              <w:rPr>
                <w:rFonts w:hint="eastAsia" w:ascii="仿宋_GB2312" w:hAnsi="宋体"/>
                <w:spacing w:val="-6"/>
                <w:sz w:val="24"/>
              </w:rPr>
              <w:t>人造板课桌椅、实验台的供货厂家向学校提供的近12个月内在省级卫生机构检测报告书的复印件。</w:t>
            </w:r>
          </w:p>
        </w:tc>
      </w:tr>
    </w:tbl>
    <w:p>
      <w:pPr>
        <w:spacing w:line="360" w:lineRule="exact"/>
        <w:ind w:left="708" w:hanging="708" w:hangingChars="294"/>
        <w:rPr>
          <w:rFonts w:ascii="仿宋_GB2312"/>
          <w:b/>
          <w:sz w:val="24"/>
        </w:rPr>
      </w:pPr>
      <w:r>
        <w:rPr>
          <w:rFonts w:hint="eastAsia" w:ascii="仿宋_GB2312"/>
          <w:b/>
          <w:sz w:val="24"/>
        </w:rPr>
        <w:t>备注：1.“安全稳定”项目得分大于或等于8.5分可评为通过，年检年度内出现因违规办学、虚假招生宣传等行为导致重大群体访或出现重大安全责任事故、重大刑事（治安）案件、重大火灾等，此项目为不通过。</w:t>
      </w:r>
    </w:p>
    <w:p>
      <w:pPr>
        <w:spacing w:line="360" w:lineRule="exact"/>
        <w:ind w:left="708" w:hanging="708" w:hangingChars="294"/>
        <w:rPr>
          <w:rFonts w:ascii="仿宋_GB2312"/>
          <w:b/>
          <w:sz w:val="24"/>
        </w:rPr>
      </w:pPr>
      <w:r>
        <w:rPr>
          <w:rFonts w:hint="eastAsia" w:ascii="仿宋_GB2312"/>
          <w:b/>
          <w:sz w:val="24"/>
        </w:rPr>
        <w:t xml:space="preserve">      2.“食堂食品安全”、“卫生安全”项目得分大于或等于8分可评为通过。</w:t>
      </w:r>
    </w:p>
    <w:p>
      <w:pPr>
        <w:spacing w:line="360" w:lineRule="exact"/>
        <w:ind w:left="708" w:hanging="708" w:hangingChars="294"/>
        <w:rPr>
          <w:rFonts w:ascii="仿宋_GB2312"/>
          <w:b/>
          <w:sz w:val="24"/>
        </w:rPr>
      </w:pPr>
      <w:r>
        <w:rPr>
          <w:rFonts w:hint="eastAsia" w:ascii="仿宋_GB2312"/>
          <w:b/>
          <w:sz w:val="24"/>
        </w:rPr>
        <w:t xml:space="preserve">      3.此三项项目有一项评分不通过，且在规定时间内未完成整改，当年年检结论为“暂缓通过”或“不通过”；如在规定时间内完成整改，当年年检结论为基本通过。</w:t>
      </w:r>
    </w:p>
    <w:p>
      <w:pPr>
        <w:spacing w:line="360" w:lineRule="exact"/>
        <w:rPr>
          <w:rFonts w:ascii="黑体" w:eastAsia="黑体"/>
          <w:szCs w:val="32"/>
        </w:rPr>
      </w:pPr>
    </w:p>
    <w:p>
      <w:pPr>
        <w:spacing w:line="500" w:lineRule="exact"/>
        <w:rPr>
          <w:rFonts w:ascii="黑体" w:eastAsia="黑体"/>
          <w:szCs w:val="32"/>
        </w:rPr>
      </w:pPr>
    </w:p>
    <w:p>
      <w:pPr>
        <w:spacing w:line="500" w:lineRule="exact"/>
        <w:rPr>
          <w:rFonts w:ascii="黑体" w:eastAsia="黑体"/>
          <w:szCs w:val="32"/>
        </w:rPr>
        <w:sectPr>
          <w:footerReference r:id="rId3" w:type="default"/>
          <w:footerReference r:id="rId4" w:type="even"/>
          <w:pgSz w:w="16838" w:h="11906" w:orient="landscape"/>
          <w:pgMar w:top="1531" w:right="1531" w:bottom="1531" w:left="1531" w:header="851" w:footer="1418" w:gutter="0"/>
          <w:pgNumType w:fmt="numberInDash"/>
          <w:cols w:space="720" w:num="1"/>
          <w:docGrid w:linePitch="577" w:charSpace="-1266"/>
        </w:sectPr>
      </w:pPr>
    </w:p>
    <w:p>
      <w:pPr>
        <w:spacing w:line="500" w:lineRule="exact"/>
        <w:ind w:firstLine="0" w:firstLineChars="0"/>
      </w:pPr>
    </w:p>
    <w:p/>
    <w:sectPr>
      <w:footerReference r:id="rId5" w:type="default"/>
      <w:footerReference r:id="rId6" w:type="even"/>
      <w:type w:val="continuous"/>
      <w:pgSz w:w="16838" w:h="11906" w:orient="landscape"/>
      <w:pgMar w:top="1531" w:right="1985" w:bottom="1531" w:left="2098" w:header="851" w:footer="1418" w:gutter="0"/>
      <w:pgNumType w:fmt="numberInDash"/>
      <w:cols w:space="720" w:num="1"/>
      <w:docGrid w:type="lines" w:linePitch="577"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11 -</w:t>
    </w:r>
    <w:r>
      <w:rPr>
        <w:rFonts w:ascii="宋体" w:hAnsi="宋体" w:eastAsia="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10 -</w:t>
    </w:r>
    <w:r>
      <w:rPr>
        <w:rFonts w:ascii="宋体" w:hAnsi="宋体" w:eastAsia="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15 -</w:t>
    </w:r>
    <w:r>
      <w:rPr>
        <w:rFonts w:ascii="宋体" w:hAnsi="宋体" w:eastAsia="宋体"/>
        <w:sz w:val="28"/>
        <w:szCs w:val="28"/>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20 -</w:t>
    </w:r>
    <w:r>
      <w:rPr>
        <w:rFonts w:ascii="宋体" w:hAnsi="宋体" w:eastAsia="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1OTZjOTM2ODkzYWU2YmQ4YjE4ZjRlY2IyMWM1YTYifQ=="/>
  </w:docVars>
  <w:rsids>
    <w:rsidRoot w:val="246E30F9"/>
    <w:rsid w:val="246E30F9"/>
    <w:rsid w:val="5658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2023-05-17T06:24:00Z</dcterms:created>
  <dc:creator>苏坡云☁️</dc:creator>
  <cp:lastModifiedBy>苏坡云☁️</cp:lastModifiedBy>
  <dcterms:modified xsi:type="dcterms:W3CDTF">2023-12-04T09:39:58Z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18778B0C03BE401DBA66C611C4F6233C_11</vt:lpwstr>
  </property>
</Properties>
</file>