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北京教育老干部活动中心202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二、收入总表    </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六、一般公共预算财政拨款支出表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七、一般公共预算财政拨款基本支出表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十一、财政拨款（含一般公共预算和政府性基金预算）“三公”经费支出表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spacing w:val="-18"/>
          <w:kern w:val="0"/>
          <w:sz w:val="32"/>
          <w:szCs w:val="32"/>
          <w:lang w:val="zh-CN"/>
        </w:rPr>
        <w:t>十三、项目支出绩效目标申报表</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2021年北京教育老干部活动中心</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预算情况说明</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（一）本单位职责</w:t>
      </w:r>
    </w:p>
    <w:p>
      <w:pPr>
        <w:tabs>
          <w:tab w:val="left" w:pos="7655"/>
        </w:tabs>
        <w:spacing w:line="560" w:lineRule="exact"/>
        <w:ind w:firstLine="640" w:firstLineChars="200"/>
        <w:rPr>
          <w:rFonts w:ascii="仿宋_GB2312" w:eastAsia="仿宋_GB2312"/>
          <w:sz w:val="32"/>
          <w:szCs w:val="32"/>
        </w:rPr>
      </w:pPr>
      <w:r>
        <w:rPr>
          <w:rFonts w:hint="eastAsia" w:ascii="仿宋_GB2312" w:eastAsia="仿宋_GB2312"/>
          <w:sz w:val="32"/>
          <w:szCs w:val="32"/>
        </w:rPr>
        <w:t>北京教育老干部活动中心（以下简称“本单位”）成立于1996年，承担为教育系统、市委教育工委、市教育机关老干部和老教师服务的任务。2010年北京教育老干部活动中心加挂北京教育老干部大学和北京教育老干部党校两块牌子，调整后，北京教育老干部活动中心增加“承担本市教育系统离退休人员继续教育（非学历）以及对离退休干部党支部书记和党员培训”职责。北京教育老干部活动中心以“加强教育系统离退休老同志思想政治引领和政治作用发挥”为根本任务，以建设“文体活动展示平台、工作骨干培训基地、文化养老示范中心”为职能定位，努力将活动中心建设成为“老有所教、老有所学、老有所乐、老有所为”的“老干部之家”，引领教育系统广大老同志积极发挥正能量作用。</w:t>
      </w:r>
    </w:p>
    <w:p>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机构设置情况</w:t>
      </w:r>
    </w:p>
    <w:p>
      <w:pPr>
        <w:spacing w:line="560" w:lineRule="exact"/>
        <w:ind w:firstLine="640" w:firstLineChars="200"/>
        <w:rPr>
          <w:rFonts w:ascii="仿宋_GB2312" w:eastAsia="仿宋_GB2312"/>
          <w:color w:val="000000"/>
          <w:sz w:val="32"/>
          <w:szCs w:val="32"/>
          <w:highlight w:val="yellow"/>
        </w:rPr>
      </w:pPr>
      <w:r>
        <w:rPr>
          <w:rFonts w:hint="eastAsia" w:ascii="仿宋_GB2312" w:eastAsia="仿宋_GB2312"/>
          <w:sz w:val="32"/>
          <w:szCs w:val="32"/>
        </w:rPr>
        <w:t>本单位下设办公室、活动部、生活服务部、宣传教育科、北京教育老干部大学（党校）办公室。</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（三）单位性质</w:t>
      </w:r>
    </w:p>
    <w:p>
      <w:pPr>
        <w:spacing w:line="560" w:lineRule="exact"/>
        <w:ind w:firstLine="739" w:firstLineChars="231"/>
        <w:rPr>
          <w:rFonts w:ascii="仿宋_GB2312" w:eastAsia="仿宋_GB2312"/>
          <w:color w:val="000000"/>
          <w:sz w:val="32"/>
          <w:szCs w:val="32"/>
        </w:rPr>
      </w:pPr>
      <w:r>
        <w:rPr>
          <w:rFonts w:hint="eastAsia" w:ascii="仿宋_GB2312" w:eastAsia="仿宋_GB2312"/>
          <w:color w:val="000000"/>
          <w:sz w:val="32"/>
          <w:szCs w:val="32"/>
        </w:rPr>
        <w:t>北京教育老干部活动中心为公益一类事业单位。</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（四）人员构成情况</w:t>
      </w:r>
    </w:p>
    <w:p>
      <w:pPr>
        <w:spacing w:line="560" w:lineRule="exact"/>
        <w:ind w:firstLine="739" w:firstLineChars="231"/>
        <w:rPr>
          <w:rFonts w:ascii="仿宋_GB2312" w:eastAsia="仿宋_GB2312"/>
          <w:color w:val="000000"/>
          <w:sz w:val="32"/>
          <w:szCs w:val="32"/>
        </w:rPr>
      </w:pPr>
      <w:r>
        <w:rPr>
          <w:rFonts w:hint="eastAsia" w:ascii="仿宋_GB2312" w:eastAsia="仿宋_GB2312"/>
          <w:color w:val="000000"/>
          <w:sz w:val="32"/>
          <w:szCs w:val="32"/>
        </w:rPr>
        <w:t>北京教育老干部活动中心事业编制内实际人数21人，退休18人。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（一）收入预算情况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2021年收入预算</w:t>
      </w:r>
      <w:r>
        <w:rPr>
          <w:rFonts w:ascii="仿宋_GB2312" w:eastAsia="仿宋_GB2312"/>
          <w:color w:val="000000"/>
          <w:sz w:val="32"/>
          <w:szCs w:val="32"/>
        </w:rPr>
        <w:t>1151.99</w:t>
      </w:r>
      <w:r>
        <w:rPr>
          <w:rFonts w:hint="eastAsia" w:ascii="仿宋_GB2312" w:eastAsia="仿宋_GB2312"/>
          <w:color w:val="000000"/>
          <w:sz w:val="32"/>
          <w:szCs w:val="32"/>
        </w:rPr>
        <w:t>万元，比2020年</w:t>
      </w:r>
      <w:r>
        <w:rPr>
          <w:rFonts w:ascii="仿宋_GB2312" w:eastAsia="仿宋_GB2312"/>
          <w:color w:val="000000"/>
          <w:sz w:val="32"/>
          <w:szCs w:val="32"/>
        </w:rPr>
        <w:t>692.96</w:t>
      </w:r>
      <w:r>
        <w:rPr>
          <w:rFonts w:hint="eastAsia" w:ascii="仿宋_GB2312" w:eastAsia="仿宋_GB2312"/>
          <w:color w:val="000000"/>
          <w:sz w:val="32"/>
          <w:szCs w:val="32"/>
        </w:rPr>
        <w:t>万元增加</w:t>
      </w:r>
      <w:r>
        <w:rPr>
          <w:rFonts w:ascii="仿宋_GB2312" w:eastAsia="仿宋_GB2312"/>
          <w:color w:val="000000"/>
          <w:sz w:val="32"/>
          <w:szCs w:val="32"/>
        </w:rPr>
        <w:t>459.03</w:t>
      </w:r>
      <w:r>
        <w:rPr>
          <w:rFonts w:hint="eastAsia" w:ascii="仿宋_GB2312" w:eastAsia="仿宋_GB2312"/>
          <w:color w:val="000000"/>
          <w:sz w:val="32"/>
          <w:szCs w:val="32"/>
        </w:rPr>
        <w:t>万元。其中：</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财政拨款</w:t>
      </w:r>
      <w:r>
        <w:rPr>
          <w:rFonts w:ascii="仿宋_GB2312" w:eastAsia="仿宋_GB2312"/>
          <w:color w:val="000000"/>
          <w:sz w:val="32"/>
          <w:szCs w:val="32"/>
        </w:rPr>
        <w:t>1058.67</w:t>
      </w:r>
      <w:r>
        <w:rPr>
          <w:rFonts w:hint="eastAsia" w:ascii="仿宋_GB2312" w:eastAsia="仿宋_GB2312"/>
          <w:color w:val="000000"/>
          <w:sz w:val="32"/>
          <w:szCs w:val="32"/>
        </w:rPr>
        <w:t>万元,比2020年</w:t>
      </w:r>
      <w:r>
        <w:rPr>
          <w:rFonts w:ascii="仿宋_GB2312" w:eastAsia="仿宋_GB2312"/>
          <w:color w:val="000000"/>
          <w:sz w:val="32"/>
          <w:szCs w:val="32"/>
        </w:rPr>
        <w:t>639.73</w:t>
      </w:r>
      <w:r>
        <w:rPr>
          <w:rFonts w:hint="eastAsia" w:ascii="仿宋_GB2312" w:eastAsia="仿宋_GB2312"/>
          <w:color w:val="000000"/>
          <w:sz w:val="32"/>
          <w:szCs w:val="32"/>
        </w:rPr>
        <w:t>万元增加</w:t>
      </w:r>
      <w:r>
        <w:rPr>
          <w:rFonts w:ascii="仿宋_GB2312" w:eastAsia="仿宋_GB2312"/>
          <w:color w:val="000000"/>
          <w:sz w:val="32"/>
          <w:szCs w:val="32"/>
        </w:rPr>
        <w:t>418.9</w:t>
      </w:r>
      <w:r>
        <w:rPr>
          <w:rFonts w:hint="eastAsia" w:ascii="仿宋_GB2312" w:eastAsia="仿宋_GB2312"/>
          <w:color w:val="000000"/>
          <w:sz w:val="32"/>
          <w:szCs w:val="32"/>
        </w:rPr>
        <w:t>4万元，主要原因是一是根据事业发展规划，调整项目</w:t>
      </w:r>
      <w:r>
        <w:rPr>
          <w:rFonts w:hint="eastAsia" w:ascii="仿宋_GB2312" w:eastAsia="仿宋_GB2312"/>
          <w:color w:val="000000"/>
          <w:sz w:val="32"/>
          <w:szCs w:val="32"/>
          <w:lang w:val="en-US" w:eastAsia="zh-CN"/>
        </w:rPr>
        <w:t>安排</w:t>
      </w:r>
      <w:bookmarkStart w:id="0" w:name="_GoBack"/>
      <w:bookmarkEnd w:id="0"/>
      <w:r>
        <w:rPr>
          <w:rFonts w:hint="eastAsia" w:ascii="仿宋_GB2312" w:eastAsia="仿宋_GB2312"/>
          <w:color w:val="000000"/>
          <w:sz w:val="32"/>
          <w:szCs w:val="32"/>
        </w:rPr>
        <w:t>；二是由于落实人员正常调资和增加离休费等有关政策，以及根据单位事业发展规划，增加基本经费支出。</w:t>
      </w:r>
    </w:p>
    <w:p>
      <w:pPr>
        <w:spacing w:line="600" w:lineRule="exact"/>
        <w:ind w:firstLine="640" w:firstLineChars="200"/>
        <w:rPr>
          <w:rFonts w:ascii="仿宋_GB2312" w:eastAsia="仿宋_GB2312"/>
          <w:sz w:val="32"/>
          <w:szCs w:val="32"/>
        </w:rPr>
      </w:pPr>
      <w:r>
        <w:rPr>
          <w:rFonts w:hint="eastAsia" w:ascii="仿宋_GB2312" w:eastAsia="仿宋_GB2312"/>
          <w:color w:val="000000"/>
          <w:sz w:val="32"/>
          <w:szCs w:val="32"/>
        </w:rPr>
        <w:t>统筹使用事业基金安排预算6万元,比2020年8.74万元减少2.74万元。主要原因</w:t>
      </w:r>
      <w:r>
        <w:rPr>
          <w:rFonts w:hint="eastAsia" w:ascii="仿宋_GB2312" w:eastAsia="仿宋_GB2312"/>
          <w:sz w:val="32"/>
          <w:szCs w:val="32"/>
        </w:rPr>
        <w:t>是2021年预算是根据2020年年末预计结余情况进行编制。</w:t>
      </w:r>
    </w:p>
    <w:p>
      <w:pPr>
        <w:spacing w:line="600" w:lineRule="exact"/>
        <w:ind w:firstLine="640" w:firstLineChars="200"/>
        <w:rPr>
          <w:rFonts w:ascii="仿宋_GB2312" w:eastAsia="仿宋_GB2312"/>
          <w:sz w:val="32"/>
          <w:szCs w:val="32"/>
        </w:rPr>
      </w:pPr>
      <w:r>
        <w:rPr>
          <w:rFonts w:hint="eastAsia" w:ascii="仿宋_GB2312" w:eastAsia="仿宋_GB2312"/>
          <w:color w:val="000000"/>
          <w:sz w:val="32"/>
          <w:szCs w:val="32"/>
        </w:rPr>
        <w:t>其他资金87.32万元,比2020年44.5万元增加42.82万元。主要原因是2020年批复财政项目结转至2021年使用。</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（二）支出预算情况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2021年支出预算</w:t>
      </w:r>
      <w:r>
        <w:rPr>
          <w:rFonts w:ascii="仿宋_GB2312" w:eastAsia="仿宋_GB2312"/>
          <w:color w:val="000000"/>
          <w:sz w:val="32"/>
          <w:szCs w:val="32"/>
        </w:rPr>
        <w:t>1151.99</w:t>
      </w:r>
      <w:r>
        <w:rPr>
          <w:rFonts w:hint="eastAsia" w:ascii="仿宋_GB2312" w:eastAsia="仿宋_GB2312"/>
          <w:color w:val="000000"/>
          <w:sz w:val="32"/>
          <w:szCs w:val="32"/>
        </w:rPr>
        <w:t>万元，比2020年</w:t>
      </w:r>
      <w:r>
        <w:rPr>
          <w:rFonts w:ascii="仿宋_GB2312" w:eastAsia="仿宋_GB2312"/>
          <w:color w:val="000000"/>
          <w:sz w:val="32"/>
          <w:szCs w:val="32"/>
        </w:rPr>
        <w:t>692.96</w:t>
      </w:r>
      <w:r>
        <w:rPr>
          <w:rFonts w:hint="eastAsia" w:ascii="仿宋_GB2312" w:eastAsia="仿宋_GB2312"/>
          <w:color w:val="000000"/>
          <w:sz w:val="32"/>
          <w:szCs w:val="32"/>
        </w:rPr>
        <w:t>万元增加</w:t>
      </w:r>
      <w:r>
        <w:rPr>
          <w:rFonts w:ascii="仿宋_GB2312" w:eastAsia="仿宋_GB2312"/>
          <w:color w:val="000000"/>
          <w:sz w:val="32"/>
          <w:szCs w:val="32"/>
        </w:rPr>
        <w:t>459.03</w:t>
      </w:r>
      <w:r>
        <w:rPr>
          <w:rFonts w:hint="eastAsia" w:ascii="仿宋_GB2312" w:eastAsia="仿宋_GB2312"/>
          <w:color w:val="000000"/>
          <w:sz w:val="32"/>
          <w:szCs w:val="32"/>
        </w:rPr>
        <w:t>万元。其中：</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基本支出预算</w:t>
      </w:r>
      <w:r>
        <w:rPr>
          <w:rFonts w:ascii="仿宋_GB2312" w:eastAsia="仿宋_GB2312"/>
          <w:color w:val="000000"/>
          <w:sz w:val="32"/>
          <w:szCs w:val="32"/>
        </w:rPr>
        <w:t>768.81</w:t>
      </w:r>
      <w:r>
        <w:rPr>
          <w:rFonts w:hint="eastAsia" w:ascii="仿宋_GB2312" w:eastAsia="仿宋_GB2312"/>
          <w:color w:val="000000"/>
          <w:sz w:val="32"/>
          <w:szCs w:val="32"/>
        </w:rPr>
        <w:t>万元，比2020年</w:t>
      </w:r>
      <w:r>
        <w:rPr>
          <w:rFonts w:ascii="仿宋_GB2312" w:eastAsia="仿宋_GB2312"/>
          <w:color w:val="000000"/>
          <w:sz w:val="32"/>
          <w:szCs w:val="32"/>
        </w:rPr>
        <w:t>648.96</w:t>
      </w:r>
      <w:r>
        <w:rPr>
          <w:rFonts w:hint="eastAsia" w:ascii="仿宋_GB2312" w:eastAsia="仿宋_GB2312"/>
          <w:color w:val="000000"/>
          <w:sz w:val="32"/>
          <w:szCs w:val="32"/>
        </w:rPr>
        <w:t>万元增加</w:t>
      </w:r>
      <w:r>
        <w:rPr>
          <w:rFonts w:ascii="仿宋_GB2312" w:eastAsia="仿宋_GB2312"/>
          <w:color w:val="000000"/>
          <w:sz w:val="32"/>
          <w:szCs w:val="32"/>
        </w:rPr>
        <w:t>119.85</w:t>
      </w:r>
      <w:r>
        <w:rPr>
          <w:rFonts w:hint="eastAsia" w:ascii="仿宋_GB2312" w:eastAsia="仿宋_GB2312"/>
          <w:color w:val="000000"/>
          <w:sz w:val="32"/>
          <w:szCs w:val="32"/>
        </w:rPr>
        <w:t>万元，主要原因是由于落实人员正常调资等有关政策，以及根据单位事业发展规划，增加基本经费支出。</w:t>
      </w:r>
    </w:p>
    <w:p>
      <w:pPr>
        <w:spacing w:line="600" w:lineRule="exact"/>
        <w:ind w:firstLine="640" w:firstLineChars="200"/>
        <w:rPr>
          <w:rFonts w:ascii="仿宋_GB2312" w:eastAsia="仿宋_GB2312"/>
          <w:sz w:val="32"/>
          <w:szCs w:val="32"/>
        </w:rPr>
      </w:pPr>
      <w:r>
        <w:rPr>
          <w:rFonts w:hint="eastAsia" w:ascii="仿宋_GB2312" w:eastAsia="仿宋_GB2312"/>
          <w:color w:val="000000"/>
          <w:sz w:val="32"/>
          <w:szCs w:val="32"/>
        </w:rPr>
        <w:t>项目支出预算</w:t>
      </w:r>
      <w:r>
        <w:rPr>
          <w:rFonts w:ascii="仿宋_GB2312" w:eastAsia="仿宋_GB2312"/>
          <w:color w:val="000000"/>
          <w:sz w:val="32"/>
          <w:szCs w:val="32"/>
        </w:rPr>
        <w:t>340.18</w:t>
      </w:r>
      <w:r>
        <w:rPr>
          <w:rFonts w:hint="eastAsia" w:ascii="仿宋_GB2312" w:eastAsia="仿宋_GB2312"/>
          <w:color w:val="000000"/>
          <w:sz w:val="32"/>
          <w:szCs w:val="32"/>
        </w:rPr>
        <w:t>万元，比2020年0万元增加</w:t>
      </w:r>
      <w:r>
        <w:rPr>
          <w:rFonts w:ascii="仿宋_GB2312" w:eastAsia="仿宋_GB2312"/>
          <w:color w:val="000000"/>
          <w:sz w:val="32"/>
          <w:szCs w:val="32"/>
        </w:rPr>
        <w:t>340.18</w:t>
      </w:r>
      <w:r>
        <w:rPr>
          <w:rFonts w:hint="eastAsia" w:ascii="仿宋_GB2312" w:eastAsia="仿宋_GB2312"/>
          <w:color w:val="000000"/>
          <w:sz w:val="32"/>
          <w:szCs w:val="32"/>
        </w:rPr>
        <w:t>万元</w:t>
      </w:r>
      <w:r>
        <w:rPr>
          <w:rFonts w:hint="eastAsia" w:ascii="仿宋_GB2312" w:eastAsia="仿宋_GB2312"/>
          <w:sz w:val="32"/>
          <w:szCs w:val="32"/>
        </w:rPr>
        <w:t>，主要原因是根据事业发展规划，调整项目支出。</w:t>
      </w:r>
    </w:p>
    <w:p>
      <w:pPr>
        <w:spacing w:line="600" w:lineRule="exact"/>
        <w:ind w:firstLine="640" w:firstLineChars="200"/>
        <w:rPr>
          <w:rFonts w:ascii="仿宋_GB2312" w:eastAsia="仿宋_GB2312"/>
          <w:color w:val="000000"/>
          <w:sz w:val="32"/>
          <w:szCs w:val="32"/>
        </w:rPr>
      </w:pPr>
      <w:r>
        <w:rPr>
          <w:rFonts w:hint="eastAsia" w:ascii="仿宋_GB2312" w:eastAsia="仿宋_GB2312"/>
          <w:sz w:val="32"/>
          <w:szCs w:val="32"/>
        </w:rPr>
        <w:t>事业单位经营支</w:t>
      </w:r>
      <w:r>
        <w:rPr>
          <w:rFonts w:hint="eastAsia" w:ascii="仿宋_GB2312" w:eastAsia="仿宋_GB2312"/>
          <w:color w:val="000000"/>
          <w:sz w:val="32"/>
          <w:szCs w:val="32"/>
        </w:rPr>
        <w:t>出43万元，比2020年44万元减少1万元，主要原因是经营支出资金来源为经营收入，预计经营收入略有减少。</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按照支出内容，北京教育老干部活动中心项目支出主要用于直属单位业务发展。</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2021年“三公”经费财政拨款预算0.1万元。其中：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1. 因公出国（境）费用。本单位2021年无财政拨款安排的因公出国（境）费用。 </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2.公务接待费。2021年预算数0.1万元，主要用于</w:t>
      </w:r>
      <w:r>
        <w:rPr>
          <w:rFonts w:hint="eastAsia" w:ascii="仿宋_GB2312" w:eastAsia="仿宋_GB2312"/>
          <w:sz w:val="32"/>
          <w:szCs w:val="32"/>
        </w:rPr>
        <w:t>接待有公函的公务接待支出</w:t>
      </w:r>
      <w:r>
        <w:rPr>
          <w:rFonts w:hint="eastAsia"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 公务用车购置和运行维护费。本单位2021年无财政拨款安排的公务用车购置和运行维护费。</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2021年北京教育老干部活动中心政府采购预算总额157.58万元，其中：政府采购服务预算157.58万元。</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本单位2021年无政府购买服务预算。</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2021年本单位的机关运行经费财政拨款预算165.69万元。</w:t>
      </w:r>
    </w:p>
    <w:p>
      <w:pPr>
        <w:spacing w:line="560" w:lineRule="exact"/>
        <w:ind w:firstLine="480" w:firstLineChars="150"/>
        <w:rPr>
          <w:rFonts w:ascii="楷体_GB2312" w:eastAsia="楷体_GB2312"/>
          <w:b/>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2021年，北京教育老干部活动中心填报绩效目标的预算项目4个，占本单位全部预算项目4个的100%。填报绩效目标的项目支出预算296.31万元，占本单位年初全部项目支出预算的100%。</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本单位2021年无重点行政事业性收费。</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截至2020年底，北京教育老干部活动中心共有车辆5台，139.34万元；单位价值50万元以上的通用设备1套、50.75万元，单位价值100万元以上的专用设备0台（套）、0万元。</w:t>
      </w:r>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（八）重点支出和重大投资项目情况说明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本单位2021年无重点支出和重大投资项目。</w:t>
      </w:r>
    </w:p>
    <w:p>
      <w:pPr>
        <w:spacing w:line="560" w:lineRule="exact"/>
        <w:ind w:firstLine="640" w:firstLineChars="200"/>
        <w:rPr>
          <w:rFonts w:ascii="仿宋_GB2312" w:eastAsia="仿宋_GB2312"/>
          <w:color w:val="000000"/>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autoSpaceDE w:val="0"/>
        <w:autoSpaceDN w:val="0"/>
        <w:adjustRightInd w:val="0"/>
        <w:spacing w:line="560" w:lineRule="exact"/>
        <w:jc w:val="left"/>
        <w:rPr>
          <w:rFonts w:ascii="方正小标宋简体" w:eastAsia="方正小标宋简体"/>
          <w:color w:val="000000"/>
          <w:sz w:val="36"/>
          <w:szCs w:val="36"/>
        </w:rPr>
      </w:pPr>
    </w:p>
    <w:p>
      <w:r>
        <w:rPr>
          <w:rFonts w:hint="eastAsia" w:ascii="仿宋_GB2312" w:eastAsia="仿宋_GB2312"/>
          <w:color w:val="000000"/>
          <w:sz w:val="32"/>
          <w:szCs w:val="32"/>
        </w:rPr>
        <w:t>附件：北京教育老干部活动中心2021年度单位预算报表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1DB0F7"/>
    <w:multiLevelType w:val="singleLevel"/>
    <w:tmpl w:val="D41DB0F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542B"/>
    <w:rsid w:val="00015615"/>
    <w:rsid w:val="00022EC9"/>
    <w:rsid w:val="00023DE1"/>
    <w:rsid w:val="000241B8"/>
    <w:rsid w:val="00031F38"/>
    <w:rsid w:val="0003245C"/>
    <w:rsid w:val="00035812"/>
    <w:rsid w:val="0005128C"/>
    <w:rsid w:val="00053DDD"/>
    <w:rsid w:val="00084CD3"/>
    <w:rsid w:val="00086D71"/>
    <w:rsid w:val="000A0035"/>
    <w:rsid w:val="000A1CAD"/>
    <w:rsid w:val="000A2DD9"/>
    <w:rsid w:val="000F2483"/>
    <w:rsid w:val="00115830"/>
    <w:rsid w:val="00126C89"/>
    <w:rsid w:val="0014236C"/>
    <w:rsid w:val="0015457E"/>
    <w:rsid w:val="00165798"/>
    <w:rsid w:val="00170CCC"/>
    <w:rsid w:val="00182102"/>
    <w:rsid w:val="001A337A"/>
    <w:rsid w:val="001C60FE"/>
    <w:rsid w:val="001E37D5"/>
    <w:rsid w:val="001E4F21"/>
    <w:rsid w:val="001E5E1C"/>
    <w:rsid w:val="0022005B"/>
    <w:rsid w:val="002472C6"/>
    <w:rsid w:val="00250609"/>
    <w:rsid w:val="002562F5"/>
    <w:rsid w:val="002669BC"/>
    <w:rsid w:val="00271EC0"/>
    <w:rsid w:val="0027678F"/>
    <w:rsid w:val="002777D9"/>
    <w:rsid w:val="00282E8F"/>
    <w:rsid w:val="00292739"/>
    <w:rsid w:val="002C67FD"/>
    <w:rsid w:val="002E190C"/>
    <w:rsid w:val="002E1BE6"/>
    <w:rsid w:val="002F1318"/>
    <w:rsid w:val="002F278C"/>
    <w:rsid w:val="00336729"/>
    <w:rsid w:val="00346FBE"/>
    <w:rsid w:val="00347FC5"/>
    <w:rsid w:val="00361E5D"/>
    <w:rsid w:val="00373F45"/>
    <w:rsid w:val="00374207"/>
    <w:rsid w:val="003754B1"/>
    <w:rsid w:val="003823E3"/>
    <w:rsid w:val="00386BDE"/>
    <w:rsid w:val="003C593D"/>
    <w:rsid w:val="003D1978"/>
    <w:rsid w:val="003D5674"/>
    <w:rsid w:val="003E1F75"/>
    <w:rsid w:val="003E6081"/>
    <w:rsid w:val="0043387F"/>
    <w:rsid w:val="00450857"/>
    <w:rsid w:val="004512CE"/>
    <w:rsid w:val="004701CA"/>
    <w:rsid w:val="00471CE7"/>
    <w:rsid w:val="00472A2E"/>
    <w:rsid w:val="00483136"/>
    <w:rsid w:val="0049362C"/>
    <w:rsid w:val="004A1265"/>
    <w:rsid w:val="004B12EC"/>
    <w:rsid w:val="004B1646"/>
    <w:rsid w:val="004E4ED1"/>
    <w:rsid w:val="004F11F6"/>
    <w:rsid w:val="004F74ED"/>
    <w:rsid w:val="00530256"/>
    <w:rsid w:val="0053454E"/>
    <w:rsid w:val="00545DE9"/>
    <w:rsid w:val="00554B40"/>
    <w:rsid w:val="00590693"/>
    <w:rsid w:val="0059310F"/>
    <w:rsid w:val="00593F5B"/>
    <w:rsid w:val="00595D63"/>
    <w:rsid w:val="005A2487"/>
    <w:rsid w:val="005B4C2D"/>
    <w:rsid w:val="005C7640"/>
    <w:rsid w:val="005D0C0C"/>
    <w:rsid w:val="005D2DBD"/>
    <w:rsid w:val="00620120"/>
    <w:rsid w:val="00624564"/>
    <w:rsid w:val="00652E02"/>
    <w:rsid w:val="00654509"/>
    <w:rsid w:val="006737E1"/>
    <w:rsid w:val="0068253C"/>
    <w:rsid w:val="006844FC"/>
    <w:rsid w:val="006A141D"/>
    <w:rsid w:val="006B2C77"/>
    <w:rsid w:val="006B7505"/>
    <w:rsid w:val="006E0BAC"/>
    <w:rsid w:val="006F343A"/>
    <w:rsid w:val="006F35A6"/>
    <w:rsid w:val="006F4922"/>
    <w:rsid w:val="007050C0"/>
    <w:rsid w:val="007317A2"/>
    <w:rsid w:val="00745A85"/>
    <w:rsid w:val="007526F2"/>
    <w:rsid w:val="00752F58"/>
    <w:rsid w:val="00762EE2"/>
    <w:rsid w:val="0079211A"/>
    <w:rsid w:val="007A1518"/>
    <w:rsid w:val="007D46B7"/>
    <w:rsid w:val="007D7A62"/>
    <w:rsid w:val="007F20EA"/>
    <w:rsid w:val="00802EAD"/>
    <w:rsid w:val="008136D7"/>
    <w:rsid w:val="00814DFF"/>
    <w:rsid w:val="008236A1"/>
    <w:rsid w:val="00824916"/>
    <w:rsid w:val="0083542B"/>
    <w:rsid w:val="00872564"/>
    <w:rsid w:val="0087643D"/>
    <w:rsid w:val="00894D43"/>
    <w:rsid w:val="0089797D"/>
    <w:rsid w:val="008A2C07"/>
    <w:rsid w:val="008A7EF5"/>
    <w:rsid w:val="008C0A31"/>
    <w:rsid w:val="008D00AC"/>
    <w:rsid w:val="008D1864"/>
    <w:rsid w:val="008D28AE"/>
    <w:rsid w:val="008F1937"/>
    <w:rsid w:val="008F3E1C"/>
    <w:rsid w:val="00902C53"/>
    <w:rsid w:val="009039A5"/>
    <w:rsid w:val="0093131D"/>
    <w:rsid w:val="009327F0"/>
    <w:rsid w:val="00934CF7"/>
    <w:rsid w:val="00946DF4"/>
    <w:rsid w:val="0095781F"/>
    <w:rsid w:val="009768B0"/>
    <w:rsid w:val="00996DA1"/>
    <w:rsid w:val="009D4E7D"/>
    <w:rsid w:val="009E2D15"/>
    <w:rsid w:val="00A15CA0"/>
    <w:rsid w:val="00A211C0"/>
    <w:rsid w:val="00A53972"/>
    <w:rsid w:val="00A61938"/>
    <w:rsid w:val="00A6223B"/>
    <w:rsid w:val="00A7474F"/>
    <w:rsid w:val="00A82CA2"/>
    <w:rsid w:val="00A844BF"/>
    <w:rsid w:val="00A867F7"/>
    <w:rsid w:val="00AB0A81"/>
    <w:rsid w:val="00AD2F1E"/>
    <w:rsid w:val="00AD5449"/>
    <w:rsid w:val="00AE6343"/>
    <w:rsid w:val="00B264C5"/>
    <w:rsid w:val="00B27F41"/>
    <w:rsid w:val="00B445B7"/>
    <w:rsid w:val="00B501FE"/>
    <w:rsid w:val="00B750B5"/>
    <w:rsid w:val="00BA603C"/>
    <w:rsid w:val="00BB33D6"/>
    <w:rsid w:val="00BB665B"/>
    <w:rsid w:val="00BE24F2"/>
    <w:rsid w:val="00BF4E3B"/>
    <w:rsid w:val="00C07EAE"/>
    <w:rsid w:val="00C47A37"/>
    <w:rsid w:val="00C773D0"/>
    <w:rsid w:val="00C86038"/>
    <w:rsid w:val="00CA767A"/>
    <w:rsid w:val="00CB01AC"/>
    <w:rsid w:val="00CB36A3"/>
    <w:rsid w:val="00CB5F08"/>
    <w:rsid w:val="00CC0A14"/>
    <w:rsid w:val="00CE071C"/>
    <w:rsid w:val="00CF3FED"/>
    <w:rsid w:val="00D06CE9"/>
    <w:rsid w:val="00D22364"/>
    <w:rsid w:val="00D22993"/>
    <w:rsid w:val="00D33A00"/>
    <w:rsid w:val="00D70BC8"/>
    <w:rsid w:val="00D71736"/>
    <w:rsid w:val="00D7509E"/>
    <w:rsid w:val="00D857D9"/>
    <w:rsid w:val="00D87F58"/>
    <w:rsid w:val="00DA5CC1"/>
    <w:rsid w:val="00DB0EA4"/>
    <w:rsid w:val="00DC176F"/>
    <w:rsid w:val="00DD2B81"/>
    <w:rsid w:val="00DE4922"/>
    <w:rsid w:val="00E066B1"/>
    <w:rsid w:val="00E165B8"/>
    <w:rsid w:val="00E27D1D"/>
    <w:rsid w:val="00E35892"/>
    <w:rsid w:val="00E36D60"/>
    <w:rsid w:val="00E65B57"/>
    <w:rsid w:val="00EA1910"/>
    <w:rsid w:val="00EA3D45"/>
    <w:rsid w:val="00ED4C1F"/>
    <w:rsid w:val="00EE36F2"/>
    <w:rsid w:val="00F0632A"/>
    <w:rsid w:val="00F116A0"/>
    <w:rsid w:val="00F316BB"/>
    <w:rsid w:val="00F52890"/>
    <w:rsid w:val="00F623DF"/>
    <w:rsid w:val="00F65DB3"/>
    <w:rsid w:val="00F86259"/>
    <w:rsid w:val="00FB0872"/>
    <w:rsid w:val="00FF0109"/>
    <w:rsid w:val="01FB06D0"/>
    <w:rsid w:val="05F3140C"/>
    <w:rsid w:val="05F70E94"/>
    <w:rsid w:val="09165047"/>
    <w:rsid w:val="164860D0"/>
    <w:rsid w:val="21020E10"/>
    <w:rsid w:val="22FD1837"/>
    <w:rsid w:val="25725483"/>
    <w:rsid w:val="2B903D55"/>
    <w:rsid w:val="2E083D1D"/>
    <w:rsid w:val="3B921DF5"/>
    <w:rsid w:val="3EBB166B"/>
    <w:rsid w:val="41F65062"/>
    <w:rsid w:val="4D80309D"/>
    <w:rsid w:val="54C32486"/>
    <w:rsid w:val="63B123D5"/>
    <w:rsid w:val="64B56DE3"/>
    <w:rsid w:val="758C63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563C1" w:themeColor="hyperlink"/>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63AFEC-8484-4430-825D-49580893534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355</Words>
  <Characters>2028</Characters>
  <Lines>16</Lines>
  <Paragraphs>4</Paragraphs>
  <TotalTime>803</TotalTime>
  <ScaleCrop>false</ScaleCrop>
  <LinksUpToDate>false</LinksUpToDate>
  <CharactersWithSpaces>2379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2021-02-22T05:53:00Z</dcterms:created>
  <dc:creator>刘伟奇</dc:creator>
  <cp:lastModifiedBy>POIROT</cp:lastModifiedBy>
  <cp:lastPrinted>2021-03-08T06:22:00Z</cp:lastPrinted>
  <dcterms:modified xsi:type="dcterms:W3CDTF">2021-03-19T02:04:22Z</dcterms:modified>
  <cp:revision>592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