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仿宋" w:eastAsia="方正小标宋简体"/>
          <w:sz w:val="36"/>
          <w:szCs w:val="36"/>
        </w:rPr>
      </w:pPr>
    </w:p>
    <w:p>
      <w:pPr>
        <w:jc w:val="center"/>
        <w:rPr>
          <w:rFonts w:ascii="方正小标宋简体" w:eastAsia="方正小标宋简体"/>
          <w:color w:val="000000"/>
          <w:sz w:val="36"/>
          <w:szCs w:val="36"/>
        </w:rPr>
      </w:pPr>
      <w:r>
        <w:rPr>
          <w:rFonts w:hint="eastAsia" w:ascii="方正小标宋简体" w:hAnsi="仿宋" w:eastAsia="方正小标宋简体"/>
          <w:sz w:val="36"/>
          <w:szCs w:val="36"/>
        </w:rPr>
        <w:t>北京市国际教育交流中心2021年</w:t>
      </w:r>
      <w:r>
        <w:rPr>
          <w:rFonts w:hint="eastAsia" w:ascii="方正小标宋简体" w:eastAsia="方正小标宋简体"/>
          <w:color w:val="000000"/>
          <w:sz w:val="36"/>
          <w:szCs w:val="36"/>
        </w:rPr>
        <w:t>财政预算信息</w:t>
      </w:r>
    </w:p>
    <w:p>
      <w:pPr>
        <w:jc w:val="center"/>
        <w:rPr>
          <w:rFonts w:ascii="方正小标宋简体" w:hAnsi="仿宋" w:eastAsia="方正小标宋简体"/>
          <w:sz w:val="36"/>
          <w:szCs w:val="36"/>
        </w:rPr>
      </w:pPr>
    </w:p>
    <w:p>
      <w:pPr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目</w:t>
      </w:r>
      <w:r>
        <w:rPr>
          <w:rFonts w:ascii="仿宋" w:hAnsi="仿宋" w:eastAsia="仿宋"/>
          <w:sz w:val="32"/>
          <w:szCs w:val="32"/>
        </w:rPr>
        <w:t xml:space="preserve"> 录</w:t>
      </w:r>
    </w:p>
    <w:p>
      <w:pPr>
        <w:jc w:val="center"/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第一部分</w:t>
      </w:r>
      <w:r>
        <w:rPr>
          <w:rFonts w:ascii="仿宋" w:hAnsi="仿宋" w:eastAsia="仿宋"/>
          <w:sz w:val="32"/>
          <w:szCs w:val="32"/>
        </w:rPr>
        <w:t xml:space="preserve"> 2021年度部门预算情况说明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一、部门基本情况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二、</w:t>
      </w:r>
      <w:r>
        <w:rPr>
          <w:rFonts w:ascii="仿宋" w:hAnsi="仿宋" w:eastAsia="仿宋"/>
          <w:sz w:val="32"/>
          <w:szCs w:val="32"/>
        </w:rPr>
        <w:t>2021年收入及支出总体情况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三、主要支出情况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四、部门“三公”经费财政拨款预算说明</w:t>
      </w:r>
    </w:p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五、其他情况说明</w:t>
      </w:r>
    </w:p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六、名词解释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第二部分</w:t>
      </w:r>
      <w:r>
        <w:rPr>
          <w:rFonts w:ascii="仿宋" w:hAnsi="仿宋" w:eastAsia="仿宋"/>
          <w:sz w:val="32"/>
          <w:szCs w:val="32"/>
        </w:rPr>
        <w:t xml:space="preserve"> 2021年度部门预算报表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一、收支总表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二、收入总表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三、支出总表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四、政府采购预算明细表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五、财政拨款收支总表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六、一般公共预算财政拨款支出表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七、一般公共预算财政拨款基本支出表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八、一般公共预算财政拨款项目支出表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九、政府性基金预算财政拨款支出表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十、国有资本经营预算财政拨款支出表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十一、财政拨款</w:t>
      </w:r>
      <w:r>
        <w:rPr>
          <w:rFonts w:ascii="仿宋" w:hAnsi="仿宋" w:eastAsia="仿宋"/>
          <w:sz w:val="32"/>
          <w:szCs w:val="32"/>
        </w:rPr>
        <w:t>(含一般公共预算和政府性基金预算)“三公”经费支出表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　　十二、政府购买服务预算财政拨款明细表</w:t>
      </w:r>
    </w:p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十三、项目支出绩效目标申报表</w:t>
      </w:r>
    </w:p>
    <w:p>
      <w:pPr>
        <w:ind w:firstLine="645"/>
        <w:rPr>
          <w:rFonts w:ascii="仿宋" w:hAnsi="仿宋" w:eastAsia="仿宋"/>
          <w:sz w:val="32"/>
          <w:szCs w:val="32"/>
        </w:rPr>
      </w:pPr>
    </w:p>
    <w:p>
      <w:pPr>
        <w:ind w:firstLine="645"/>
        <w:rPr>
          <w:rFonts w:ascii="仿宋" w:hAnsi="仿宋" w:eastAsia="仿宋"/>
          <w:sz w:val="32"/>
          <w:szCs w:val="32"/>
        </w:rPr>
      </w:pPr>
    </w:p>
    <w:p>
      <w:pPr>
        <w:ind w:firstLine="645"/>
        <w:rPr>
          <w:rFonts w:ascii="仿宋" w:hAnsi="仿宋" w:eastAsia="仿宋"/>
          <w:sz w:val="32"/>
          <w:szCs w:val="32"/>
        </w:rPr>
      </w:pPr>
    </w:p>
    <w:p>
      <w:pPr>
        <w:ind w:firstLine="645"/>
        <w:rPr>
          <w:rFonts w:ascii="仿宋" w:hAnsi="仿宋" w:eastAsia="仿宋"/>
          <w:sz w:val="32"/>
          <w:szCs w:val="32"/>
        </w:rPr>
      </w:pPr>
    </w:p>
    <w:p>
      <w:pPr>
        <w:ind w:firstLine="645"/>
        <w:rPr>
          <w:rFonts w:ascii="仿宋" w:hAnsi="仿宋" w:eastAsia="仿宋"/>
          <w:sz w:val="32"/>
          <w:szCs w:val="32"/>
        </w:rPr>
      </w:pPr>
    </w:p>
    <w:p>
      <w:pPr>
        <w:ind w:firstLine="645"/>
        <w:rPr>
          <w:rFonts w:ascii="仿宋" w:hAnsi="仿宋" w:eastAsia="仿宋"/>
          <w:sz w:val="32"/>
          <w:szCs w:val="32"/>
        </w:rPr>
      </w:pPr>
    </w:p>
    <w:p>
      <w:pPr>
        <w:ind w:firstLine="645"/>
        <w:rPr>
          <w:rFonts w:ascii="仿宋" w:hAnsi="仿宋" w:eastAsia="仿宋"/>
          <w:sz w:val="32"/>
          <w:szCs w:val="32"/>
        </w:rPr>
      </w:pPr>
    </w:p>
    <w:p>
      <w:pPr>
        <w:ind w:firstLine="645"/>
        <w:rPr>
          <w:rFonts w:ascii="仿宋" w:hAnsi="仿宋" w:eastAsia="仿宋"/>
          <w:sz w:val="32"/>
          <w:szCs w:val="32"/>
        </w:rPr>
      </w:pPr>
    </w:p>
    <w:p>
      <w:pPr>
        <w:ind w:firstLine="645"/>
        <w:rPr>
          <w:rFonts w:ascii="仿宋" w:hAnsi="仿宋" w:eastAsia="仿宋"/>
          <w:sz w:val="32"/>
          <w:szCs w:val="32"/>
        </w:rPr>
      </w:pPr>
    </w:p>
    <w:p>
      <w:pPr>
        <w:ind w:firstLine="645"/>
        <w:rPr>
          <w:rFonts w:ascii="仿宋" w:hAnsi="仿宋" w:eastAsia="仿宋"/>
          <w:sz w:val="32"/>
          <w:szCs w:val="32"/>
        </w:rPr>
      </w:pPr>
    </w:p>
    <w:p>
      <w:pPr>
        <w:ind w:firstLine="645"/>
        <w:rPr>
          <w:rFonts w:ascii="仿宋" w:hAnsi="仿宋" w:eastAsia="仿宋"/>
          <w:sz w:val="32"/>
          <w:szCs w:val="32"/>
        </w:rPr>
      </w:pPr>
    </w:p>
    <w:p>
      <w:pPr>
        <w:ind w:firstLine="645"/>
        <w:rPr>
          <w:rFonts w:ascii="仿宋" w:hAnsi="仿宋" w:eastAsia="仿宋"/>
          <w:sz w:val="32"/>
          <w:szCs w:val="32"/>
        </w:rPr>
      </w:pPr>
    </w:p>
    <w:p>
      <w:pPr>
        <w:ind w:firstLine="645"/>
        <w:rPr>
          <w:rFonts w:ascii="仿宋" w:hAnsi="仿宋" w:eastAsia="仿宋"/>
          <w:sz w:val="32"/>
          <w:szCs w:val="32"/>
        </w:rPr>
      </w:pPr>
    </w:p>
    <w:p>
      <w:pPr>
        <w:ind w:firstLine="645"/>
        <w:rPr>
          <w:rFonts w:ascii="仿宋" w:hAnsi="仿宋" w:eastAsia="仿宋"/>
          <w:sz w:val="32"/>
          <w:szCs w:val="32"/>
        </w:rPr>
      </w:pPr>
    </w:p>
    <w:p>
      <w:pPr>
        <w:ind w:firstLine="645"/>
        <w:rPr>
          <w:rFonts w:ascii="仿宋" w:hAnsi="仿宋" w:eastAsia="仿宋"/>
          <w:sz w:val="32"/>
          <w:szCs w:val="32"/>
        </w:rPr>
      </w:pPr>
    </w:p>
    <w:p>
      <w:pPr>
        <w:ind w:firstLine="645"/>
        <w:rPr>
          <w:rFonts w:ascii="仿宋" w:hAnsi="仿宋" w:eastAsia="仿宋"/>
          <w:sz w:val="32"/>
          <w:szCs w:val="32"/>
        </w:rPr>
      </w:pPr>
    </w:p>
    <w:p>
      <w:pPr>
        <w:ind w:firstLine="645"/>
        <w:rPr>
          <w:rFonts w:ascii="仿宋" w:hAnsi="仿宋" w:eastAsia="仿宋"/>
          <w:sz w:val="32"/>
          <w:szCs w:val="32"/>
        </w:rPr>
      </w:pPr>
    </w:p>
    <w:p>
      <w:pPr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第一部分 2021年</w:t>
      </w:r>
      <w:r>
        <w:rPr>
          <w:rFonts w:hint="eastAsia" w:ascii="方正小标宋简体" w:hAnsi="仿宋" w:eastAsia="方正小标宋简体"/>
          <w:sz w:val="36"/>
          <w:szCs w:val="36"/>
        </w:rPr>
        <w:t>北京市国际教育交流中心</w:t>
      </w:r>
      <w:r>
        <w:rPr>
          <w:rFonts w:hint="eastAsia" w:ascii="方正小标宋简体" w:hAnsi="黑体" w:eastAsia="方正小标宋简体"/>
          <w:sz w:val="36"/>
          <w:szCs w:val="36"/>
        </w:rPr>
        <w:t>部门预算情况说明</w:t>
      </w:r>
    </w:p>
    <w:p>
      <w:pPr>
        <w:jc w:val="center"/>
        <w:rPr>
          <w:rFonts w:ascii="仿宋" w:hAnsi="仿宋" w:eastAsia="仿宋"/>
          <w:sz w:val="32"/>
          <w:szCs w:val="32"/>
        </w:rPr>
      </w:pP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一、单位</w:t>
      </w:r>
      <w:r>
        <w:rPr>
          <w:rFonts w:hint="eastAsia" w:ascii="黑体" w:hAnsi="黑体" w:eastAsia="黑体"/>
          <w:sz w:val="32"/>
          <w:szCs w:val="32"/>
        </w:rPr>
        <w:t>基本</w:t>
      </w:r>
      <w:r>
        <w:rPr>
          <w:rFonts w:ascii="黑体" w:hAnsi="黑体" w:eastAsia="黑体"/>
          <w:sz w:val="32"/>
          <w:szCs w:val="32"/>
        </w:rPr>
        <w:t>情况</w:t>
      </w:r>
      <w:r>
        <w:rPr>
          <w:rFonts w:ascii="黑体" w:hAnsi="黑体" w:eastAsia="黑体"/>
          <w:sz w:val="32"/>
          <w:szCs w:val="32"/>
        </w:rPr>
        <w:tab/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（一）</w:t>
      </w:r>
      <w:r>
        <w:rPr>
          <w:rFonts w:hint="eastAsia" w:ascii="仿宋" w:hAnsi="仿宋" w:eastAsia="仿宋"/>
          <w:sz w:val="32"/>
          <w:szCs w:val="32"/>
        </w:rPr>
        <w:t>本</w:t>
      </w:r>
      <w:r>
        <w:rPr>
          <w:rFonts w:ascii="仿宋" w:hAnsi="仿宋" w:eastAsia="仿宋"/>
          <w:sz w:val="32"/>
          <w:szCs w:val="32"/>
        </w:rPr>
        <w:t>单位职责</w:t>
      </w:r>
    </w:p>
    <w:p>
      <w:pPr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eastAsia="仿宋_GB2312"/>
          <w:sz w:val="32"/>
        </w:rPr>
        <w:t>本</w:t>
      </w:r>
      <w:r>
        <w:rPr>
          <w:rFonts w:eastAsia="仿宋_GB2312"/>
          <w:sz w:val="32"/>
        </w:rPr>
        <w:t>单位工作职责</w:t>
      </w:r>
      <w:r>
        <w:rPr>
          <w:rFonts w:hint="eastAsia" w:eastAsia="仿宋_GB2312"/>
          <w:sz w:val="32"/>
        </w:rPr>
        <w:t>为北京市教育对外交流服务。教育外事咨询服务；教育外事接待；公派出国事务性工作；出国留学中介服务；</w:t>
      </w:r>
      <w:r>
        <w:rPr>
          <w:rFonts w:eastAsia="仿宋_GB2312"/>
          <w:sz w:val="32"/>
        </w:rPr>
        <w:t>负责组织、协调本市国际汉语教学工作，开展汉语国际交流与合作，承担国际汉语教师队伍的培训和教材编写以及组织相关考试等工作</w:t>
      </w:r>
      <w:r>
        <w:rPr>
          <w:rFonts w:hint="eastAsia" w:eastAsia="仿宋_GB2312"/>
          <w:sz w:val="32"/>
        </w:rPr>
        <w:t>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（二）单位机构设置</w:t>
      </w:r>
    </w:p>
    <w:p>
      <w:pPr>
        <w:ind w:firstLine="480" w:firstLineChars="150"/>
        <w:rPr>
          <w:rFonts w:eastAsia="仿宋_GB2312"/>
          <w:sz w:val="32"/>
        </w:rPr>
      </w:pP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本单位</w:t>
      </w:r>
      <w:r>
        <w:rPr>
          <w:rFonts w:hint="eastAsia" w:ascii="仿宋_GB2312" w:hAnsi="仿宋" w:eastAsia="仿宋_GB2312"/>
          <w:sz w:val="32"/>
          <w:szCs w:val="32"/>
        </w:rPr>
        <w:t>内部设置机构</w:t>
      </w:r>
      <w:r>
        <w:rPr>
          <w:rFonts w:ascii="仿宋_GB2312" w:hAnsi="仿宋" w:eastAsia="仿宋_GB2312"/>
          <w:sz w:val="32"/>
          <w:szCs w:val="32"/>
        </w:rPr>
        <w:t>5个</w:t>
      </w:r>
      <w:r>
        <w:rPr>
          <w:rFonts w:hint="eastAsia" w:ascii="仿宋_GB2312" w:hAnsi="仿宋" w:eastAsia="仿宋_GB2312"/>
          <w:sz w:val="32"/>
          <w:szCs w:val="32"/>
        </w:rPr>
        <w:t>，具体</w:t>
      </w:r>
      <w:r>
        <w:rPr>
          <w:rFonts w:ascii="仿宋_GB2312" w:hAnsi="仿宋" w:eastAsia="仿宋_GB2312"/>
          <w:sz w:val="32"/>
          <w:szCs w:val="32"/>
        </w:rPr>
        <w:t>是</w:t>
      </w:r>
      <w:r>
        <w:rPr>
          <w:rFonts w:hint="eastAsia" w:ascii="仿宋_GB2312" w:hAnsi="仿宋" w:eastAsia="仿宋_GB2312"/>
          <w:sz w:val="32"/>
          <w:szCs w:val="32"/>
        </w:rPr>
        <w:t>办公室、公务出访部、交流部、综合项目部、汉语推广</w:t>
      </w:r>
      <w:r>
        <w:rPr>
          <w:rFonts w:ascii="仿宋_GB2312" w:hAnsi="仿宋" w:eastAsia="仿宋_GB2312"/>
          <w:sz w:val="32"/>
          <w:szCs w:val="32"/>
        </w:rPr>
        <w:t>部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eastAsia="仿宋_GB2312"/>
          <w:sz w:val="32"/>
        </w:rPr>
        <w:t>（三</w:t>
      </w:r>
      <w:r>
        <w:rPr>
          <w:rFonts w:eastAsia="仿宋_GB2312"/>
          <w:sz w:val="32"/>
        </w:rPr>
        <w:t>）</w:t>
      </w:r>
      <w:r>
        <w:rPr>
          <w:rFonts w:hint="eastAsia" w:ascii="仿宋_GB2312" w:eastAsia="仿宋_GB2312"/>
          <w:color w:val="000000"/>
          <w:sz w:val="32"/>
          <w:szCs w:val="32"/>
        </w:rPr>
        <w:t>单位性质</w:t>
      </w:r>
    </w:p>
    <w:p>
      <w:pPr>
        <w:spacing w:line="560" w:lineRule="exact"/>
        <w:ind w:firstLine="739" w:firstLineChars="231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北京市国际教育交流中心为公益一类事业单位。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（四）人员构成情况</w:t>
      </w:r>
    </w:p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北京市国际教育交流中心单位事业编制</w:t>
      </w:r>
      <w:r>
        <w:rPr>
          <w:rFonts w:hint="eastAsia" w:ascii="仿宋" w:hAnsi="仿宋" w:eastAsia="仿宋"/>
          <w:sz w:val="32"/>
          <w:szCs w:val="32"/>
        </w:rPr>
        <w:t>内</w:t>
      </w:r>
      <w:r>
        <w:rPr>
          <w:rFonts w:ascii="仿宋" w:hAnsi="仿宋" w:eastAsia="仿宋"/>
          <w:sz w:val="32"/>
          <w:szCs w:val="32"/>
        </w:rPr>
        <w:t>实际</w:t>
      </w:r>
      <w:r>
        <w:rPr>
          <w:rFonts w:hint="eastAsia" w:ascii="仿宋" w:hAnsi="仿宋" w:eastAsia="仿宋"/>
          <w:sz w:val="32"/>
          <w:szCs w:val="32"/>
        </w:rPr>
        <w:t>人数</w:t>
      </w:r>
      <w:r>
        <w:rPr>
          <w:rFonts w:ascii="仿宋" w:hAnsi="仿宋" w:eastAsia="仿宋"/>
          <w:sz w:val="32"/>
          <w:szCs w:val="32"/>
        </w:rPr>
        <w:t>31人；退休</w:t>
      </w:r>
      <w:r>
        <w:rPr>
          <w:rFonts w:hint="eastAsia" w:ascii="仿宋" w:hAnsi="仿宋" w:eastAsia="仿宋"/>
          <w:sz w:val="32"/>
          <w:szCs w:val="32"/>
        </w:rPr>
        <w:t>人员</w:t>
      </w:r>
      <w:r>
        <w:rPr>
          <w:rFonts w:ascii="仿宋" w:hAnsi="仿宋" w:eastAsia="仿宋"/>
          <w:sz w:val="32"/>
          <w:szCs w:val="32"/>
        </w:rPr>
        <w:t>6人。</w:t>
      </w:r>
    </w:p>
    <w:p>
      <w:pPr>
        <w:ind w:firstLine="645"/>
        <w:rPr>
          <w:rFonts w:ascii="黑体" w:hAnsi="黑体" w:eastAsia="黑体"/>
          <w:color w:val="000000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二、</w:t>
      </w:r>
      <w:r>
        <w:rPr>
          <w:rFonts w:hint="eastAsia" w:ascii="黑体" w:hAnsi="黑体" w:eastAsia="黑体"/>
          <w:color w:val="000000"/>
          <w:sz w:val="32"/>
          <w:szCs w:val="32"/>
        </w:rPr>
        <w:t>202</w:t>
      </w:r>
      <w:r>
        <w:rPr>
          <w:rFonts w:ascii="黑体" w:hAnsi="黑体" w:eastAsia="黑体"/>
          <w:color w:val="000000"/>
          <w:sz w:val="32"/>
          <w:szCs w:val="32"/>
        </w:rPr>
        <w:t>1</w:t>
      </w:r>
      <w:r>
        <w:rPr>
          <w:rFonts w:hint="eastAsia" w:ascii="黑体" w:hAnsi="黑体" w:eastAsia="黑体"/>
          <w:color w:val="000000"/>
          <w:sz w:val="32"/>
          <w:szCs w:val="32"/>
        </w:rPr>
        <w:t>年收入及支出总体情况</w:t>
      </w:r>
    </w:p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(一)收入预算情况</w:t>
      </w:r>
    </w:p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2021年收入预算2861.36万元，比2020年2478.44万元增加382.93万元。其中：</w:t>
      </w:r>
    </w:p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财政拨款1990.21万元,比2020年1661.91万元增加328.3万元；</w:t>
      </w:r>
      <w:r>
        <w:rPr>
          <w:rFonts w:hint="eastAsia" w:ascii="仿宋_GB2312" w:eastAsia="仿宋_GB2312"/>
          <w:color w:val="000000"/>
          <w:sz w:val="32"/>
          <w:szCs w:val="32"/>
        </w:rPr>
        <w:t>主要原因是根据事业发展规划，调整项目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安排</w:t>
      </w:r>
      <w:bookmarkStart w:id="0" w:name="_GoBack"/>
      <w:bookmarkEnd w:id="0"/>
      <w:r>
        <w:rPr>
          <w:rFonts w:hint="eastAsia" w:ascii="仿宋_GB2312" w:eastAsia="仿宋_GB2312"/>
          <w:color w:val="000000"/>
          <w:sz w:val="32"/>
          <w:szCs w:val="32"/>
        </w:rPr>
        <w:t>。</w:t>
      </w:r>
    </w:p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统筹使用结余资金安排预算631.39万元,比2020年206.53万元增加424.86万元；</w:t>
      </w:r>
      <w:r>
        <w:rPr>
          <w:rFonts w:hint="eastAsia" w:ascii="仿宋_GB2312" w:eastAsia="仿宋_GB2312"/>
          <w:color w:val="000000"/>
          <w:sz w:val="32"/>
          <w:szCs w:val="32"/>
        </w:rPr>
        <w:t>主要原因是使用</w:t>
      </w:r>
      <w:r>
        <w:rPr>
          <w:rFonts w:ascii="仿宋_GB2312" w:eastAsia="仿宋_GB2312"/>
          <w:color w:val="000000"/>
          <w:sz w:val="32"/>
          <w:szCs w:val="32"/>
        </w:rPr>
        <w:t>结余资金安排的项目经费增加。</w:t>
      </w:r>
    </w:p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其他资金239.76万元,比2020年610万元减少370.24万元</w:t>
      </w:r>
      <w:r>
        <w:rPr>
          <w:rFonts w:hint="eastAsia" w:ascii="仿宋" w:hAnsi="仿宋" w:eastAsia="仿宋"/>
          <w:sz w:val="32"/>
          <w:szCs w:val="32"/>
        </w:rPr>
        <w:t>，此项包括继续使用的财政性结转资金。</w:t>
      </w:r>
      <w:r>
        <w:rPr>
          <w:rFonts w:hint="eastAsia" w:ascii="仿宋_GB2312" w:eastAsia="仿宋_GB2312"/>
          <w:color w:val="000000"/>
          <w:sz w:val="32"/>
          <w:szCs w:val="32"/>
        </w:rPr>
        <w:t>主要原因是经营</w:t>
      </w:r>
      <w:r>
        <w:rPr>
          <w:rFonts w:ascii="仿宋_GB2312" w:eastAsia="仿宋_GB2312"/>
          <w:color w:val="000000"/>
          <w:sz w:val="32"/>
          <w:szCs w:val="32"/>
        </w:rPr>
        <w:t>收入预计减少。</w:t>
      </w:r>
    </w:p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(二)支出预算情况</w:t>
      </w:r>
    </w:p>
    <w:p>
      <w:pPr>
        <w:ind w:firstLine="640"/>
        <w:rPr>
          <w:rFonts w:hint="eastAsia"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基本支出预算1360.05万元，比2020年1108.48万元增加251.57万元</w:t>
      </w:r>
      <w:r>
        <w:rPr>
          <w:rFonts w:hint="eastAsia" w:ascii="仿宋" w:hAnsi="仿宋" w:eastAsia="仿宋"/>
          <w:sz w:val="32"/>
          <w:szCs w:val="32"/>
        </w:rPr>
        <w:t>。主要原因是由于落实人员正常调资政策，人员经费预算有所增加。</w:t>
      </w:r>
    </w:p>
    <w:p>
      <w:pPr>
        <w:ind w:firstLine="64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项目支出预算1301.32万元，比2020年769.96万元增加531.36万元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ascii="仿宋" w:hAnsi="仿宋" w:eastAsia="仿宋"/>
          <w:sz w:val="32"/>
          <w:szCs w:val="32"/>
        </w:rPr>
        <w:t>主要原因是根据事业发展规划，</w:t>
      </w:r>
      <w:r>
        <w:rPr>
          <w:rFonts w:hint="eastAsia" w:ascii="仿宋" w:hAnsi="仿宋" w:eastAsia="仿宋"/>
          <w:sz w:val="32"/>
          <w:szCs w:val="32"/>
        </w:rPr>
        <w:t>增加</w:t>
      </w:r>
      <w:r>
        <w:rPr>
          <w:rFonts w:ascii="仿宋" w:hAnsi="仿宋" w:eastAsia="仿宋"/>
          <w:sz w:val="32"/>
          <w:szCs w:val="32"/>
        </w:rPr>
        <w:t>项目</w:t>
      </w:r>
      <w:r>
        <w:rPr>
          <w:rFonts w:hint="eastAsia" w:ascii="仿宋" w:hAnsi="仿宋" w:eastAsia="仿宋"/>
          <w:sz w:val="32"/>
          <w:szCs w:val="32"/>
        </w:rPr>
        <w:t>经费</w:t>
      </w:r>
      <w:r>
        <w:rPr>
          <w:rFonts w:ascii="仿宋" w:hAnsi="仿宋" w:eastAsia="仿宋"/>
          <w:sz w:val="32"/>
          <w:szCs w:val="32"/>
        </w:rPr>
        <w:t>支出。</w:t>
      </w:r>
      <w:r>
        <w:rPr>
          <w:rFonts w:ascii="仿宋" w:hAnsi="仿宋" w:eastAsia="仿宋"/>
          <w:sz w:val="32"/>
          <w:szCs w:val="32"/>
        </w:rPr>
        <w:tab/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事业单位经营支出200万元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比2020年600万元减少400万元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hint="eastAsia" w:ascii="仿宋_GB2312" w:eastAsia="仿宋_GB2312"/>
          <w:color w:val="000000"/>
          <w:sz w:val="32"/>
          <w:szCs w:val="32"/>
        </w:rPr>
        <w:t>主要原因是经营</w:t>
      </w:r>
      <w:r>
        <w:rPr>
          <w:rFonts w:ascii="仿宋_GB2312" w:eastAsia="仿宋_GB2312"/>
          <w:color w:val="000000"/>
          <w:sz w:val="32"/>
          <w:szCs w:val="32"/>
        </w:rPr>
        <w:t>收入预计减少。</w:t>
      </w:r>
    </w:p>
    <w:p>
      <w:pPr>
        <w:ind w:firstLine="645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三、</w:t>
      </w:r>
      <w:r>
        <w:rPr>
          <w:rFonts w:hint="eastAsia" w:ascii="黑体" w:hAnsi="黑体" w:eastAsia="黑体"/>
          <w:color w:val="000000"/>
          <w:sz w:val="32"/>
          <w:szCs w:val="32"/>
        </w:rPr>
        <w:t>主要支出情况</w:t>
      </w:r>
      <w:r>
        <w:rPr>
          <w:rFonts w:ascii="黑体" w:hAnsi="黑体" w:eastAsia="黑体"/>
          <w:sz w:val="32"/>
          <w:szCs w:val="32"/>
        </w:rPr>
        <w:tab/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项目支出按照支出内容，主要用于改善办学保障条件、国际合作与交流、直属单位业务发展等。</w:t>
      </w:r>
    </w:p>
    <w:p>
      <w:pPr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 xml:space="preserve">   四、单位"三公"经费财政拨款预算说明</w:t>
      </w:r>
      <w:r>
        <w:rPr>
          <w:rFonts w:ascii="黑体" w:hAnsi="黑体" w:eastAsia="黑体"/>
          <w:sz w:val="32"/>
          <w:szCs w:val="32"/>
        </w:rPr>
        <w:tab/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   2021年"三公经费"财政拨款预算170.5万元。其中：</w:t>
      </w:r>
      <w:r>
        <w:rPr>
          <w:rFonts w:ascii="仿宋" w:hAnsi="仿宋" w:eastAsia="仿宋"/>
          <w:sz w:val="32"/>
          <w:szCs w:val="32"/>
        </w:rPr>
        <w:tab/>
      </w:r>
      <w:r>
        <w:rPr>
          <w:rFonts w:ascii="仿宋" w:hAnsi="仿宋" w:eastAsia="仿宋"/>
          <w:sz w:val="32"/>
          <w:szCs w:val="32"/>
        </w:rPr>
        <w:t xml:space="preserve"> 1、因公出国（境）费用。2021年预算数167.58万元，主要用于</w:t>
      </w:r>
      <w:r>
        <w:rPr>
          <w:rFonts w:hint="eastAsia" w:ascii="仿宋" w:hAnsi="仿宋" w:eastAsia="仿宋"/>
          <w:sz w:val="32"/>
          <w:szCs w:val="32"/>
        </w:rPr>
        <w:t>北京</w:t>
      </w:r>
      <w:r>
        <w:rPr>
          <w:rFonts w:ascii="仿宋" w:hAnsi="仿宋" w:eastAsia="仿宋"/>
          <w:sz w:val="32"/>
          <w:szCs w:val="32"/>
        </w:rPr>
        <w:t>师生</w:t>
      </w:r>
      <w:r>
        <w:rPr>
          <w:rFonts w:hint="eastAsia" w:ascii="仿宋" w:hAnsi="仿宋" w:eastAsia="仿宋"/>
          <w:sz w:val="32"/>
          <w:szCs w:val="32"/>
        </w:rPr>
        <w:t>国际</w:t>
      </w:r>
      <w:r>
        <w:rPr>
          <w:rFonts w:ascii="仿宋" w:hAnsi="仿宋" w:eastAsia="仿宋"/>
          <w:sz w:val="32"/>
          <w:szCs w:val="32"/>
        </w:rPr>
        <w:t>交流的</w:t>
      </w:r>
      <w:r>
        <w:rPr>
          <w:rFonts w:hint="eastAsia" w:ascii="仿宋" w:hAnsi="仿宋" w:eastAsia="仿宋"/>
          <w:sz w:val="32"/>
          <w:szCs w:val="32"/>
        </w:rPr>
        <w:t>国际旅费、国外城市间交通费、住宿费、伙食费、其他费用</w:t>
      </w:r>
      <w:r>
        <w:rPr>
          <w:rFonts w:ascii="仿宋" w:hAnsi="仿宋" w:eastAsia="仿宋"/>
          <w:sz w:val="32"/>
          <w:szCs w:val="32"/>
        </w:rPr>
        <w:t>等方面。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   2、公务接待费。2021年预算数0.42万元，主要用于</w:t>
      </w:r>
      <w:r>
        <w:rPr>
          <w:rFonts w:hint="eastAsia" w:ascii="仿宋" w:hAnsi="仿宋" w:eastAsia="仿宋"/>
          <w:sz w:val="32"/>
          <w:szCs w:val="32"/>
        </w:rPr>
        <w:t>接待外</w:t>
      </w:r>
      <w:r>
        <w:rPr>
          <w:rFonts w:ascii="仿宋" w:hAnsi="仿宋" w:eastAsia="仿宋"/>
          <w:sz w:val="32"/>
          <w:szCs w:val="32"/>
        </w:rPr>
        <w:t>省市教育</w:t>
      </w:r>
      <w:r>
        <w:rPr>
          <w:rFonts w:hint="eastAsia" w:ascii="仿宋" w:hAnsi="仿宋" w:eastAsia="仿宋"/>
          <w:sz w:val="32"/>
          <w:szCs w:val="32"/>
        </w:rPr>
        <w:t>机关</w:t>
      </w:r>
      <w:r>
        <w:rPr>
          <w:rFonts w:ascii="仿宋" w:hAnsi="仿宋" w:eastAsia="仿宋"/>
          <w:sz w:val="32"/>
          <w:szCs w:val="32"/>
        </w:rPr>
        <w:t>及机构等方面。</w:t>
      </w:r>
    </w:p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3、公务用车购置和运行维护费。2021年预算数2.5万元，</w:t>
      </w:r>
      <w:r>
        <w:rPr>
          <w:rFonts w:hint="eastAsia" w:ascii="仿宋" w:hAnsi="仿宋" w:eastAsia="仿宋"/>
          <w:sz w:val="32"/>
          <w:szCs w:val="32"/>
        </w:rPr>
        <w:t>无购置</w:t>
      </w:r>
      <w:r>
        <w:rPr>
          <w:rFonts w:ascii="仿宋" w:hAnsi="仿宋" w:eastAsia="仿宋"/>
          <w:sz w:val="32"/>
          <w:szCs w:val="32"/>
        </w:rPr>
        <w:t>支出，公务用车运行维护费2021年预算数2.5万元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ascii="仿宋" w:hAnsi="仿宋" w:eastAsia="仿宋"/>
          <w:sz w:val="32"/>
          <w:szCs w:val="32"/>
        </w:rPr>
        <w:t>其中：公务用车加油1.33万元，公务用车维修</w:t>
      </w:r>
      <w:r>
        <w:rPr>
          <w:rFonts w:hint="eastAsia" w:ascii="仿宋" w:hAnsi="仿宋" w:eastAsia="仿宋"/>
          <w:sz w:val="32"/>
          <w:szCs w:val="32"/>
        </w:rPr>
        <w:t>0</w:t>
      </w:r>
      <w:r>
        <w:rPr>
          <w:rFonts w:ascii="仿宋" w:hAnsi="仿宋" w:eastAsia="仿宋"/>
          <w:sz w:val="32"/>
          <w:szCs w:val="32"/>
        </w:rPr>
        <w:t>.43万元，公务用车保险</w:t>
      </w:r>
      <w:r>
        <w:rPr>
          <w:rFonts w:hint="eastAsia" w:ascii="仿宋" w:hAnsi="仿宋" w:eastAsia="仿宋"/>
          <w:sz w:val="32"/>
          <w:szCs w:val="32"/>
        </w:rPr>
        <w:t>0</w:t>
      </w:r>
      <w:r>
        <w:rPr>
          <w:rFonts w:ascii="仿宋" w:hAnsi="仿宋" w:eastAsia="仿宋"/>
          <w:sz w:val="32"/>
          <w:szCs w:val="32"/>
        </w:rPr>
        <w:t>.43万元，其他</w:t>
      </w:r>
      <w:r>
        <w:rPr>
          <w:rFonts w:hint="eastAsia" w:ascii="仿宋" w:hAnsi="仿宋" w:eastAsia="仿宋"/>
          <w:sz w:val="32"/>
          <w:szCs w:val="32"/>
        </w:rPr>
        <w:t>0</w:t>
      </w:r>
      <w:r>
        <w:rPr>
          <w:rFonts w:ascii="仿宋" w:hAnsi="仿宋" w:eastAsia="仿宋"/>
          <w:sz w:val="32"/>
          <w:szCs w:val="32"/>
        </w:rPr>
        <w:t>.33万元。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五、其他情况说明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  （一）单位政府采购预算说明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2021年北京市国际教育交流中心单位政府采购预算总额48.03万元，其中：政府采购货物预算8万元，政府采购服务预算40.03万元。</w:t>
      </w:r>
    </w:p>
    <w:p>
      <w:pPr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（二）政府购买服务预算说明</w:t>
      </w:r>
      <w:r>
        <w:rPr>
          <w:rFonts w:ascii="仿宋" w:hAnsi="仿宋" w:eastAsia="仿宋"/>
          <w:sz w:val="32"/>
          <w:szCs w:val="32"/>
        </w:rPr>
        <w:tab/>
      </w:r>
    </w:p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</w:t>
      </w:r>
      <w:r>
        <w:rPr>
          <w:rFonts w:ascii="仿宋" w:hAnsi="仿宋" w:eastAsia="仿宋"/>
          <w:sz w:val="32"/>
          <w:szCs w:val="32"/>
        </w:rPr>
        <w:t>单位无政府购买服务预算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（三）机关运行经费情况说明</w:t>
      </w:r>
    </w:p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</w:t>
      </w:r>
      <w:r>
        <w:rPr>
          <w:rFonts w:ascii="仿宋" w:hAnsi="仿宋" w:eastAsia="仿宋"/>
          <w:sz w:val="32"/>
          <w:szCs w:val="32"/>
        </w:rPr>
        <w:t>单位无机关运行经费预算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（四）项目支出绩效目标情况说明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    2021年，北京市国际教育交流中心填报绩效目标的预算项目10个，占全部预算项目10个的100%。填报绩效目标的项目支出预算1271.56万元，占本单位全部项目支出预算的100%。详见项目支出绩效目标表。</w:t>
      </w:r>
      <w:r>
        <w:rPr>
          <w:rFonts w:ascii="仿宋" w:hAnsi="仿宋" w:eastAsia="仿宋"/>
          <w:sz w:val="32"/>
          <w:szCs w:val="32"/>
        </w:rPr>
        <w:tab/>
      </w:r>
    </w:p>
    <w:p>
      <w:pPr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（五）重点行政事业性收费情况说明</w:t>
      </w:r>
      <w:r>
        <w:rPr>
          <w:rFonts w:ascii="仿宋" w:hAnsi="仿宋" w:eastAsia="仿宋"/>
          <w:sz w:val="32"/>
          <w:szCs w:val="32"/>
        </w:rPr>
        <w:t xml:space="preserve"> 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本</w:t>
      </w:r>
      <w:r>
        <w:rPr>
          <w:rFonts w:ascii="仿宋" w:hAnsi="仿宋" w:eastAsia="仿宋"/>
          <w:sz w:val="32"/>
          <w:szCs w:val="32"/>
        </w:rPr>
        <w:t>单位无</w:t>
      </w:r>
      <w:r>
        <w:rPr>
          <w:rFonts w:hint="eastAsia" w:ascii="仿宋" w:hAnsi="仿宋" w:eastAsia="仿宋"/>
          <w:sz w:val="32"/>
          <w:szCs w:val="32"/>
        </w:rPr>
        <w:t>重点行政事业性收费。</w:t>
      </w:r>
    </w:p>
    <w:p>
      <w:pPr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（六）国有资本经营预算财政拨款情况说明</w:t>
      </w:r>
      <w:r>
        <w:rPr>
          <w:rFonts w:ascii="仿宋" w:hAnsi="仿宋" w:eastAsia="仿宋"/>
          <w:sz w:val="32"/>
          <w:szCs w:val="32"/>
        </w:rPr>
        <w:tab/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本单位无国有资本经营预算财政拨款安排的预算</w:t>
      </w:r>
      <w:r>
        <w:rPr>
          <w:rFonts w:ascii="仿宋" w:hAnsi="仿宋" w:eastAsia="仿宋"/>
          <w:sz w:val="32"/>
          <w:szCs w:val="32"/>
        </w:rPr>
        <w:tab/>
      </w:r>
    </w:p>
    <w:p>
      <w:pPr>
        <w:spacing w:line="560" w:lineRule="exact"/>
        <w:ind w:firstLine="480" w:firstLineChars="15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（七）国有资产占用情况说明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截至2020年底，北京市国际教育交流中心共有车辆</w:t>
      </w:r>
      <w:r>
        <w:rPr>
          <w:rFonts w:ascii="仿宋" w:hAnsi="仿宋" w:eastAsia="仿宋"/>
          <w:color w:val="000000"/>
          <w:sz w:val="32"/>
          <w:szCs w:val="32"/>
        </w:rPr>
        <w:t>1</w:t>
      </w:r>
      <w:r>
        <w:rPr>
          <w:rFonts w:hint="eastAsia" w:ascii="仿宋" w:hAnsi="仿宋" w:eastAsia="仿宋"/>
          <w:color w:val="000000"/>
          <w:sz w:val="32"/>
          <w:szCs w:val="32"/>
        </w:rPr>
        <w:t>台，价值</w:t>
      </w:r>
      <w:r>
        <w:rPr>
          <w:rFonts w:ascii="仿宋" w:hAnsi="仿宋" w:eastAsia="仿宋"/>
          <w:color w:val="000000"/>
          <w:sz w:val="32"/>
          <w:szCs w:val="32"/>
        </w:rPr>
        <w:t>17.01</w:t>
      </w:r>
      <w:r>
        <w:rPr>
          <w:rFonts w:hint="eastAsia" w:ascii="仿宋" w:hAnsi="仿宋" w:eastAsia="仿宋"/>
          <w:color w:val="000000"/>
          <w:sz w:val="32"/>
          <w:szCs w:val="32"/>
        </w:rPr>
        <w:t>万元。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（八）重点支出和重大投资项目情况说明</w:t>
      </w:r>
    </w:p>
    <w:p>
      <w:pPr>
        <w:spacing w:line="560" w:lineRule="exact"/>
        <w:ind w:firstLine="800" w:firstLineChars="25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本单位2021年无重点支出和重大投资项目。</w:t>
      </w:r>
    </w:p>
    <w:p>
      <w:pPr>
        <w:spacing w:line="560" w:lineRule="exact"/>
        <w:ind w:firstLine="800" w:firstLineChars="25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六、名词解释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“三公”经费财政拨款预算数：指本单位当年单位预算安排的因公出国（境）费用、公务接待费、公务用车购置和运行维护费预算数。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第二部分 2021年度部门预算报表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附件：北京市国际教育交流中心</w:t>
      </w:r>
      <w:r>
        <w:rPr>
          <w:rFonts w:hint="eastAsia" w:ascii="仿宋_GB2312" w:eastAsia="仿宋_GB2312"/>
          <w:color w:val="000000"/>
          <w:sz w:val="32"/>
          <w:szCs w:val="32"/>
        </w:rPr>
        <w:t>2021年度单位预算报表</w:t>
      </w:r>
    </w:p>
    <w:sectPr>
      <w:pgSz w:w="11906" w:h="16838"/>
      <w:pgMar w:top="1440" w:right="1797" w:bottom="1418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544"/>
    <w:rsid w:val="00064B67"/>
    <w:rsid w:val="000979D1"/>
    <w:rsid w:val="000D7DBD"/>
    <w:rsid w:val="001156A6"/>
    <w:rsid w:val="001444AD"/>
    <w:rsid w:val="001459CB"/>
    <w:rsid w:val="001A6243"/>
    <w:rsid w:val="001D0DFD"/>
    <w:rsid w:val="001F0F5A"/>
    <w:rsid w:val="00215705"/>
    <w:rsid w:val="002642A1"/>
    <w:rsid w:val="002B267C"/>
    <w:rsid w:val="002D4F5C"/>
    <w:rsid w:val="002E63DF"/>
    <w:rsid w:val="00336EAC"/>
    <w:rsid w:val="0037371D"/>
    <w:rsid w:val="003840A9"/>
    <w:rsid w:val="00422AF8"/>
    <w:rsid w:val="00444E97"/>
    <w:rsid w:val="004772DB"/>
    <w:rsid w:val="00480C09"/>
    <w:rsid w:val="004A3899"/>
    <w:rsid w:val="004C418C"/>
    <w:rsid w:val="004E70AB"/>
    <w:rsid w:val="00503306"/>
    <w:rsid w:val="00512B30"/>
    <w:rsid w:val="005A7FD9"/>
    <w:rsid w:val="005D0C73"/>
    <w:rsid w:val="006159FA"/>
    <w:rsid w:val="00631E77"/>
    <w:rsid w:val="006941B3"/>
    <w:rsid w:val="006B18B3"/>
    <w:rsid w:val="00730137"/>
    <w:rsid w:val="00743C41"/>
    <w:rsid w:val="007565CF"/>
    <w:rsid w:val="00772544"/>
    <w:rsid w:val="007A4AB8"/>
    <w:rsid w:val="008839CF"/>
    <w:rsid w:val="00913030"/>
    <w:rsid w:val="009C480C"/>
    <w:rsid w:val="009D623A"/>
    <w:rsid w:val="009E75DC"/>
    <w:rsid w:val="00A04A2A"/>
    <w:rsid w:val="00A17E9F"/>
    <w:rsid w:val="00A607D8"/>
    <w:rsid w:val="00A7001F"/>
    <w:rsid w:val="00AA0732"/>
    <w:rsid w:val="00AF499D"/>
    <w:rsid w:val="00B23B2E"/>
    <w:rsid w:val="00B42881"/>
    <w:rsid w:val="00B71A2F"/>
    <w:rsid w:val="00B72FA9"/>
    <w:rsid w:val="00BA74A6"/>
    <w:rsid w:val="00C06936"/>
    <w:rsid w:val="00C07A96"/>
    <w:rsid w:val="00C24C52"/>
    <w:rsid w:val="00C66122"/>
    <w:rsid w:val="00C8325F"/>
    <w:rsid w:val="00C91044"/>
    <w:rsid w:val="00CB38A7"/>
    <w:rsid w:val="00CC7CE3"/>
    <w:rsid w:val="00CD4954"/>
    <w:rsid w:val="00CE2234"/>
    <w:rsid w:val="00CF02A6"/>
    <w:rsid w:val="00CF21D6"/>
    <w:rsid w:val="00D62CAB"/>
    <w:rsid w:val="00D70AAA"/>
    <w:rsid w:val="00DD4437"/>
    <w:rsid w:val="00E06E63"/>
    <w:rsid w:val="00E35B35"/>
    <w:rsid w:val="00EC22D6"/>
    <w:rsid w:val="00EE13A6"/>
    <w:rsid w:val="00EE56E3"/>
    <w:rsid w:val="00EF076C"/>
    <w:rsid w:val="00EF28F2"/>
    <w:rsid w:val="00F65A17"/>
    <w:rsid w:val="00F93267"/>
    <w:rsid w:val="00FA2590"/>
    <w:rsid w:val="00FB547B"/>
    <w:rsid w:val="00FC2BA1"/>
    <w:rsid w:val="00FC441B"/>
    <w:rsid w:val="00FD0412"/>
    <w:rsid w:val="6892704B"/>
    <w:rsid w:val="7F4DF754"/>
    <w:rsid w:val="CB9B6805"/>
    <w:rsid w:val="FFCFD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313</Words>
  <Characters>1788</Characters>
  <Lines>14</Lines>
  <Paragraphs>4</Paragraphs>
  <TotalTime>357</TotalTime>
  <ScaleCrop>false</ScaleCrop>
  <LinksUpToDate>false</LinksUpToDate>
  <CharactersWithSpaces>2097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2020-12-03T15:14:00Z</dcterms:created>
  <dc:creator>caiwu</dc:creator>
  <cp:lastModifiedBy>POIROT</cp:lastModifiedBy>
  <cp:lastPrinted>2021-03-05T10:53:00Z</cp:lastPrinted>
  <dcterms:modified xsi:type="dcterms:W3CDTF">2021-03-19T02:14:01Z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