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北京开放大学202</w:t>
      </w:r>
      <w:r>
        <w:rPr>
          <w:rFonts w:ascii="方正小标宋简体" w:eastAsia="方正小标宋简体"/>
          <w:color w:val="000000"/>
          <w:sz w:val="36"/>
          <w:szCs w:val="36"/>
        </w:rPr>
        <w:t>1</w:t>
      </w:r>
      <w:r>
        <w:rPr>
          <w:rFonts w:hint="eastAsia" w:ascii="方正小标宋简体" w:eastAsia="方正小标宋简体"/>
          <w:color w:val="000000"/>
          <w:sz w:val="36"/>
          <w:szCs w:val="36"/>
        </w:rPr>
        <w:t>年财政预算信息</w:t>
      </w:r>
    </w:p>
    <w:p>
      <w:pPr>
        <w:spacing w:line="240" w:lineRule="exact"/>
        <w:jc w:val="center"/>
        <w:rPr>
          <w:rFonts w:ascii="方正小标宋简体" w:eastAsia="方正小标宋简体"/>
          <w:color w:val="000000"/>
          <w:sz w:val="32"/>
          <w:szCs w:val="32"/>
        </w:rPr>
      </w:pP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2"/>
          <w:szCs w:val="32"/>
        </w:rPr>
        <w:t>目   录</w:t>
      </w:r>
    </w:p>
    <w:p>
      <w:pPr>
        <w:spacing w:line="240" w:lineRule="exact"/>
        <w:jc w:val="center"/>
        <w:rPr>
          <w:rFonts w:ascii="方正小标宋简体" w:eastAsia="方正小标宋简体"/>
          <w:color w:val="000000"/>
          <w:sz w:val="32"/>
          <w:szCs w:val="32"/>
        </w:rPr>
      </w:pPr>
    </w:p>
    <w:p>
      <w:pPr>
        <w:spacing w:line="560" w:lineRule="exact"/>
        <w:rPr>
          <w:rFonts w:ascii="仿宋_GB2312" w:eastAsia="仿宋_GB2312"/>
          <w:color w:val="000000"/>
          <w:sz w:val="32"/>
          <w:szCs w:val="32"/>
        </w:rPr>
      </w:pPr>
      <w:r>
        <w:rPr>
          <w:rFonts w:hint="eastAsia" w:ascii="仿宋_GB2312" w:eastAsia="仿宋_GB2312"/>
          <w:color w:val="000000"/>
          <w:sz w:val="32"/>
          <w:szCs w:val="32"/>
        </w:rPr>
        <w:t>第一部分 202</w:t>
      </w:r>
      <w:r>
        <w:rPr>
          <w:rFonts w:ascii="仿宋_GB2312" w:eastAsia="仿宋_GB2312"/>
          <w:color w:val="000000"/>
          <w:sz w:val="32"/>
          <w:szCs w:val="32"/>
        </w:rPr>
        <w:t>1</w:t>
      </w:r>
      <w:r>
        <w:rPr>
          <w:rFonts w:hint="eastAsia" w:ascii="仿宋_GB2312" w:eastAsia="仿宋_GB2312"/>
          <w:color w:val="000000"/>
          <w:sz w:val="32"/>
          <w:szCs w:val="32"/>
        </w:rPr>
        <w:t>年度单位预算情况说明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一、单位基本情况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二、202</w:t>
      </w:r>
      <w:r>
        <w:rPr>
          <w:rFonts w:ascii="仿宋_GB2312" w:eastAsia="仿宋_GB2312"/>
          <w:color w:val="000000"/>
          <w:sz w:val="32"/>
          <w:szCs w:val="32"/>
        </w:rPr>
        <w:t>1</w:t>
      </w:r>
      <w:r>
        <w:rPr>
          <w:rFonts w:hint="eastAsia" w:ascii="仿宋_GB2312" w:eastAsia="仿宋_GB2312"/>
          <w:color w:val="000000"/>
          <w:sz w:val="32"/>
          <w:szCs w:val="32"/>
        </w:rPr>
        <w:t>年收入及支出总体情况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三、主要支出情况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四、单位“三公”经费财政拨款预算说明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五、其他情况说明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六、名词解释</w:t>
      </w:r>
    </w:p>
    <w:p>
      <w:pPr>
        <w:spacing w:line="560" w:lineRule="exact"/>
        <w:rPr>
          <w:rFonts w:ascii="仿宋_GB2312" w:eastAsia="仿宋_GB2312"/>
          <w:color w:val="000000"/>
          <w:sz w:val="32"/>
          <w:szCs w:val="32"/>
        </w:rPr>
      </w:pPr>
      <w:r>
        <w:rPr>
          <w:rFonts w:hint="eastAsia" w:ascii="仿宋_GB2312" w:eastAsia="仿宋_GB2312"/>
          <w:color w:val="000000"/>
          <w:sz w:val="32"/>
          <w:szCs w:val="32"/>
        </w:rPr>
        <w:t>第二部分 202</w:t>
      </w:r>
      <w:r>
        <w:rPr>
          <w:rFonts w:ascii="仿宋_GB2312" w:eastAsia="仿宋_GB2312"/>
          <w:color w:val="000000"/>
          <w:sz w:val="32"/>
          <w:szCs w:val="32"/>
        </w:rPr>
        <w:t>1</w:t>
      </w:r>
      <w:r>
        <w:rPr>
          <w:rFonts w:hint="eastAsia" w:ascii="仿宋_GB2312" w:eastAsia="仿宋_GB2312"/>
          <w:color w:val="000000"/>
          <w:sz w:val="32"/>
          <w:szCs w:val="32"/>
        </w:rPr>
        <w:t>年度单位预算报表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一、收支总表</w:t>
      </w:r>
    </w:p>
    <w:p>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二、收入总表    </w:t>
      </w:r>
    </w:p>
    <w:p>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三、支出总表</w:t>
      </w:r>
    </w:p>
    <w:p>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四、政府采购预算明细表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五、财政拨款收支总表</w:t>
      </w:r>
    </w:p>
    <w:p>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六、一般公共预算财政拨款支出表</w:t>
      </w:r>
    </w:p>
    <w:p>
      <w:pPr>
        <w:autoSpaceDE w:val="0"/>
        <w:autoSpaceDN w:val="0"/>
        <w:adjustRightInd w:val="0"/>
        <w:spacing w:line="560" w:lineRule="exact"/>
        <w:jc w:val="left"/>
        <w:rPr>
          <w:rFonts w:ascii="仿宋_GB2312" w:eastAsia="仿宋_GB2312" w:cs="宋体"/>
          <w:color w:val="000000"/>
          <w:spacing w:val="-16"/>
          <w:kern w:val="0"/>
          <w:sz w:val="32"/>
          <w:szCs w:val="32"/>
          <w:lang w:val="zh-CN"/>
        </w:rPr>
      </w:pPr>
      <w:r>
        <w:rPr>
          <w:rFonts w:hint="eastAsia" w:ascii="仿宋_GB2312" w:eastAsia="仿宋_GB2312" w:cs="宋体"/>
          <w:color w:val="000000"/>
          <w:kern w:val="0"/>
          <w:sz w:val="32"/>
          <w:szCs w:val="32"/>
          <w:lang w:val="zh-CN"/>
        </w:rPr>
        <w:t xml:space="preserve">    </w:t>
      </w:r>
      <w:r>
        <w:rPr>
          <w:rFonts w:hint="eastAsia" w:ascii="仿宋_GB2312" w:eastAsia="仿宋_GB2312" w:cs="宋体"/>
          <w:color w:val="000000"/>
          <w:spacing w:val="-16"/>
          <w:kern w:val="0"/>
          <w:sz w:val="32"/>
          <w:szCs w:val="32"/>
          <w:lang w:val="zh-CN"/>
        </w:rPr>
        <w:t>七、一般公共预算财政拨款基本支出表</w:t>
      </w:r>
    </w:p>
    <w:p>
      <w:pPr>
        <w:autoSpaceDE w:val="0"/>
        <w:autoSpaceDN w:val="0"/>
        <w:adjustRightInd w:val="0"/>
        <w:spacing w:line="560" w:lineRule="exact"/>
        <w:ind w:firstLine="720" w:firstLineChars="250"/>
        <w:jc w:val="left"/>
        <w:rPr>
          <w:rFonts w:ascii="仿宋_GB2312" w:eastAsia="仿宋_GB2312" w:cs="宋体"/>
          <w:color w:val="000000"/>
          <w:spacing w:val="-16"/>
          <w:kern w:val="0"/>
          <w:sz w:val="32"/>
          <w:szCs w:val="32"/>
          <w:lang w:val="zh-CN"/>
        </w:rPr>
      </w:pPr>
      <w:r>
        <w:rPr>
          <w:rFonts w:hint="eastAsia" w:ascii="仿宋_GB2312" w:eastAsia="仿宋_GB2312" w:cs="宋体"/>
          <w:color w:val="000000"/>
          <w:spacing w:val="-16"/>
          <w:kern w:val="0"/>
          <w:sz w:val="32"/>
          <w:szCs w:val="32"/>
          <w:lang w:val="zh-CN"/>
        </w:rPr>
        <w:t>八、一般公共预算财政拨款项目支出表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九、政府性基金预算财政拨款支出表</w:t>
      </w:r>
    </w:p>
    <w:p>
      <w:pPr>
        <w:autoSpaceDE w:val="0"/>
        <w:autoSpaceDN w:val="0"/>
        <w:adjustRightInd w:val="0"/>
        <w:spacing w:line="560" w:lineRule="exact"/>
        <w:ind w:firstLine="640" w:firstLineChars="200"/>
        <w:jc w:val="left"/>
        <w:rPr>
          <w:rFonts w:ascii="仿宋_GB2312" w:eastAsia="仿宋_GB2312" w:cs="宋体"/>
          <w:color w:val="000000"/>
          <w:spacing w:val="-16"/>
          <w:kern w:val="0"/>
          <w:sz w:val="32"/>
          <w:szCs w:val="32"/>
          <w:lang w:val="zh-CN"/>
        </w:rPr>
      </w:pPr>
      <w:r>
        <w:rPr>
          <w:rFonts w:hint="eastAsia" w:ascii="仿宋_GB2312" w:eastAsia="仿宋_GB2312" w:cs="宋体"/>
          <w:color w:val="000000"/>
          <w:kern w:val="0"/>
          <w:sz w:val="32"/>
          <w:szCs w:val="32"/>
          <w:lang w:val="zh-CN"/>
        </w:rPr>
        <w:t>十、国有资本经营预算财政拨款支出表</w:t>
      </w:r>
    </w:p>
    <w:p>
      <w:pPr>
        <w:autoSpaceDE w:val="0"/>
        <w:autoSpaceDN w:val="0"/>
        <w:adjustRightInd w:val="0"/>
        <w:spacing w:line="560" w:lineRule="exact"/>
        <w:ind w:firstLine="576"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spacing w:val="-16"/>
          <w:kern w:val="0"/>
          <w:sz w:val="32"/>
          <w:szCs w:val="32"/>
          <w:lang w:val="zh-CN"/>
        </w:rPr>
        <w:t>十一、财政拨款（含一般公共预算和政府性基金预算）</w:t>
      </w:r>
      <w:r>
        <w:rPr>
          <w:rFonts w:hint="eastAsia" w:ascii="仿宋_GB2312" w:eastAsia="仿宋_GB2312" w:cs="宋体"/>
          <w:color w:val="000000"/>
          <w:kern w:val="0"/>
          <w:sz w:val="32"/>
          <w:szCs w:val="32"/>
          <w:lang w:val="zh-CN"/>
        </w:rPr>
        <w:t>“三公”经费支出表</w:t>
      </w:r>
    </w:p>
    <w:p>
      <w:pPr>
        <w:autoSpaceDE w:val="0"/>
        <w:autoSpaceDN w:val="0"/>
        <w:adjustRightInd w:val="0"/>
        <w:spacing w:line="560" w:lineRule="exact"/>
        <w:ind w:firstLine="568" w:firstLineChars="200"/>
        <w:jc w:val="left"/>
        <w:rPr>
          <w:rFonts w:ascii="仿宋_GB2312" w:eastAsia="仿宋_GB2312" w:cs="宋体"/>
          <w:color w:val="000000"/>
          <w:spacing w:val="-18"/>
          <w:kern w:val="0"/>
          <w:sz w:val="32"/>
          <w:szCs w:val="32"/>
          <w:lang w:val="zh-CN"/>
        </w:rPr>
      </w:pPr>
      <w:r>
        <w:rPr>
          <w:rFonts w:hint="eastAsia" w:ascii="仿宋_GB2312" w:eastAsia="仿宋_GB2312" w:cs="宋体"/>
          <w:color w:val="000000"/>
          <w:spacing w:val="-18"/>
          <w:kern w:val="0"/>
          <w:sz w:val="32"/>
          <w:szCs w:val="32"/>
          <w:lang w:val="zh-CN"/>
        </w:rPr>
        <w:t>十二、政府购买服务预算财政拨款明细表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sectPr>
          <w:footerReference r:id="rId3" w:type="default"/>
          <w:footerReference r:id="rId4" w:type="even"/>
          <w:pgSz w:w="11906" w:h="16838"/>
          <w:pgMar w:top="1911" w:right="1474" w:bottom="1882" w:left="1588" w:header="851" w:footer="1531" w:gutter="0"/>
          <w:pgNumType w:fmt="numberInDash"/>
          <w:cols w:space="720" w:num="1"/>
          <w:docGrid w:type="lines" w:linePitch="312" w:charSpace="0"/>
        </w:sectPr>
      </w:pPr>
      <w:r>
        <w:rPr>
          <w:rFonts w:hint="eastAsia" w:ascii="仿宋_GB2312" w:eastAsia="仿宋_GB2312" w:cs="宋体"/>
          <w:color w:val="000000"/>
          <w:kern w:val="0"/>
          <w:sz w:val="32"/>
          <w:szCs w:val="32"/>
          <w:lang w:val="zh-CN"/>
        </w:rPr>
        <w:t>十三、项目支出绩效目标申报表</w:t>
      </w: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6"/>
          <w:szCs w:val="36"/>
        </w:rPr>
        <w:t>第一部分  2021年北京开放大学预算情况说明</w:t>
      </w:r>
    </w:p>
    <w:p>
      <w:pPr>
        <w:spacing w:line="360" w:lineRule="auto"/>
        <w:rPr>
          <w:rFonts w:ascii="仿宋_GB2312" w:eastAsia="仿宋_GB2312"/>
          <w:color w:val="000000"/>
          <w:sz w:val="32"/>
          <w:szCs w:val="32"/>
        </w:rPr>
      </w:pP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一、单位基本情况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（一）本单位职责</w:t>
      </w: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北京开放大学主要承担着远程开放教育和服务首都市民终身学习的重要任务；承担着北京市民终身学习远程服务中心和北京学习型城市网站的建设任务；承担着建设“学分银行”和搭建终身学习“立交桥”的历史使命，形成了研究生、本科、大专、中专等多层次学历教育办学格局。</w:t>
      </w:r>
    </w:p>
    <w:p>
      <w:pPr>
        <w:numPr>
          <w:ilvl w:val="0"/>
          <w:numId w:val="1"/>
        </w:num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机构设置情况</w:t>
      </w: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北京开放大学现有三个校区，形成了统筹规划、分级办学、分级管理、分工协作的远程开放教育系统。在全市18个区县和燕山地区、部分行业系统及中央在京单位设有50余个基层教学单位，构成了覆盖全市、布局合理的远程开放教育系统。</w:t>
      </w: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目前共有内设机构17个，包括：党政办公室；组织宣传统战部；纪检办公室、监察专员</w:t>
      </w:r>
      <w:r>
        <w:rPr>
          <w:rFonts w:ascii="仿宋_GB2312" w:hAnsi="仿宋" w:eastAsia="仿宋_GB2312"/>
          <w:sz w:val="32"/>
          <w:szCs w:val="32"/>
        </w:rPr>
        <w:t>办公室</w:t>
      </w:r>
      <w:r>
        <w:rPr>
          <w:rFonts w:hint="eastAsia" w:ascii="仿宋_GB2312" w:hAnsi="仿宋" w:eastAsia="仿宋_GB2312"/>
          <w:sz w:val="32"/>
          <w:szCs w:val="32"/>
        </w:rPr>
        <w:t>；党委教师工作部、人事处；教务处（督导办公室）；终身教育处；科研外事处；财务处；行政后勤处；离退休工作处、工会办公室；国开业务部；北开业务部；事业发展部；社会教育部；职业培训部；网络信息中心；数字资源中心。</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（三）单位性质</w:t>
      </w: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北京开放大学是公益二类事业单位。</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（四）人员构成情况</w:t>
      </w: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北京开放大学实际在职人员331人，离休人员1人，退休人员225人，学生人数85915人。</w:t>
      </w:r>
    </w:p>
    <w:p>
      <w:pPr>
        <w:spacing w:line="560" w:lineRule="exact"/>
        <w:ind w:firstLine="640" w:firstLineChars="200"/>
        <w:rPr>
          <w:rFonts w:ascii="黑体" w:hAnsi="黑体" w:eastAsia="黑体"/>
          <w:color w:val="000000"/>
          <w:sz w:val="32"/>
          <w:szCs w:val="32"/>
        </w:rPr>
      </w:pP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二、2021年收入及支出总体情况</w:t>
      </w:r>
    </w:p>
    <w:p>
      <w:pPr>
        <w:spacing w:line="600" w:lineRule="exact"/>
        <w:ind w:firstLine="640" w:firstLineChars="200"/>
        <w:rPr>
          <w:rFonts w:ascii="楷体" w:hAnsi="楷体" w:eastAsia="楷体"/>
          <w:sz w:val="32"/>
          <w:szCs w:val="32"/>
        </w:rPr>
      </w:pPr>
      <w:r>
        <w:rPr>
          <w:rFonts w:hint="eastAsia" w:ascii="楷体" w:hAnsi="楷体" w:eastAsia="楷体"/>
          <w:sz w:val="32"/>
          <w:szCs w:val="32"/>
        </w:rPr>
        <w:t>（一）收入预算情况</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2021年收入预算</w:t>
      </w:r>
      <w:r>
        <w:rPr>
          <w:rFonts w:hint="eastAsia" w:ascii="仿宋" w:hAnsi="仿宋" w:eastAsia="仿宋"/>
          <w:sz w:val="32"/>
          <w:szCs w:val="32"/>
        </w:rPr>
        <w:t>27461.83</w:t>
      </w:r>
      <w:r>
        <w:rPr>
          <w:rFonts w:hint="eastAsia" w:ascii="仿宋_GB2312" w:eastAsia="仿宋_GB2312"/>
          <w:color w:val="000000"/>
          <w:sz w:val="32"/>
          <w:szCs w:val="32"/>
        </w:rPr>
        <w:t>万元，比2020年</w:t>
      </w:r>
      <w:r>
        <w:rPr>
          <w:rFonts w:hint="eastAsia" w:ascii="仿宋" w:hAnsi="仿宋" w:eastAsia="仿宋"/>
          <w:sz w:val="32"/>
          <w:szCs w:val="32"/>
        </w:rPr>
        <w:t>23504.52</w:t>
      </w:r>
      <w:r>
        <w:rPr>
          <w:rFonts w:hint="eastAsia" w:ascii="仿宋_GB2312" w:eastAsia="仿宋_GB2312"/>
          <w:color w:val="000000"/>
          <w:sz w:val="32"/>
          <w:szCs w:val="32"/>
        </w:rPr>
        <w:t>万元增加</w:t>
      </w:r>
      <w:r>
        <w:rPr>
          <w:rFonts w:hint="eastAsia" w:ascii="仿宋" w:hAnsi="仿宋" w:eastAsia="仿宋"/>
          <w:sz w:val="32"/>
          <w:szCs w:val="32"/>
        </w:rPr>
        <w:t>3957.31</w:t>
      </w:r>
      <w:r>
        <w:rPr>
          <w:rFonts w:hint="eastAsia" w:ascii="仿宋_GB2312" w:eastAsia="仿宋_GB2312"/>
          <w:color w:val="000000"/>
          <w:sz w:val="32"/>
          <w:szCs w:val="32"/>
        </w:rPr>
        <w:t>万元。其中：</w:t>
      </w:r>
    </w:p>
    <w:p>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财政拨款12995.18万元，比2020年11344.14万元增加1651.04万元，主要原因一是落实人员正常调资政策，人员经费预算有所增加；二是根据事业发展规划，调整项目</w:t>
      </w:r>
      <w:r>
        <w:rPr>
          <w:rFonts w:hint="eastAsia" w:ascii="仿宋" w:hAnsi="仿宋" w:eastAsia="仿宋"/>
          <w:sz w:val="32"/>
          <w:szCs w:val="32"/>
          <w:lang w:val="en-US" w:eastAsia="zh-CN"/>
        </w:rPr>
        <w:t>安排</w:t>
      </w:r>
      <w:bookmarkStart w:id="0" w:name="_GoBack"/>
      <w:bookmarkEnd w:id="0"/>
      <w:r>
        <w:rPr>
          <w:rFonts w:hint="eastAsia" w:ascii="仿宋" w:hAnsi="仿宋" w:eastAsia="仿宋"/>
          <w:sz w:val="32"/>
          <w:szCs w:val="32"/>
        </w:rPr>
        <w:t>。</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统筹使用结余资金安排预算1166.65万元,比2020年105.38万元增加1061.27万元，主要原因是</w:t>
      </w:r>
      <w:r>
        <w:rPr>
          <w:rFonts w:hint="eastAsia" w:ascii="仿宋" w:hAnsi="仿宋" w:eastAsia="仿宋"/>
          <w:sz w:val="32"/>
          <w:szCs w:val="32"/>
        </w:rPr>
        <w:t>全额使用事业基金弥补收支差额。</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其他资金13300.00万元,比2020年12055.00万元增加1245.00万元，主要原因是招生规模扩大，预计学费收入增加。</w:t>
      </w:r>
    </w:p>
    <w:p>
      <w:pPr>
        <w:spacing w:line="600" w:lineRule="exact"/>
        <w:ind w:firstLine="640" w:firstLineChars="200"/>
        <w:rPr>
          <w:rFonts w:ascii="楷体" w:hAnsi="楷体" w:eastAsia="楷体"/>
          <w:sz w:val="32"/>
          <w:szCs w:val="32"/>
        </w:rPr>
      </w:pPr>
      <w:r>
        <w:rPr>
          <w:rFonts w:hint="eastAsia" w:ascii="楷体" w:hAnsi="楷体" w:eastAsia="楷体"/>
          <w:sz w:val="32"/>
          <w:szCs w:val="32"/>
        </w:rPr>
        <w:t>（二）支出预算情况</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2021年支出预算</w:t>
      </w:r>
      <w:r>
        <w:rPr>
          <w:rFonts w:hint="eastAsia" w:ascii="仿宋" w:hAnsi="仿宋" w:eastAsia="仿宋"/>
          <w:sz w:val="32"/>
          <w:szCs w:val="32"/>
        </w:rPr>
        <w:t>27461.83</w:t>
      </w:r>
      <w:r>
        <w:rPr>
          <w:rFonts w:hint="eastAsia" w:ascii="仿宋_GB2312" w:eastAsia="仿宋_GB2312"/>
          <w:color w:val="000000"/>
          <w:sz w:val="32"/>
          <w:szCs w:val="32"/>
        </w:rPr>
        <w:t>万元，比2020年</w:t>
      </w:r>
      <w:r>
        <w:rPr>
          <w:rFonts w:hint="eastAsia" w:ascii="仿宋" w:hAnsi="仿宋" w:eastAsia="仿宋"/>
          <w:sz w:val="32"/>
          <w:szCs w:val="32"/>
        </w:rPr>
        <w:t>23504.52</w:t>
      </w:r>
      <w:r>
        <w:rPr>
          <w:rFonts w:hint="eastAsia" w:ascii="仿宋_GB2312" w:eastAsia="仿宋_GB2312"/>
          <w:color w:val="000000"/>
          <w:sz w:val="32"/>
          <w:szCs w:val="32"/>
        </w:rPr>
        <w:t>万元增加</w:t>
      </w:r>
      <w:r>
        <w:rPr>
          <w:rFonts w:hint="eastAsia" w:ascii="仿宋" w:hAnsi="仿宋" w:eastAsia="仿宋"/>
          <w:sz w:val="32"/>
          <w:szCs w:val="32"/>
        </w:rPr>
        <w:t>3957.31</w:t>
      </w:r>
      <w:r>
        <w:rPr>
          <w:rFonts w:hint="eastAsia" w:ascii="仿宋_GB2312" w:eastAsia="仿宋_GB2312"/>
          <w:color w:val="000000"/>
          <w:sz w:val="32"/>
          <w:szCs w:val="32"/>
        </w:rPr>
        <w:t>万元。其中：</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 xml:space="preserve">基本支出预算24104.53万元，比2020年20441.58万元增加3662.95万元，主要原因一是落实人员正常调资政策，人员经费预算有所增加；二是招生规模扩大，预计学费收入增加的同时，返还办学经费支出增加，导致公用经费增加。 </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项目支出预算1494.30万元，比2020年762.93万元增加731.37万元，主要原因是根据事业发展规划，调整项目支出。</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事业单位经营支出1863.00万元，比2020年2300.00万元减少437.00万元，主要原因是受疫情影响，预计培训收入下降。</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三、主要支出情况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按照支出内容，项目支出主要用于机动经费、改善办学保障条件、教师队伍建设、直属单位业务发展等。</w:t>
      </w:r>
    </w:p>
    <w:p>
      <w:pPr>
        <w:spacing w:line="560" w:lineRule="exact"/>
        <w:ind w:firstLine="640" w:firstLineChars="200"/>
        <w:rPr>
          <w:rFonts w:ascii="仿宋_GB2312" w:eastAsia="仿宋_GB2312"/>
          <w:color w:val="000000"/>
          <w:sz w:val="32"/>
          <w:szCs w:val="32"/>
        </w:rPr>
      </w:pP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四、单位“三公”经费财政拨款预算说明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2021年“三公”经费财政拨款预算33.08万元。其中：</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 公务接待费。2021年预算数</w:t>
      </w:r>
      <w:r>
        <w:rPr>
          <w:rFonts w:ascii="仿宋_GB2312" w:eastAsia="仿宋_GB2312"/>
          <w:color w:val="000000"/>
          <w:sz w:val="32"/>
          <w:szCs w:val="32"/>
        </w:rPr>
        <w:t>10.58</w:t>
      </w:r>
      <w:r>
        <w:rPr>
          <w:rFonts w:hint="eastAsia" w:ascii="仿宋_GB2312" w:eastAsia="仿宋_GB2312"/>
          <w:color w:val="000000"/>
          <w:sz w:val="32"/>
          <w:szCs w:val="32"/>
        </w:rPr>
        <w:t>万元，主要用于外事接待、业务接待等方面。</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w:t>
      </w:r>
      <w:r>
        <w:rPr>
          <w:rFonts w:ascii="仿宋_GB2312" w:eastAsia="仿宋_GB2312"/>
          <w:color w:val="000000"/>
          <w:sz w:val="32"/>
          <w:szCs w:val="32"/>
        </w:rPr>
        <w:t xml:space="preserve"> </w:t>
      </w:r>
      <w:r>
        <w:rPr>
          <w:rFonts w:hint="eastAsia" w:ascii="仿宋_GB2312" w:eastAsia="仿宋_GB2312"/>
          <w:color w:val="000000"/>
          <w:sz w:val="32"/>
          <w:szCs w:val="32"/>
        </w:rPr>
        <w:t>公务用车购置和运行维护费。2021年预算数</w:t>
      </w:r>
      <w:r>
        <w:rPr>
          <w:rFonts w:ascii="仿宋_GB2312" w:eastAsia="仿宋_GB2312"/>
          <w:color w:val="000000"/>
          <w:sz w:val="32"/>
          <w:szCs w:val="32"/>
        </w:rPr>
        <w:t>22.5</w:t>
      </w:r>
      <w:r>
        <w:rPr>
          <w:rFonts w:hint="eastAsia" w:ascii="仿宋_GB2312" w:eastAsia="仿宋_GB2312"/>
          <w:color w:val="000000"/>
          <w:sz w:val="32"/>
          <w:szCs w:val="32"/>
        </w:rPr>
        <w:t>0万元，其中，公务用车运行维护费2021年预算数</w:t>
      </w:r>
      <w:r>
        <w:rPr>
          <w:rFonts w:ascii="仿宋_GB2312" w:eastAsia="仿宋_GB2312"/>
          <w:color w:val="000000"/>
          <w:sz w:val="32"/>
          <w:szCs w:val="32"/>
        </w:rPr>
        <w:t>22.5</w:t>
      </w:r>
      <w:r>
        <w:rPr>
          <w:rFonts w:hint="eastAsia" w:ascii="仿宋_GB2312" w:eastAsia="仿宋_GB2312"/>
          <w:color w:val="000000"/>
          <w:sz w:val="32"/>
          <w:szCs w:val="32"/>
        </w:rPr>
        <w:t>0万元，其中：公务用车燃油</w:t>
      </w:r>
      <w:r>
        <w:rPr>
          <w:rFonts w:ascii="仿宋_GB2312" w:eastAsia="仿宋_GB2312"/>
          <w:color w:val="000000"/>
          <w:sz w:val="32"/>
          <w:szCs w:val="32"/>
        </w:rPr>
        <w:t>11.92</w:t>
      </w:r>
      <w:r>
        <w:rPr>
          <w:rFonts w:hint="eastAsia" w:ascii="仿宋_GB2312" w:eastAsia="仿宋_GB2312"/>
          <w:color w:val="000000"/>
          <w:sz w:val="32"/>
          <w:szCs w:val="32"/>
        </w:rPr>
        <w:t>万元，公务用车维修</w:t>
      </w:r>
      <w:r>
        <w:rPr>
          <w:rFonts w:ascii="仿宋_GB2312" w:eastAsia="仿宋_GB2312"/>
          <w:color w:val="000000"/>
          <w:sz w:val="32"/>
          <w:szCs w:val="32"/>
        </w:rPr>
        <w:t>3.8</w:t>
      </w:r>
      <w:r>
        <w:rPr>
          <w:rFonts w:hint="eastAsia" w:ascii="仿宋_GB2312" w:eastAsia="仿宋_GB2312"/>
          <w:color w:val="000000"/>
          <w:sz w:val="32"/>
          <w:szCs w:val="32"/>
        </w:rPr>
        <w:t>3万元，公务用车保险</w:t>
      </w:r>
      <w:r>
        <w:rPr>
          <w:rFonts w:ascii="仿宋_GB2312" w:eastAsia="仿宋_GB2312"/>
          <w:color w:val="000000"/>
          <w:sz w:val="32"/>
          <w:szCs w:val="32"/>
        </w:rPr>
        <w:t>3.8</w:t>
      </w:r>
      <w:r>
        <w:rPr>
          <w:rFonts w:hint="eastAsia" w:ascii="仿宋_GB2312" w:eastAsia="仿宋_GB2312"/>
          <w:color w:val="000000"/>
          <w:sz w:val="32"/>
          <w:szCs w:val="32"/>
        </w:rPr>
        <w:t>3万元，其他</w:t>
      </w:r>
      <w:r>
        <w:rPr>
          <w:rFonts w:ascii="仿宋_GB2312" w:eastAsia="仿宋_GB2312"/>
          <w:color w:val="000000"/>
          <w:sz w:val="32"/>
          <w:szCs w:val="32"/>
        </w:rPr>
        <w:t>2.92</w:t>
      </w:r>
      <w:r>
        <w:rPr>
          <w:rFonts w:hint="eastAsia" w:ascii="仿宋_GB2312" w:eastAsia="仿宋_GB2312"/>
          <w:color w:val="000000"/>
          <w:sz w:val="32"/>
          <w:szCs w:val="32"/>
        </w:rPr>
        <w:t xml:space="preserve">万元。                       </w:t>
      </w:r>
    </w:p>
    <w:p>
      <w:pPr>
        <w:spacing w:line="560" w:lineRule="exact"/>
        <w:ind w:firstLine="640" w:firstLineChars="200"/>
        <w:rPr>
          <w:rFonts w:ascii="仿宋_GB2312" w:eastAsia="仿宋_GB2312"/>
          <w:color w:val="000000"/>
          <w:sz w:val="32"/>
          <w:szCs w:val="32"/>
        </w:rPr>
      </w:pP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五、其他情况说明</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（一）政府采购预算说明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2021年北京开放大学政府采购预算总额</w:t>
      </w:r>
      <w:r>
        <w:rPr>
          <w:rFonts w:hint="eastAsia" w:ascii="仿宋_GB2312"/>
          <w:sz w:val="32"/>
          <w:szCs w:val="32"/>
        </w:rPr>
        <w:t>2000.14</w:t>
      </w:r>
      <w:r>
        <w:rPr>
          <w:rFonts w:hint="eastAsia" w:ascii="仿宋_GB2312" w:eastAsia="仿宋_GB2312"/>
          <w:color w:val="000000"/>
          <w:sz w:val="32"/>
          <w:szCs w:val="32"/>
        </w:rPr>
        <w:t>万元，其中：政府采购货物预算409.59万元，政府采购工程预算635.09万元，政府采购服务预算955.46万元。</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（二）政府购买服务预算说明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本单位2021年无政府购买服务预算。</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（三）机关运行经费说明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我单位不在机关运行经费统计范围之内。</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（四）项目支出绩效目标情况说明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2021年，北京开放大学填报绩效目标的预算项目10个，占本单位全部预算项目10个的100%。填报绩效目标的项目支出预算</w:t>
      </w:r>
      <w:r>
        <w:rPr>
          <w:rFonts w:hint="eastAsia" w:ascii="仿宋_GB2312"/>
          <w:sz w:val="32"/>
          <w:szCs w:val="32"/>
        </w:rPr>
        <w:t>1494.30</w:t>
      </w:r>
      <w:r>
        <w:rPr>
          <w:rFonts w:hint="eastAsia" w:ascii="仿宋_GB2312" w:eastAsia="仿宋_GB2312"/>
          <w:color w:val="000000"/>
          <w:sz w:val="32"/>
          <w:szCs w:val="32"/>
        </w:rPr>
        <w:t>万元，占本单位年初全部项目支出预算的100%。</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（五）重点行政事业性收费情况说明</w:t>
      </w:r>
    </w:p>
    <w:p>
      <w:pPr>
        <w:spacing w:line="560" w:lineRule="exact"/>
        <w:ind w:firstLine="480" w:firstLineChars="150"/>
        <w:rPr>
          <w:rFonts w:ascii="仿宋_GB2312" w:eastAsia="仿宋_GB2312"/>
          <w:color w:val="000000"/>
          <w:sz w:val="32"/>
          <w:szCs w:val="32"/>
        </w:rPr>
      </w:pPr>
      <w:r>
        <w:rPr>
          <w:rFonts w:hint="eastAsia" w:ascii="仿宋_GB2312" w:eastAsia="仿宋_GB2312"/>
          <w:color w:val="000000"/>
          <w:sz w:val="32"/>
          <w:szCs w:val="32"/>
        </w:rPr>
        <w:t>本单位2021年无重点行政事业性收费。</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（六）国有资本经营预算财政拨款情况说明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w:t>
      </w:r>
      <w:r>
        <w:rPr>
          <w:rFonts w:ascii="仿宋_GB2312" w:eastAsia="仿宋_GB2312"/>
          <w:color w:val="000000"/>
          <w:sz w:val="32"/>
          <w:szCs w:val="32"/>
        </w:rPr>
        <w:t>单位</w:t>
      </w:r>
      <w:r>
        <w:rPr>
          <w:rFonts w:hint="eastAsia" w:ascii="仿宋_GB2312" w:eastAsia="仿宋_GB2312"/>
          <w:color w:val="000000"/>
          <w:sz w:val="32"/>
          <w:szCs w:val="32"/>
        </w:rPr>
        <w:t>2021年无国有资本经营预算财政拨款安排的预算。</w:t>
      </w:r>
    </w:p>
    <w:p>
      <w:pPr>
        <w:spacing w:line="560" w:lineRule="exact"/>
        <w:rPr>
          <w:rFonts w:ascii="楷体_GB2312" w:eastAsia="楷体_GB2312"/>
          <w:color w:val="000000"/>
          <w:sz w:val="32"/>
          <w:szCs w:val="32"/>
        </w:rPr>
      </w:pPr>
      <w:r>
        <w:rPr>
          <w:rFonts w:hint="eastAsia" w:ascii="仿宋_GB2312" w:eastAsia="仿宋_GB2312"/>
          <w:color w:val="000000"/>
          <w:sz w:val="32"/>
          <w:szCs w:val="32"/>
        </w:rPr>
        <w:t> </w:t>
      </w:r>
      <w:r>
        <w:rPr>
          <w:rFonts w:ascii="仿宋_GB2312" w:eastAsia="仿宋_GB2312"/>
          <w:color w:val="000000"/>
          <w:sz w:val="32"/>
          <w:szCs w:val="32"/>
        </w:rPr>
        <w:t xml:space="preserve">   </w:t>
      </w:r>
      <w:r>
        <w:rPr>
          <w:rFonts w:hint="eastAsia" w:ascii="楷体_GB2312" w:eastAsia="楷体_GB2312"/>
          <w:color w:val="000000"/>
          <w:sz w:val="32"/>
          <w:szCs w:val="32"/>
        </w:rPr>
        <w:t>（七）国有资产占用情况说明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截至2020年底，北京开放大学共有车辆17台，</w:t>
      </w:r>
      <w:r>
        <w:rPr>
          <w:rFonts w:ascii="仿宋_GB2312" w:eastAsia="仿宋_GB2312"/>
          <w:color w:val="000000"/>
          <w:sz w:val="32"/>
          <w:szCs w:val="32"/>
        </w:rPr>
        <w:t>383.18</w:t>
      </w:r>
      <w:r>
        <w:rPr>
          <w:rFonts w:hint="eastAsia" w:ascii="仿宋_GB2312" w:eastAsia="仿宋_GB2312"/>
          <w:color w:val="000000"/>
          <w:sz w:val="32"/>
          <w:szCs w:val="32"/>
        </w:rPr>
        <w:t>万元；单位价值50万元以上的通用设备8台（套）、</w:t>
      </w:r>
      <w:r>
        <w:rPr>
          <w:rFonts w:ascii="仿宋_GB2312" w:eastAsia="仿宋_GB2312"/>
          <w:color w:val="000000"/>
          <w:sz w:val="32"/>
          <w:szCs w:val="32"/>
        </w:rPr>
        <w:t>572.82</w:t>
      </w:r>
      <w:r>
        <w:rPr>
          <w:rFonts w:hint="eastAsia" w:ascii="仿宋_GB2312" w:eastAsia="仿宋_GB2312"/>
          <w:color w:val="000000"/>
          <w:sz w:val="32"/>
          <w:szCs w:val="32"/>
        </w:rPr>
        <w:t>万元。</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（八）重点支出和重大投资项目情况说明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本单位2021年无重点支出和重大投资项目。</w:t>
      </w:r>
    </w:p>
    <w:p>
      <w:pPr>
        <w:spacing w:line="560" w:lineRule="exact"/>
        <w:ind w:firstLine="640" w:firstLineChars="200"/>
        <w:rPr>
          <w:rFonts w:ascii="仿宋_GB2312" w:eastAsia="仿宋_GB2312"/>
          <w:color w:val="000000"/>
          <w:sz w:val="32"/>
          <w:szCs w:val="32"/>
        </w:rPr>
      </w:pPr>
    </w:p>
    <w:p>
      <w:pPr>
        <w:spacing w:line="560" w:lineRule="exact"/>
        <w:ind w:firstLine="640" w:firstLineChars="200"/>
        <w:rPr>
          <w:rFonts w:ascii="仿宋_GB2312" w:eastAsia="仿宋_GB2312"/>
          <w:color w:val="000000"/>
          <w:spacing w:val="-2"/>
          <w:sz w:val="32"/>
          <w:szCs w:val="32"/>
        </w:rPr>
      </w:pPr>
      <w:r>
        <w:rPr>
          <w:rFonts w:hint="eastAsia" w:ascii="黑体" w:hAnsi="黑体" w:eastAsia="黑体"/>
          <w:color w:val="000000"/>
          <w:sz w:val="32"/>
          <w:szCs w:val="32"/>
        </w:rPr>
        <w:t>六、名词解释</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项目支出：指在基本支出之外为完成特定行政任务或事业发展目标所发生的支出。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“三公”经费财政拨款预算数：指本单位当年单位预算安排的因公出国（境）费用、公务接待费、公务用车购置和运行维护费预算数。</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pPr>
        <w:spacing w:line="560" w:lineRule="exact"/>
        <w:rPr>
          <w:rFonts w:ascii="仿宋_GB2312" w:eastAsia="仿宋_GB2312"/>
          <w:color w:val="000000"/>
          <w:sz w:val="32"/>
          <w:szCs w:val="32"/>
        </w:rPr>
      </w:pPr>
    </w:p>
    <w:p>
      <w:pPr>
        <w:spacing w:line="560" w:lineRule="exact"/>
        <w:rPr>
          <w:rFonts w:ascii="仿宋_GB2312" w:eastAsia="仿宋_GB2312"/>
          <w:color w:val="000000"/>
          <w:sz w:val="32"/>
          <w:szCs w:val="32"/>
        </w:rPr>
      </w:pP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第二部分  2021年单位预算报表</w:t>
      </w:r>
    </w:p>
    <w:p>
      <w:pPr>
        <w:autoSpaceDE w:val="0"/>
        <w:autoSpaceDN w:val="0"/>
        <w:adjustRightInd w:val="0"/>
        <w:spacing w:line="560" w:lineRule="exact"/>
        <w:jc w:val="left"/>
        <w:rPr>
          <w:rFonts w:ascii="方正小标宋简体" w:eastAsia="方正小标宋简体"/>
          <w:color w:val="000000"/>
          <w:sz w:val="36"/>
          <w:szCs w:val="36"/>
        </w:rPr>
      </w:pPr>
    </w:p>
    <w:p>
      <w:r>
        <w:rPr>
          <w:rFonts w:hint="eastAsia" w:ascii="仿宋_GB2312" w:eastAsia="仿宋_GB2312"/>
          <w:color w:val="000000"/>
          <w:sz w:val="32"/>
          <w:szCs w:val="32"/>
        </w:rPr>
        <w:t>附件：北京开放大学2021年度单位预算报表</w:t>
      </w:r>
      <w:r>
        <w:rPr>
          <w:rFonts w:hint="eastAsia" w:ascii="仿宋_GB2312" w:eastAsia="仿宋_GB2312" w:cs="宋体"/>
          <w:color w:val="000000"/>
          <w:kern w:val="0"/>
          <w:sz w:val="32"/>
          <w:szCs w:val="32"/>
          <w:lang w:val="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roid Sans">
    <w:altName w:val="Times New Roman"/>
    <w:panose1 w:val="00000000000000000000"/>
    <w:charset w:val="00"/>
    <w:family w:val="auto"/>
    <w:pitch w:val="default"/>
    <w:sig w:usb0="00000000" w:usb1="00000000" w:usb2="00000000" w:usb3="00000000" w:csb0="00000000" w:csb1="00000000"/>
  </w:font>
  <w:font w:name="方正小标宋简体">
    <w:altName w:val="方正舒体"/>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3</w:t>
    </w:r>
    <w:r>
      <w:rPr>
        <w:rFonts w:ascii="宋体" w:hAnsi="宋体"/>
        <w:sz w:val="28"/>
        <w:szCs w:val="28"/>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41DB0F7"/>
    <w:multiLevelType w:val="singleLevel"/>
    <w:tmpl w:val="D41DB0F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42B"/>
    <w:rsid w:val="0000141A"/>
    <w:rsid w:val="0000319A"/>
    <w:rsid w:val="00011A20"/>
    <w:rsid w:val="00023DE1"/>
    <w:rsid w:val="0003187A"/>
    <w:rsid w:val="00035812"/>
    <w:rsid w:val="00071BF3"/>
    <w:rsid w:val="000822F4"/>
    <w:rsid w:val="00091F7F"/>
    <w:rsid w:val="000C6A6D"/>
    <w:rsid w:val="000D110D"/>
    <w:rsid w:val="00115C42"/>
    <w:rsid w:val="00136F05"/>
    <w:rsid w:val="0014236C"/>
    <w:rsid w:val="0015457E"/>
    <w:rsid w:val="00154AA5"/>
    <w:rsid w:val="001600C9"/>
    <w:rsid w:val="001612F0"/>
    <w:rsid w:val="001A6CE1"/>
    <w:rsid w:val="001B5297"/>
    <w:rsid w:val="001B7CD0"/>
    <w:rsid w:val="00221E40"/>
    <w:rsid w:val="002331B9"/>
    <w:rsid w:val="00243D8B"/>
    <w:rsid w:val="0024686E"/>
    <w:rsid w:val="00272F64"/>
    <w:rsid w:val="0027678F"/>
    <w:rsid w:val="00276C70"/>
    <w:rsid w:val="002A6FE7"/>
    <w:rsid w:val="003134A4"/>
    <w:rsid w:val="00346FBE"/>
    <w:rsid w:val="00373F45"/>
    <w:rsid w:val="00374207"/>
    <w:rsid w:val="00376500"/>
    <w:rsid w:val="003A51A0"/>
    <w:rsid w:val="003B6D64"/>
    <w:rsid w:val="003F45FF"/>
    <w:rsid w:val="00417A9A"/>
    <w:rsid w:val="0042285F"/>
    <w:rsid w:val="004325E6"/>
    <w:rsid w:val="00433198"/>
    <w:rsid w:val="004512CE"/>
    <w:rsid w:val="0045278E"/>
    <w:rsid w:val="00471CE7"/>
    <w:rsid w:val="004A1265"/>
    <w:rsid w:val="004D24B8"/>
    <w:rsid w:val="004F5943"/>
    <w:rsid w:val="00504979"/>
    <w:rsid w:val="005551B5"/>
    <w:rsid w:val="005670C1"/>
    <w:rsid w:val="00580158"/>
    <w:rsid w:val="00590693"/>
    <w:rsid w:val="005D2DBD"/>
    <w:rsid w:val="005D7FE0"/>
    <w:rsid w:val="005E5742"/>
    <w:rsid w:val="00613557"/>
    <w:rsid w:val="00654509"/>
    <w:rsid w:val="00674086"/>
    <w:rsid w:val="0068454D"/>
    <w:rsid w:val="00690FB3"/>
    <w:rsid w:val="006C2A6F"/>
    <w:rsid w:val="006F343A"/>
    <w:rsid w:val="00714E0C"/>
    <w:rsid w:val="007212A5"/>
    <w:rsid w:val="0073297A"/>
    <w:rsid w:val="00734709"/>
    <w:rsid w:val="007465A6"/>
    <w:rsid w:val="00754F97"/>
    <w:rsid w:val="00761786"/>
    <w:rsid w:val="00791B1D"/>
    <w:rsid w:val="0079211A"/>
    <w:rsid w:val="007A4916"/>
    <w:rsid w:val="007B6096"/>
    <w:rsid w:val="007C56C5"/>
    <w:rsid w:val="008136D7"/>
    <w:rsid w:val="008236A1"/>
    <w:rsid w:val="0083542B"/>
    <w:rsid w:val="00843C5C"/>
    <w:rsid w:val="0089797D"/>
    <w:rsid w:val="008A2E5A"/>
    <w:rsid w:val="00900A2F"/>
    <w:rsid w:val="0092654D"/>
    <w:rsid w:val="009651C5"/>
    <w:rsid w:val="00966C34"/>
    <w:rsid w:val="009A3CBB"/>
    <w:rsid w:val="009E2D15"/>
    <w:rsid w:val="009E7F39"/>
    <w:rsid w:val="00A125EF"/>
    <w:rsid w:val="00A17377"/>
    <w:rsid w:val="00A37C51"/>
    <w:rsid w:val="00A4793A"/>
    <w:rsid w:val="00A47C7D"/>
    <w:rsid w:val="00A7474F"/>
    <w:rsid w:val="00A867F7"/>
    <w:rsid w:val="00A93B5E"/>
    <w:rsid w:val="00AB70AD"/>
    <w:rsid w:val="00AF5ED5"/>
    <w:rsid w:val="00B12B72"/>
    <w:rsid w:val="00B14324"/>
    <w:rsid w:val="00B17E8C"/>
    <w:rsid w:val="00B33D0A"/>
    <w:rsid w:val="00B531E6"/>
    <w:rsid w:val="00B750B5"/>
    <w:rsid w:val="00BA1FD0"/>
    <w:rsid w:val="00BE4A03"/>
    <w:rsid w:val="00BF6C72"/>
    <w:rsid w:val="00C14DD2"/>
    <w:rsid w:val="00C56138"/>
    <w:rsid w:val="00CA68B6"/>
    <w:rsid w:val="00CB5F08"/>
    <w:rsid w:val="00CD0524"/>
    <w:rsid w:val="00CD764D"/>
    <w:rsid w:val="00CF3FED"/>
    <w:rsid w:val="00D06CE9"/>
    <w:rsid w:val="00D10E7B"/>
    <w:rsid w:val="00D519A8"/>
    <w:rsid w:val="00D66011"/>
    <w:rsid w:val="00D74CD0"/>
    <w:rsid w:val="00D76526"/>
    <w:rsid w:val="00D800CF"/>
    <w:rsid w:val="00D80E6C"/>
    <w:rsid w:val="00D9453F"/>
    <w:rsid w:val="00DB0EA4"/>
    <w:rsid w:val="00E03E87"/>
    <w:rsid w:val="00E04E9F"/>
    <w:rsid w:val="00E05D39"/>
    <w:rsid w:val="00E165B8"/>
    <w:rsid w:val="00E16753"/>
    <w:rsid w:val="00E2354A"/>
    <w:rsid w:val="00E35892"/>
    <w:rsid w:val="00E36673"/>
    <w:rsid w:val="00E36D60"/>
    <w:rsid w:val="00E44BB1"/>
    <w:rsid w:val="00E97374"/>
    <w:rsid w:val="00EA3D45"/>
    <w:rsid w:val="00EA5D6E"/>
    <w:rsid w:val="00ED31AB"/>
    <w:rsid w:val="00ED65BF"/>
    <w:rsid w:val="00ED6B05"/>
    <w:rsid w:val="00EF5A30"/>
    <w:rsid w:val="00F45102"/>
    <w:rsid w:val="00F623DF"/>
    <w:rsid w:val="00F72A92"/>
    <w:rsid w:val="00F75173"/>
    <w:rsid w:val="00F9745D"/>
    <w:rsid w:val="00FB4DB6"/>
    <w:rsid w:val="00FF0109"/>
    <w:rsid w:val="35B717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Droid Sans"/>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uiPriority w:val="99"/>
    <w:rPr>
      <w:sz w:val="18"/>
      <w:szCs w:val="18"/>
    </w:rPr>
  </w:style>
  <w:style w:type="character" w:customStyle="1" w:styleId="9">
    <w:name w:val="批注框文本 Char"/>
    <w:basedOn w:val="6"/>
    <w:link w:val="2"/>
    <w:semiHidden/>
    <w:qFormat/>
    <w:uiPriority w:val="99"/>
    <w:rPr>
      <w:rFonts w:ascii="Times New Roman" w:hAnsi="Times New Roman" w:eastAsia="宋体" w:cs="Droid Sans"/>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933A73-2CCB-45AC-9D18-C0EE14E5674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376</Words>
  <Characters>2147</Characters>
  <Lines>17</Lines>
  <Paragraphs>5</Paragraphs>
  <TotalTime>237</TotalTime>
  <ScaleCrop>false</ScaleCrop>
  <LinksUpToDate>false</LinksUpToDate>
  <CharactersWithSpaces>2518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2021-02-22T05:53:00Z</dcterms:created>
  <dc:creator>刘伟奇</dc:creator>
  <cp:lastModifiedBy>POIROT</cp:lastModifiedBy>
  <cp:lastPrinted>2021-02-22T06:51:00Z</cp:lastPrinted>
  <dcterms:modified xsi:type="dcterms:W3CDTF">2021-03-19T02:11:50Z</dcterms:modified>
  <cp:revision>206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