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sz w:val="32"/>
          <w:szCs w:val="32"/>
        </w:rPr>
      </w:pPr>
      <w:r>
        <w:rPr>
          <w:rFonts w:hint="eastAsia" w:ascii="方正小标宋简体" w:eastAsia="方正小标宋简体"/>
          <w:sz w:val="36"/>
          <w:szCs w:val="36"/>
        </w:rPr>
        <w:t>第一部分 2021年度北京财贸职业学院预算情况说明</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一、单位基本情况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（一）本单位职责</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培养高素质应用型人才，促进首都财贸与服务业发展，高职学历教育、成人教育、中专教育，财贸职业培训、财贸科学研究、财贸学术交流、财贸咨询服务。</w:t>
      </w:r>
    </w:p>
    <w:p>
      <w:pPr>
        <w:spacing w:line="560" w:lineRule="exact"/>
        <w:ind w:left="640"/>
        <w:rPr>
          <w:rFonts w:ascii="仿宋_GB2312" w:eastAsia="仿宋_GB2312"/>
          <w:color w:val="000000"/>
          <w:sz w:val="32"/>
          <w:szCs w:val="32"/>
        </w:rPr>
      </w:pPr>
      <w:r>
        <w:rPr>
          <w:rFonts w:hint="eastAsia" w:ascii="仿宋_GB2312" w:eastAsia="仿宋_GB2312"/>
          <w:color w:val="000000"/>
          <w:sz w:val="32"/>
          <w:szCs w:val="32"/>
        </w:rPr>
        <w:t>（二）机构设置情况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学院实行党委领导下的校长负责制，党政职能部门设有学校办公室、组织部 统战部、宣传部（新闻中心）、纪委办公室 监察处、人事处 教师工作部、学工部（处） 武装部 就业创业指导中心、安全稳定工作部（处）、离退休人员工作处、工会、团委、发展规划处 招生办公室、教务处（实训管理中心）、科研处(校企合作办公室)、财务处、审计处、后勤与资产管理处等16个内设管理机构；设有立信会计学院、金融学院、商学院、旅游与艺术学院、建筑工程管理学院、国际教育学院(国际交流中心)、马克思主义学院（素养教育部）、人文学院、继续教育学院(东城校区)、贯通基础教育学院(朝阳校区)、京冀创新教育学院(涿州校区) 11个二级学院和商业研究所、高职研究所2个研究机构；设有信息化与教育技术中心、教学督导与评价中心、图书馆等3个教辅部门。</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（三）单位性质</w:t>
      </w:r>
    </w:p>
    <w:p>
      <w:pPr>
        <w:spacing w:line="560" w:lineRule="exact"/>
        <w:ind w:firstLine="739" w:firstLineChars="231"/>
        <w:rPr>
          <w:rFonts w:ascii="仿宋_GB2312" w:eastAsia="仿宋_GB2312"/>
          <w:color w:val="000000"/>
          <w:sz w:val="32"/>
          <w:szCs w:val="32"/>
        </w:rPr>
      </w:pPr>
      <w:r>
        <w:rPr>
          <w:rFonts w:hint="eastAsia" w:ascii="仿宋_GB2312" w:eastAsia="仿宋_GB2312"/>
          <w:color w:val="000000"/>
          <w:sz w:val="32"/>
          <w:szCs w:val="32"/>
        </w:rPr>
        <w:t>本单位为公益二类事业单位。</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（四）人员构成情况</w:t>
      </w:r>
    </w:p>
    <w:p>
      <w:pPr>
        <w:spacing w:line="560" w:lineRule="exact"/>
        <w:ind w:firstLine="739" w:firstLineChars="231"/>
        <w:rPr>
          <w:rFonts w:ascii="仿宋_GB2312" w:eastAsia="仿宋_GB2312"/>
          <w:color w:val="000000"/>
          <w:sz w:val="32"/>
          <w:szCs w:val="32"/>
        </w:rPr>
      </w:pPr>
      <w:r>
        <w:rPr>
          <w:rFonts w:hint="eastAsia" w:ascii="仿宋_GB2312" w:eastAsia="仿宋_GB2312"/>
          <w:color w:val="000000"/>
          <w:sz w:val="32"/>
          <w:szCs w:val="32"/>
        </w:rPr>
        <w:t>本单位事业编制内实际人数639人，离休6人，退休</w:t>
      </w:r>
      <w:r>
        <w:rPr>
          <w:rFonts w:ascii="仿宋_GB2312" w:eastAsia="仿宋_GB2312"/>
          <w:color w:val="000000"/>
          <w:sz w:val="32"/>
          <w:szCs w:val="32"/>
        </w:rPr>
        <w:t>390</w:t>
      </w:r>
      <w:r>
        <w:rPr>
          <w:rFonts w:hint="eastAsia" w:ascii="仿宋_GB2312" w:eastAsia="仿宋_GB2312"/>
          <w:color w:val="000000"/>
          <w:sz w:val="32"/>
          <w:szCs w:val="32"/>
        </w:rPr>
        <w:t>人，学生人数6298人。</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二、2021年收入及支出总体情况（单位万元，保留两位小数）</w:t>
      </w:r>
    </w:p>
    <w:p>
      <w:pPr>
        <w:spacing w:line="600" w:lineRule="exact"/>
        <w:ind w:firstLine="640" w:firstLineChars="200"/>
        <w:rPr>
          <w:rFonts w:ascii="楷体" w:hAnsi="楷体" w:eastAsia="楷体"/>
          <w:sz w:val="32"/>
          <w:szCs w:val="32"/>
        </w:rPr>
      </w:pPr>
      <w:r>
        <w:rPr>
          <w:rFonts w:hint="eastAsia" w:ascii="楷体" w:hAnsi="楷体" w:eastAsia="楷体"/>
          <w:sz w:val="32"/>
          <w:szCs w:val="32"/>
        </w:rPr>
        <w:t>（一）收入预算情况</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2021年收入预算45156.79万元，比2020年42381.77万元增加2775.02万元。其中：</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财政拨款</w:t>
      </w:r>
      <w:r>
        <w:rPr>
          <w:rFonts w:ascii="仿宋_GB2312" w:eastAsia="仿宋_GB2312"/>
          <w:color w:val="000000"/>
          <w:sz w:val="32"/>
          <w:szCs w:val="32"/>
        </w:rPr>
        <w:t>37492.36</w:t>
      </w:r>
      <w:r>
        <w:rPr>
          <w:rFonts w:hint="eastAsia" w:ascii="仿宋_GB2312" w:eastAsia="仿宋_GB2312"/>
          <w:color w:val="000000"/>
          <w:sz w:val="32"/>
          <w:szCs w:val="32"/>
        </w:rPr>
        <w:t>万元,比2020年</w:t>
      </w:r>
      <w:r>
        <w:rPr>
          <w:rFonts w:ascii="仿宋_GB2312" w:eastAsia="仿宋_GB2312"/>
          <w:color w:val="000000"/>
          <w:sz w:val="32"/>
          <w:szCs w:val="32"/>
        </w:rPr>
        <w:t>34923.1</w:t>
      </w:r>
      <w:r>
        <w:rPr>
          <w:rFonts w:hint="eastAsia" w:ascii="仿宋_GB2312" w:eastAsia="仿宋_GB2312"/>
          <w:color w:val="000000"/>
          <w:sz w:val="32"/>
          <w:szCs w:val="32"/>
        </w:rPr>
        <w:t>7万元增加2569.19万元，主要原因一是落实人员正常调资和增加离休费等有关政策，人员经费预算有所增加。二是根据事业发展规划，调整项目</w:t>
      </w:r>
      <w:r>
        <w:rPr>
          <w:rFonts w:hint="eastAsia" w:ascii="仿宋_GB2312" w:eastAsia="仿宋_GB2312"/>
          <w:color w:val="000000"/>
          <w:sz w:val="32"/>
          <w:szCs w:val="32"/>
          <w:lang w:val="en-US" w:eastAsia="zh-CN"/>
        </w:rPr>
        <w:t>安排</w:t>
      </w:r>
      <w:bookmarkStart w:id="0" w:name="_GoBack"/>
      <w:bookmarkEnd w:id="0"/>
      <w:r>
        <w:rPr>
          <w:rFonts w:hint="eastAsia" w:ascii="仿宋_GB2312" w:eastAsia="仿宋_GB2312"/>
          <w:color w:val="000000"/>
          <w:sz w:val="32"/>
          <w:szCs w:val="32"/>
        </w:rPr>
        <w:t>。</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统筹使用结余资金安排预算1127</w:t>
      </w:r>
      <w:r>
        <w:rPr>
          <w:rFonts w:ascii="仿宋_GB2312" w:eastAsia="仿宋_GB2312"/>
          <w:color w:val="000000"/>
          <w:sz w:val="32"/>
          <w:szCs w:val="32"/>
        </w:rPr>
        <w:t>.00</w:t>
      </w:r>
      <w:r>
        <w:rPr>
          <w:rFonts w:hint="eastAsia" w:ascii="仿宋_GB2312" w:eastAsia="仿宋_GB2312"/>
          <w:color w:val="000000"/>
          <w:sz w:val="32"/>
          <w:szCs w:val="32"/>
        </w:rPr>
        <w:t>万元,比2020年</w:t>
      </w:r>
      <w:r>
        <w:rPr>
          <w:rFonts w:ascii="仿宋_GB2312" w:eastAsia="仿宋_GB2312"/>
          <w:color w:val="000000"/>
          <w:sz w:val="32"/>
          <w:szCs w:val="32"/>
        </w:rPr>
        <w:t>2616.35</w:t>
      </w:r>
      <w:r>
        <w:rPr>
          <w:rFonts w:hint="eastAsia" w:ascii="仿宋_GB2312" w:eastAsia="仿宋_GB2312"/>
          <w:color w:val="000000"/>
          <w:sz w:val="32"/>
          <w:szCs w:val="32"/>
        </w:rPr>
        <w:t>万元减少1489.35万元，主要原因是2</w:t>
      </w:r>
      <w:r>
        <w:rPr>
          <w:rFonts w:ascii="仿宋_GB2312" w:eastAsia="仿宋_GB2312"/>
          <w:color w:val="000000"/>
          <w:sz w:val="32"/>
          <w:szCs w:val="32"/>
        </w:rPr>
        <w:t>020</w:t>
      </w:r>
      <w:r>
        <w:rPr>
          <w:rFonts w:hint="eastAsia" w:ascii="仿宋_GB2312" w:eastAsia="仿宋_GB2312"/>
          <w:color w:val="000000"/>
          <w:sz w:val="32"/>
          <w:szCs w:val="32"/>
        </w:rPr>
        <w:t>年已使用非财政拨款结余资金安排</w:t>
      </w:r>
      <w:r>
        <w:rPr>
          <w:rFonts w:ascii="仿宋_GB2312" w:eastAsia="仿宋_GB2312"/>
          <w:color w:val="000000"/>
          <w:sz w:val="32"/>
          <w:szCs w:val="32"/>
        </w:rPr>
        <w:t>当年预算。</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其他资金</w:t>
      </w:r>
      <w:r>
        <w:rPr>
          <w:rFonts w:ascii="仿宋_GB2312" w:eastAsia="仿宋_GB2312"/>
          <w:color w:val="000000"/>
          <w:sz w:val="32"/>
          <w:szCs w:val="32"/>
        </w:rPr>
        <w:t>6537.43</w:t>
      </w:r>
      <w:r>
        <w:rPr>
          <w:rFonts w:hint="eastAsia" w:ascii="仿宋_GB2312" w:eastAsia="仿宋_GB2312"/>
          <w:color w:val="000000"/>
          <w:sz w:val="32"/>
          <w:szCs w:val="32"/>
        </w:rPr>
        <w:t>万元,比2020年</w:t>
      </w:r>
      <w:r>
        <w:rPr>
          <w:rFonts w:ascii="仿宋_GB2312" w:eastAsia="仿宋_GB2312"/>
          <w:color w:val="000000"/>
          <w:sz w:val="32"/>
          <w:szCs w:val="32"/>
        </w:rPr>
        <w:t>4842.26</w:t>
      </w:r>
      <w:r>
        <w:rPr>
          <w:rFonts w:hint="eastAsia" w:ascii="仿宋_GB2312" w:eastAsia="仿宋_GB2312"/>
          <w:color w:val="000000"/>
          <w:sz w:val="32"/>
          <w:szCs w:val="32"/>
        </w:rPr>
        <w:t>万元增加</w:t>
      </w:r>
      <w:r>
        <w:rPr>
          <w:rFonts w:ascii="仿宋_GB2312" w:eastAsia="仿宋_GB2312"/>
          <w:color w:val="000000"/>
          <w:sz w:val="32"/>
          <w:szCs w:val="32"/>
        </w:rPr>
        <w:t>1695.17</w:t>
      </w:r>
      <w:r>
        <w:rPr>
          <w:rFonts w:hint="eastAsia" w:ascii="仿宋_GB2312" w:eastAsia="仿宋_GB2312"/>
          <w:color w:val="000000"/>
          <w:sz w:val="32"/>
          <w:szCs w:val="32"/>
        </w:rPr>
        <w:t>万元，主要原因是2020年财政</w:t>
      </w:r>
      <w:r>
        <w:rPr>
          <w:rFonts w:ascii="仿宋_GB2312" w:eastAsia="仿宋_GB2312"/>
          <w:color w:val="000000"/>
          <w:sz w:val="32"/>
          <w:szCs w:val="32"/>
        </w:rPr>
        <w:t>拨款项目中有特高建设项目为中央专项</w:t>
      </w:r>
      <w:r>
        <w:rPr>
          <w:rFonts w:hint="eastAsia" w:ascii="仿宋_GB2312" w:eastAsia="仿宋_GB2312"/>
          <w:color w:val="000000"/>
          <w:sz w:val="32"/>
          <w:szCs w:val="32"/>
        </w:rPr>
        <w:t>，可以</w:t>
      </w:r>
      <w:r>
        <w:rPr>
          <w:rFonts w:ascii="仿宋_GB2312" w:eastAsia="仿宋_GB2312"/>
          <w:color w:val="000000"/>
          <w:sz w:val="32"/>
          <w:szCs w:val="32"/>
        </w:rPr>
        <w:t>使用两年</w:t>
      </w:r>
      <w:r>
        <w:rPr>
          <w:rFonts w:hint="eastAsia" w:ascii="仿宋_GB2312" w:eastAsia="仿宋_GB2312"/>
          <w:color w:val="000000"/>
          <w:sz w:val="32"/>
          <w:szCs w:val="32"/>
        </w:rPr>
        <w:t>。</w:t>
      </w:r>
    </w:p>
    <w:p>
      <w:pPr>
        <w:spacing w:line="600" w:lineRule="exact"/>
        <w:ind w:firstLine="640" w:firstLineChars="200"/>
        <w:rPr>
          <w:rFonts w:ascii="楷体" w:hAnsi="楷体" w:eastAsia="楷体"/>
          <w:sz w:val="32"/>
          <w:szCs w:val="32"/>
        </w:rPr>
      </w:pPr>
      <w:r>
        <w:rPr>
          <w:rFonts w:hint="eastAsia" w:ascii="楷体" w:hAnsi="楷体" w:eastAsia="楷体"/>
          <w:sz w:val="32"/>
          <w:szCs w:val="32"/>
        </w:rPr>
        <w:t>（二）支出预算情况</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2021年支出预算45156.79万元，比2020年</w:t>
      </w:r>
      <w:r>
        <w:rPr>
          <w:rFonts w:ascii="仿宋_GB2312" w:eastAsia="仿宋_GB2312"/>
          <w:color w:val="000000"/>
          <w:sz w:val="32"/>
          <w:szCs w:val="32"/>
        </w:rPr>
        <w:t>42381.77</w:t>
      </w:r>
      <w:r>
        <w:rPr>
          <w:rFonts w:hint="eastAsia" w:ascii="仿宋_GB2312" w:eastAsia="仿宋_GB2312"/>
          <w:color w:val="000000"/>
          <w:sz w:val="32"/>
          <w:szCs w:val="32"/>
        </w:rPr>
        <w:t>万元增加</w:t>
      </w:r>
      <w:r>
        <w:rPr>
          <w:rFonts w:ascii="仿宋_GB2312" w:eastAsia="仿宋_GB2312"/>
          <w:color w:val="000000"/>
          <w:sz w:val="32"/>
          <w:szCs w:val="32"/>
        </w:rPr>
        <w:t>2775.02</w:t>
      </w:r>
      <w:r>
        <w:rPr>
          <w:rFonts w:hint="eastAsia" w:ascii="仿宋_GB2312" w:eastAsia="仿宋_GB2312"/>
          <w:color w:val="000000"/>
          <w:sz w:val="32"/>
          <w:szCs w:val="32"/>
        </w:rPr>
        <w:t>万元。其中：</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基本支出预算</w:t>
      </w:r>
      <w:r>
        <w:rPr>
          <w:rFonts w:ascii="仿宋_GB2312" w:eastAsia="仿宋_GB2312"/>
          <w:color w:val="000000"/>
          <w:sz w:val="32"/>
          <w:szCs w:val="32"/>
        </w:rPr>
        <w:t>39947.8</w:t>
      </w:r>
      <w:r>
        <w:rPr>
          <w:rFonts w:hint="eastAsia" w:ascii="仿宋_GB2312" w:eastAsia="仿宋_GB2312"/>
          <w:color w:val="000000"/>
          <w:sz w:val="32"/>
          <w:szCs w:val="32"/>
        </w:rPr>
        <w:t>1万元，比2020年</w:t>
      </w:r>
      <w:r>
        <w:rPr>
          <w:rFonts w:ascii="仿宋_GB2312" w:eastAsia="仿宋_GB2312"/>
          <w:color w:val="000000"/>
          <w:sz w:val="32"/>
          <w:szCs w:val="32"/>
        </w:rPr>
        <w:t>37095.1</w:t>
      </w:r>
      <w:r>
        <w:rPr>
          <w:rFonts w:hint="eastAsia" w:ascii="仿宋_GB2312" w:eastAsia="仿宋_GB2312"/>
          <w:color w:val="000000"/>
          <w:sz w:val="32"/>
          <w:szCs w:val="32"/>
        </w:rPr>
        <w:t>9万元增加2852.62万元，主要原因是因为落实人员正常调资和增加离休费等有关政策，人员经费预算有所增加及学校自主安排“特高双高”相关建设经费增加</w:t>
      </w:r>
      <w:r>
        <w:rPr>
          <w:rFonts w:ascii="仿宋_GB2312" w:eastAsia="仿宋_GB2312"/>
          <w:color w:val="000000"/>
          <w:sz w:val="32"/>
          <w:szCs w:val="32"/>
        </w:rPr>
        <w:t>。</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项目支出预算</w:t>
      </w:r>
      <w:r>
        <w:rPr>
          <w:rFonts w:ascii="仿宋_GB2312" w:eastAsia="仿宋_GB2312"/>
          <w:color w:val="000000"/>
          <w:sz w:val="32"/>
          <w:szCs w:val="32"/>
        </w:rPr>
        <w:t>4688.98</w:t>
      </w:r>
      <w:r>
        <w:rPr>
          <w:rFonts w:hint="eastAsia" w:ascii="仿宋_GB2312" w:eastAsia="仿宋_GB2312"/>
          <w:color w:val="000000"/>
          <w:sz w:val="32"/>
          <w:szCs w:val="32"/>
        </w:rPr>
        <w:t>万元，比2020年</w:t>
      </w:r>
      <w:r>
        <w:rPr>
          <w:rFonts w:ascii="仿宋_GB2312" w:eastAsia="仿宋_GB2312"/>
          <w:color w:val="000000"/>
          <w:sz w:val="32"/>
          <w:szCs w:val="32"/>
        </w:rPr>
        <w:t>4646.58</w:t>
      </w:r>
      <w:r>
        <w:rPr>
          <w:rFonts w:hint="eastAsia" w:ascii="仿宋_GB2312" w:eastAsia="仿宋_GB2312"/>
          <w:color w:val="000000"/>
          <w:sz w:val="32"/>
          <w:szCs w:val="32"/>
        </w:rPr>
        <w:t>万元增加42.4万元，主要原因是根据事业发展规划，调整项目支出。</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事业单位经营支出52</w:t>
      </w:r>
      <w:r>
        <w:rPr>
          <w:rFonts w:ascii="仿宋_GB2312" w:eastAsia="仿宋_GB2312"/>
          <w:color w:val="000000"/>
          <w:sz w:val="32"/>
          <w:szCs w:val="32"/>
        </w:rPr>
        <w:t>0.00</w:t>
      </w:r>
      <w:r>
        <w:rPr>
          <w:rFonts w:hint="eastAsia" w:ascii="仿宋_GB2312" w:eastAsia="仿宋_GB2312"/>
          <w:color w:val="000000"/>
          <w:sz w:val="32"/>
          <w:szCs w:val="32"/>
        </w:rPr>
        <w:t>万元，比2020年640</w:t>
      </w:r>
      <w:r>
        <w:rPr>
          <w:rFonts w:ascii="仿宋_GB2312" w:eastAsia="仿宋_GB2312"/>
          <w:color w:val="000000"/>
          <w:sz w:val="32"/>
          <w:szCs w:val="32"/>
        </w:rPr>
        <w:t>.00</w:t>
      </w:r>
      <w:r>
        <w:rPr>
          <w:rFonts w:hint="eastAsia" w:ascii="仿宋_GB2312" w:eastAsia="仿宋_GB2312"/>
          <w:color w:val="000000"/>
          <w:sz w:val="32"/>
          <w:szCs w:val="32"/>
        </w:rPr>
        <w:t>万元减少120</w:t>
      </w:r>
      <w:r>
        <w:rPr>
          <w:rFonts w:ascii="仿宋_GB2312" w:eastAsia="仿宋_GB2312"/>
          <w:color w:val="000000"/>
          <w:sz w:val="32"/>
          <w:szCs w:val="32"/>
        </w:rPr>
        <w:t>.00</w:t>
      </w:r>
      <w:r>
        <w:rPr>
          <w:rFonts w:hint="eastAsia" w:ascii="仿宋_GB2312" w:eastAsia="仿宋_GB2312"/>
          <w:color w:val="000000"/>
          <w:sz w:val="32"/>
          <w:szCs w:val="32"/>
        </w:rPr>
        <w:t>万元，主要原因是疫情</w:t>
      </w:r>
      <w:r>
        <w:rPr>
          <w:rFonts w:ascii="仿宋_GB2312" w:eastAsia="仿宋_GB2312"/>
          <w:color w:val="000000"/>
          <w:sz w:val="32"/>
          <w:szCs w:val="32"/>
        </w:rPr>
        <w:t>影响经营收入</w:t>
      </w:r>
      <w:r>
        <w:rPr>
          <w:rFonts w:hint="eastAsia" w:ascii="仿宋_GB2312" w:eastAsia="仿宋_GB2312"/>
          <w:color w:val="000000"/>
          <w:sz w:val="32"/>
          <w:szCs w:val="32"/>
        </w:rPr>
        <w:t>及经营</w:t>
      </w:r>
      <w:r>
        <w:rPr>
          <w:rFonts w:ascii="仿宋_GB2312" w:eastAsia="仿宋_GB2312"/>
          <w:color w:val="000000"/>
          <w:sz w:val="32"/>
          <w:szCs w:val="32"/>
        </w:rPr>
        <w:t>支出随之减少。</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三、主要支出情况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按照支出内容，项目支出主要用于学生资助、北京市高端技术技能人才贯通培养、双高计划、职业院校素质提高工程等。</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四、单位“三公”经费财政拨款预算说明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2021年“三公”经费财政拨款预算</w:t>
      </w:r>
      <w:r>
        <w:rPr>
          <w:rFonts w:ascii="仿宋_GB2312" w:eastAsia="仿宋_GB2312"/>
          <w:color w:val="000000"/>
          <w:sz w:val="32"/>
          <w:szCs w:val="32"/>
        </w:rPr>
        <w:t>123.52</w:t>
      </w:r>
      <w:r>
        <w:rPr>
          <w:rFonts w:hint="eastAsia" w:ascii="仿宋_GB2312" w:eastAsia="仿宋_GB2312"/>
          <w:color w:val="000000"/>
          <w:sz w:val="32"/>
          <w:szCs w:val="32"/>
        </w:rPr>
        <w:t>万元。其中：</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1.因公出国（境）费用。2021年预算数</w:t>
      </w:r>
      <w:r>
        <w:rPr>
          <w:rFonts w:ascii="仿宋_GB2312" w:eastAsia="仿宋_GB2312"/>
          <w:color w:val="000000"/>
          <w:sz w:val="32"/>
          <w:szCs w:val="32"/>
        </w:rPr>
        <w:t>23.52</w:t>
      </w:r>
      <w:r>
        <w:rPr>
          <w:rFonts w:hint="eastAsia" w:ascii="仿宋_GB2312" w:eastAsia="仿宋_GB2312"/>
          <w:color w:val="000000"/>
          <w:sz w:val="32"/>
          <w:szCs w:val="32"/>
        </w:rPr>
        <w:t>万元，主要用于教学科研类出国（境）费用。</w:t>
      </w:r>
    </w:p>
    <w:p>
      <w:pPr>
        <w:spacing w:line="560" w:lineRule="exact"/>
        <w:ind w:firstLine="640" w:firstLineChars="200"/>
        <w:rPr>
          <w:rFonts w:ascii="仿宋_GB2312" w:eastAsia="仿宋_GB2312"/>
          <w:color w:val="000000"/>
          <w:sz w:val="32"/>
          <w:szCs w:val="32"/>
        </w:rPr>
      </w:pPr>
      <w:r>
        <w:rPr>
          <w:rFonts w:ascii="仿宋_GB2312" w:eastAsia="仿宋_GB2312"/>
          <w:color w:val="000000"/>
          <w:sz w:val="32"/>
          <w:szCs w:val="32"/>
        </w:rPr>
        <w:t>2</w:t>
      </w:r>
      <w:r>
        <w:rPr>
          <w:rFonts w:hint="eastAsia" w:ascii="仿宋_GB2312" w:eastAsia="仿宋_GB2312"/>
          <w:color w:val="000000"/>
          <w:sz w:val="32"/>
          <w:szCs w:val="32"/>
        </w:rPr>
        <w:t>.公务用车购置和运行维护费。2021年预算数100</w:t>
      </w:r>
      <w:r>
        <w:rPr>
          <w:rFonts w:ascii="仿宋_GB2312" w:eastAsia="仿宋_GB2312"/>
          <w:color w:val="000000"/>
          <w:sz w:val="32"/>
          <w:szCs w:val="32"/>
        </w:rPr>
        <w:t>.00</w:t>
      </w:r>
      <w:r>
        <w:rPr>
          <w:rFonts w:hint="eastAsia" w:ascii="仿宋_GB2312" w:eastAsia="仿宋_GB2312"/>
          <w:color w:val="000000"/>
          <w:sz w:val="32"/>
          <w:szCs w:val="32"/>
        </w:rPr>
        <w:t>万元，其中公务用车运行维护费2021年预算数100</w:t>
      </w:r>
      <w:r>
        <w:rPr>
          <w:rFonts w:ascii="仿宋_GB2312" w:eastAsia="仿宋_GB2312"/>
          <w:color w:val="000000"/>
          <w:sz w:val="32"/>
          <w:szCs w:val="32"/>
        </w:rPr>
        <w:t>.00</w:t>
      </w:r>
      <w:r>
        <w:rPr>
          <w:rFonts w:hint="eastAsia" w:ascii="仿宋_GB2312" w:eastAsia="仿宋_GB2312"/>
          <w:color w:val="000000"/>
          <w:sz w:val="32"/>
          <w:szCs w:val="32"/>
        </w:rPr>
        <w:t>万元，其中：公务用车燃油48</w:t>
      </w:r>
      <w:r>
        <w:rPr>
          <w:rFonts w:ascii="仿宋_GB2312" w:eastAsia="仿宋_GB2312"/>
          <w:color w:val="000000"/>
          <w:sz w:val="32"/>
          <w:szCs w:val="32"/>
        </w:rPr>
        <w:t>.00</w:t>
      </w:r>
      <w:r>
        <w:rPr>
          <w:rFonts w:hint="eastAsia" w:ascii="仿宋_GB2312" w:eastAsia="仿宋_GB2312"/>
          <w:color w:val="000000"/>
          <w:sz w:val="32"/>
          <w:szCs w:val="32"/>
        </w:rPr>
        <w:t>万元，公务用车维修33</w:t>
      </w:r>
      <w:r>
        <w:rPr>
          <w:rFonts w:ascii="仿宋_GB2312" w:eastAsia="仿宋_GB2312"/>
          <w:color w:val="000000"/>
          <w:sz w:val="32"/>
          <w:szCs w:val="32"/>
        </w:rPr>
        <w:t>.00</w:t>
      </w:r>
      <w:r>
        <w:rPr>
          <w:rFonts w:hint="eastAsia" w:ascii="仿宋_GB2312" w:eastAsia="仿宋_GB2312"/>
          <w:color w:val="000000"/>
          <w:sz w:val="32"/>
          <w:szCs w:val="32"/>
        </w:rPr>
        <w:t>万元，公务用车保险10</w:t>
      </w:r>
      <w:r>
        <w:rPr>
          <w:rFonts w:ascii="仿宋_GB2312" w:eastAsia="仿宋_GB2312"/>
          <w:color w:val="000000"/>
          <w:sz w:val="32"/>
          <w:szCs w:val="32"/>
        </w:rPr>
        <w:t>.00</w:t>
      </w:r>
      <w:r>
        <w:rPr>
          <w:rFonts w:hint="eastAsia" w:ascii="仿宋_GB2312" w:eastAsia="仿宋_GB2312"/>
          <w:color w:val="000000"/>
          <w:sz w:val="32"/>
          <w:szCs w:val="32"/>
        </w:rPr>
        <w:t>万元，其他9</w:t>
      </w:r>
      <w:r>
        <w:rPr>
          <w:rFonts w:ascii="仿宋_GB2312" w:eastAsia="仿宋_GB2312"/>
          <w:color w:val="000000"/>
          <w:sz w:val="32"/>
          <w:szCs w:val="32"/>
        </w:rPr>
        <w:t>.00</w:t>
      </w:r>
      <w:r>
        <w:rPr>
          <w:rFonts w:hint="eastAsia" w:ascii="仿宋_GB2312" w:eastAsia="仿宋_GB2312"/>
          <w:color w:val="000000"/>
          <w:sz w:val="32"/>
          <w:szCs w:val="32"/>
        </w:rPr>
        <w:t>万元。</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五、其他情况说明</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（一）政府采购预算说明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2021年本单位政府采购预算总额6277.71万元，其中：政府采购货物预算</w:t>
      </w:r>
      <w:r>
        <w:rPr>
          <w:rFonts w:ascii="仿宋_GB2312" w:eastAsia="仿宋_GB2312"/>
          <w:color w:val="000000"/>
          <w:sz w:val="32"/>
          <w:szCs w:val="32"/>
        </w:rPr>
        <w:t>4976.52</w:t>
      </w:r>
      <w:r>
        <w:rPr>
          <w:rFonts w:hint="eastAsia" w:ascii="仿宋_GB2312" w:eastAsia="仿宋_GB2312"/>
          <w:color w:val="000000"/>
          <w:sz w:val="32"/>
          <w:szCs w:val="32"/>
        </w:rPr>
        <w:t>万元，政府采购服务预算1301.</w:t>
      </w:r>
      <w:r>
        <w:rPr>
          <w:rFonts w:ascii="仿宋_GB2312" w:eastAsia="仿宋_GB2312"/>
          <w:color w:val="000000"/>
          <w:sz w:val="32"/>
          <w:szCs w:val="32"/>
        </w:rPr>
        <w:t>19</w:t>
      </w:r>
      <w:r>
        <w:rPr>
          <w:rFonts w:hint="eastAsia" w:ascii="仿宋_GB2312" w:eastAsia="仿宋_GB2312"/>
          <w:color w:val="000000"/>
          <w:sz w:val="32"/>
          <w:szCs w:val="32"/>
        </w:rPr>
        <w:t>万元。</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（二）政府购买服务预算说明</w:t>
      </w:r>
    </w:p>
    <w:p>
      <w:pPr>
        <w:spacing w:line="560" w:lineRule="exact"/>
        <w:ind w:firstLine="480" w:firstLineChars="150"/>
        <w:rPr>
          <w:rFonts w:ascii="仿宋_GB2312" w:eastAsia="仿宋_GB2312"/>
          <w:color w:val="000000"/>
          <w:sz w:val="32"/>
          <w:szCs w:val="32"/>
        </w:rPr>
      </w:pPr>
      <w:r>
        <w:rPr>
          <w:rFonts w:hint="eastAsia" w:ascii="仿宋_GB2312" w:eastAsia="仿宋_GB2312"/>
          <w:color w:val="000000"/>
          <w:sz w:val="32"/>
          <w:szCs w:val="32"/>
        </w:rPr>
        <w:t>本单位2021年无政府购买服务预算。</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（三）机关运行经费说明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本单位不在机关运行经费统计范围之内</w:t>
      </w:r>
    </w:p>
    <w:p>
      <w:pPr>
        <w:spacing w:line="560" w:lineRule="exact"/>
        <w:ind w:firstLine="480" w:firstLineChars="150"/>
        <w:rPr>
          <w:rFonts w:ascii="楷体_GB2312" w:eastAsia="楷体_GB2312"/>
          <w:b/>
          <w:color w:val="000000"/>
          <w:sz w:val="32"/>
          <w:szCs w:val="32"/>
        </w:rPr>
      </w:pPr>
      <w:r>
        <w:rPr>
          <w:rFonts w:hint="eastAsia" w:ascii="楷体_GB2312" w:eastAsia="楷体_GB2312"/>
          <w:color w:val="000000"/>
          <w:sz w:val="32"/>
          <w:szCs w:val="32"/>
        </w:rPr>
        <w:t>（四）项目支出绩效目标情况说明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2021年本单位填报绩效目标的预算项目12个，占本单位全部预算项目1</w:t>
      </w:r>
      <w:r>
        <w:rPr>
          <w:rFonts w:ascii="仿宋_GB2312" w:eastAsia="仿宋_GB2312"/>
          <w:color w:val="000000"/>
          <w:sz w:val="32"/>
          <w:szCs w:val="32"/>
        </w:rPr>
        <w:t>2</w:t>
      </w:r>
      <w:r>
        <w:rPr>
          <w:rFonts w:hint="eastAsia" w:ascii="仿宋_GB2312" w:eastAsia="仿宋_GB2312"/>
          <w:color w:val="000000"/>
          <w:sz w:val="32"/>
          <w:szCs w:val="32"/>
        </w:rPr>
        <w:t>个的1</w:t>
      </w:r>
      <w:r>
        <w:rPr>
          <w:rFonts w:ascii="仿宋_GB2312" w:eastAsia="仿宋_GB2312"/>
          <w:color w:val="000000"/>
          <w:sz w:val="32"/>
          <w:szCs w:val="32"/>
        </w:rPr>
        <w:t>00.00</w:t>
      </w:r>
      <w:r>
        <w:rPr>
          <w:rFonts w:hint="eastAsia" w:ascii="仿宋_GB2312" w:eastAsia="仿宋_GB2312"/>
          <w:color w:val="000000"/>
          <w:sz w:val="32"/>
          <w:szCs w:val="32"/>
        </w:rPr>
        <w:t>%。填报绩效目标的项目支出预算</w:t>
      </w:r>
      <w:r>
        <w:rPr>
          <w:rFonts w:ascii="仿宋_GB2312" w:eastAsia="仿宋_GB2312"/>
          <w:color w:val="000000"/>
          <w:sz w:val="32"/>
          <w:szCs w:val="32"/>
        </w:rPr>
        <w:t>2518.55</w:t>
      </w:r>
      <w:r>
        <w:rPr>
          <w:rFonts w:hint="eastAsia" w:ascii="仿宋_GB2312" w:eastAsia="仿宋_GB2312"/>
          <w:color w:val="000000"/>
          <w:sz w:val="32"/>
          <w:szCs w:val="32"/>
        </w:rPr>
        <w:t>万元，占本单位年初全部项目支出预算的100.00%。</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（五）重点行政事业性收费情况说明</w:t>
      </w:r>
    </w:p>
    <w:p>
      <w:pPr>
        <w:spacing w:line="560" w:lineRule="exact"/>
        <w:ind w:firstLine="480" w:firstLineChars="150"/>
        <w:rPr>
          <w:rFonts w:ascii="仿宋_GB2312" w:eastAsia="仿宋_GB2312"/>
          <w:color w:val="000000"/>
          <w:sz w:val="32"/>
          <w:szCs w:val="32"/>
        </w:rPr>
      </w:pPr>
      <w:r>
        <w:rPr>
          <w:rFonts w:hint="eastAsia" w:ascii="仿宋_GB2312" w:eastAsia="仿宋_GB2312"/>
          <w:color w:val="000000"/>
          <w:sz w:val="32"/>
          <w:szCs w:val="32"/>
        </w:rPr>
        <w:t>本单位2021年无重点行政事业性收费。</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（六）国有资本经营预算财政拨款情况说明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w:t>
      </w:r>
      <w:r>
        <w:rPr>
          <w:rFonts w:ascii="仿宋_GB2312" w:eastAsia="仿宋_GB2312"/>
          <w:color w:val="000000"/>
          <w:sz w:val="32"/>
          <w:szCs w:val="32"/>
        </w:rPr>
        <w:t>单位</w:t>
      </w:r>
      <w:r>
        <w:rPr>
          <w:rFonts w:hint="eastAsia" w:ascii="仿宋_GB2312" w:eastAsia="仿宋_GB2312"/>
          <w:color w:val="000000"/>
          <w:sz w:val="32"/>
          <w:szCs w:val="32"/>
        </w:rPr>
        <w:t>2021年无国有资本经营预算财政拨款安排的预算。</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（七）国有资产占用情况说明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截至2020年底，本单位共有车辆20台，502.23万元；单位价值50万元以上的通用设备29台（套）、2515.26万元。</w:t>
      </w:r>
    </w:p>
    <w:p>
      <w:pPr>
        <w:spacing w:line="560" w:lineRule="exact"/>
        <w:ind w:firstLine="640" w:firstLineChars="200"/>
        <w:rPr>
          <w:rFonts w:ascii="仿宋_GB2312" w:eastAsia="仿宋_GB2312"/>
          <w:color w:val="000000"/>
          <w:sz w:val="32"/>
          <w:szCs w:val="32"/>
        </w:rPr>
      </w:pPr>
      <w:r>
        <w:rPr>
          <w:rFonts w:hint="eastAsia" w:ascii="楷体_GB2312" w:eastAsia="楷体_GB2312"/>
          <w:color w:val="000000"/>
          <w:sz w:val="32"/>
          <w:szCs w:val="32"/>
        </w:rPr>
        <w:t>（八）重点支出和重大投资项目情况说明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本单位2021年无重点支出和重大投资项目</w:t>
      </w:r>
    </w:p>
    <w:p>
      <w:pPr>
        <w:spacing w:line="560" w:lineRule="exact"/>
        <w:ind w:firstLine="640" w:firstLineChars="200"/>
        <w:rPr>
          <w:rFonts w:ascii="仿宋_GB2312" w:eastAsia="仿宋_GB2312"/>
          <w:color w:val="000000"/>
          <w:spacing w:val="-2"/>
          <w:sz w:val="32"/>
          <w:szCs w:val="32"/>
        </w:rPr>
      </w:pPr>
      <w:r>
        <w:rPr>
          <w:rFonts w:hint="eastAsia" w:ascii="黑体" w:hAnsi="黑体" w:eastAsia="黑体"/>
          <w:color w:val="000000"/>
          <w:sz w:val="32"/>
          <w:szCs w:val="32"/>
        </w:rPr>
        <w:t>六、名词解释</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项目支出：指在基本支出之外为完成特定行政任务或事业发展目标所发生的支出。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“三公”经费财政拨款预算数：指本单位当年单位预算安排的因公出国（境）费用、公务接待费、公务用车购置和运行维护费预算数。</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pPr>
        <w:spacing w:line="560" w:lineRule="exact"/>
        <w:rPr>
          <w:rFonts w:ascii="仿宋_GB2312" w:eastAsia="仿宋_GB2312"/>
          <w:color w:val="000000"/>
          <w:sz w:val="32"/>
          <w:szCs w:val="32"/>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roid Sans">
    <w:altName w:val="Times New Roman"/>
    <w:panose1 w:val="00000000000000000000"/>
    <w:charset w:val="00"/>
    <w:family w:val="auto"/>
    <w:pitch w:val="default"/>
    <w:sig w:usb0="00000000" w:usb1="00000000" w:usb2="00000000" w:usb3="00000000" w:csb0="00000000"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5</w:t>
    </w:r>
    <w:r>
      <w:rPr>
        <w:rFonts w:ascii="宋体" w:hAnsi="宋体"/>
        <w:sz w:val="28"/>
        <w:szCs w:val="28"/>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42B"/>
    <w:rsid w:val="00023DE1"/>
    <w:rsid w:val="00035812"/>
    <w:rsid w:val="00055F3B"/>
    <w:rsid w:val="00071AB7"/>
    <w:rsid w:val="000953B2"/>
    <w:rsid w:val="000C4CBE"/>
    <w:rsid w:val="000D5673"/>
    <w:rsid w:val="000E2505"/>
    <w:rsid w:val="000E6FED"/>
    <w:rsid w:val="0014236C"/>
    <w:rsid w:val="0015457E"/>
    <w:rsid w:val="001914E9"/>
    <w:rsid w:val="00193CE3"/>
    <w:rsid w:val="00194515"/>
    <w:rsid w:val="00224DAD"/>
    <w:rsid w:val="00227C4C"/>
    <w:rsid w:val="0027678F"/>
    <w:rsid w:val="002B06D1"/>
    <w:rsid w:val="002B4C41"/>
    <w:rsid w:val="002B5665"/>
    <w:rsid w:val="002E1E5A"/>
    <w:rsid w:val="002F1A57"/>
    <w:rsid w:val="002F52F4"/>
    <w:rsid w:val="0031331C"/>
    <w:rsid w:val="003310BE"/>
    <w:rsid w:val="0033318F"/>
    <w:rsid w:val="00344B94"/>
    <w:rsid w:val="00345D0E"/>
    <w:rsid w:val="00346FBE"/>
    <w:rsid w:val="00373F45"/>
    <w:rsid w:val="00374207"/>
    <w:rsid w:val="003A6EEE"/>
    <w:rsid w:val="003B0F42"/>
    <w:rsid w:val="004006CC"/>
    <w:rsid w:val="0040198C"/>
    <w:rsid w:val="0041294C"/>
    <w:rsid w:val="00414D9E"/>
    <w:rsid w:val="004347F8"/>
    <w:rsid w:val="004512CE"/>
    <w:rsid w:val="00471CE7"/>
    <w:rsid w:val="00481B94"/>
    <w:rsid w:val="00484C22"/>
    <w:rsid w:val="004A1265"/>
    <w:rsid w:val="004C4520"/>
    <w:rsid w:val="004D6AA0"/>
    <w:rsid w:val="004E68F6"/>
    <w:rsid w:val="0056559E"/>
    <w:rsid w:val="0057695F"/>
    <w:rsid w:val="0058243E"/>
    <w:rsid w:val="00590693"/>
    <w:rsid w:val="005D2DBD"/>
    <w:rsid w:val="005E5875"/>
    <w:rsid w:val="005F72B6"/>
    <w:rsid w:val="006064BD"/>
    <w:rsid w:val="00631B5B"/>
    <w:rsid w:val="00631B91"/>
    <w:rsid w:val="0064116E"/>
    <w:rsid w:val="00654509"/>
    <w:rsid w:val="00672E2D"/>
    <w:rsid w:val="00674BBA"/>
    <w:rsid w:val="006801F2"/>
    <w:rsid w:val="006F25B4"/>
    <w:rsid w:val="006F343A"/>
    <w:rsid w:val="00700061"/>
    <w:rsid w:val="00723C74"/>
    <w:rsid w:val="007373C1"/>
    <w:rsid w:val="007448B8"/>
    <w:rsid w:val="00744E0F"/>
    <w:rsid w:val="0074589D"/>
    <w:rsid w:val="00763C06"/>
    <w:rsid w:val="00767002"/>
    <w:rsid w:val="00787CDA"/>
    <w:rsid w:val="0079211A"/>
    <w:rsid w:val="007A001C"/>
    <w:rsid w:val="007A18C7"/>
    <w:rsid w:val="007C0D6F"/>
    <w:rsid w:val="007C1318"/>
    <w:rsid w:val="007C7C15"/>
    <w:rsid w:val="0080613C"/>
    <w:rsid w:val="008136D7"/>
    <w:rsid w:val="008236A1"/>
    <w:rsid w:val="0083542B"/>
    <w:rsid w:val="00840BF7"/>
    <w:rsid w:val="008664ED"/>
    <w:rsid w:val="0089797D"/>
    <w:rsid w:val="008A4CC6"/>
    <w:rsid w:val="0090069E"/>
    <w:rsid w:val="0091650B"/>
    <w:rsid w:val="00933026"/>
    <w:rsid w:val="00936476"/>
    <w:rsid w:val="00983DA0"/>
    <w:rsid w:val="00992014"/>
    <w:rsid w:val="009A0529"/>
    <w:rsid w:val="009B1D1A"/>
    <w:rsid w:val="009E0AD7"/>
    <w:rsid w:val="009E2D15"/>
    <w:rsid w:val="00A018D1"/>
    <w:rsid w:val="00A11D1C"/>
    <w:rsid w:val="00A11E8A"/>
    <w:rsid w:val="00A13A43"/>
    <w:rsid w:val="00A202C4"/>
    <w:rsid w:val="00A47173"/>
    <w:rsid w:val="00A7474F"/>
    <w:rsid w:val="00A850F2"/>
    <w:rsid w:val="00A867F7"/>
    <w:rsid w:val="00AB3E77"/>
    <w:rsid w:val="00AC228C"/>
    <w:rsid w:val="00AC3DD7"/>
    <w:rsid w:val="00AC54ED"/>
    <w:rsid w:val="00AE321B"/>
    <w:rsid w:val="00B10DAF"/>
    <w:rsid w:val="00B31BB9"/>
    <w:rsid w:val="00B4221D"/>
    <w:rsid w:val="00B630C5"/>
    <w:rsid w:val="00B67DD3"/>
    <w:rsid w:val="00B750B5"/>
    <w:rsid w:val="00BA480B"/>
    <w:rsid w:val="00BA5AA0"/>
    <w:rsid w:val="00BB7B6E"/>
    <w:rsid w:val="00BC1796"/>
    <w:rsid w:val="00BC5999"/>
    <w:rsid w:val="00BC5B4C"/>
    <w:rsid w:val="00BF4AD4"/>
    <w:rsid w:val="00C87479"/>
    <w:rsid w:val="00C94CDF"/>
    <w:rsid w:val="00CA2C2E"/>
    <w:rsid w:val="00CB1730"/>
    <w:rsid w:val="00CB5F08"/>
    <w:rsid w:val="00CC2168"/>
    <w:rsid w:val="00CF3268"/>
    <w:rsid w:val="00CF3FED"/>
    <w:rsid w:val="00D06CE9"/>
    <w:rsid w:val="00D243CC"/>
    <w:rsid w:val="00D5128E"/>
    <w:rsid w:val="00D53720"/>
    <w:rsid w:val="00D60FC6"/>
    <w:rsid w:val="00D80C83"/>
    <w:rsid w:val="00D85014"/>
    <w:rsid w:val="00DB0EA4"/>
    <w:rsid w:val="00DB3DC8"/>
    <w:rsid w:val="00DF521C"/>
    <w:rsid w:val="00E10C08"/>
    <w:rsid w:val="00E165B8"/>
    <w:rsid w:val="00E25C67"/>
    <w:rsid w:val="00E35892"/>
    <w:rsid w:val="00E36D60"/>
    <w:rsid w:val="00E55C51"/>
    <w:rsid w:val="00E70CA6"/>
    <w:rsid w:val="00E96BF7"/>
    <w:rsid w:val="00EA3D45"/>
    <w:rsid w:val="00EA52F3"/>
    <w:rsid w:val="00ED311E"/>
    <w:rsid w:val="00EE3254"/>
    <w:rsid w:val="00EF7C56"/>
    <w:rsid w:val="00F2583A"/>
    <w:rsid w:val="00F623DF"/>
    <w:rsid w:val="00F73728"/>
    <w:rsid w:val="00F73E63"/>
    <w:rsid w:val="00F748D1"/>
    <w:rsid w:val="00F776C1"/>
    <w:rsid w:val="00FA5968"/>
    <w:rsid w:val="00FC4305"/>
    <w:rsid w:val="00FD22FA"/>
    <w:rsid w:val="00FF0109"/>
    <w:rsid w:val="23E35057"/>
    <w:rsid w:val="241C16A7"/>
    <w:rsid w:val="2AFD70CF"/>
    <w:rsid w:val="3E996AA4"/>
    <w:rsid w:val="3F115F17"/>
    <w:rsid w:val="59303051"/>
    <w:rsid w:val="5F3C665B"/>
    <w:rsid w:val="64A13107"/>
    <w:rsid w:val="7AFC467C"/>
    <w:rsid w:val="7B223DDE"/>
    <w:rsid w:val="7D8237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Droid Sans"/>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rFonts w:ascii="Times New Roman" w:hAnsi="Times New Roman" w:eastAsia="宋体" w:cs="Droid Sans"/>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CA99C3-B95C-4B1E-80AF-79393ED4B25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322</Words>
  <Characters>1837</Characters>
  <Lines>15</Lines>
  <Paragraphs>4</Paragraphs>
  <TotalTime>100</TotalTime>
  <ScaleCrop>false</ScaleCrop>
  <LinksUpToDate>false</LinksUpToDate>
  <CharactersWithSpaces>2155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2021-02-22T05:53:00Z</dcterms:created>
  <dc:creator>刘伟奇</dc:creator>
  <cp:lastModifiedBy>POIROT</cp:lastModifiedBy>
  <cp:lastPrinted>2021-02-22T06:51:00Z</cp:lastPrinted>
  <dcterms:modified xsi:type="dcterms:W3CDTF">2021-03-19T02:00:31Z</dcterms:modified>
  <cp:revision>142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