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630"/>
        </w:tabs>
        <w:spacing w:line="360" w:lineRule="auto"/>
        <w:rPr>
          <w:rFonts w:ascii="黑体" w:hAnsi="黑体" w:eastAsia="黑体"/>
          <w:color w:val="000000"/>
          <w:sz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北京物资学院202</w:t>
      </w:r>
      <w:r>
        <w:rPr>
          <w:rFonts w:ascii="方正小标宋简体" w:eastAsia="方正小标宋简体"/>
          <w:color w:val="000000"/>
          <w:sz w:val="36"/>
          <w:szCs w:val="36"/>
        </w:rPr>
        <w:t>1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年财政预算信息</w:t>
      </w:r>
    </w:p>
    <w:p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目   录</w:t>
      </w:r>
    </w:p>
    <w:p>
      <w:pPr>
        <w:spacing w:line="24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第一部分 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年度单位预算情况说明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一、单位基本情况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年收入及支出总体情况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四、单位“三公”经费财政拨款预算说明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五、其他情况说明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六、名词解释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第二部分 202</w:t>
      </w: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年度单位预算报表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一、收支总表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二、收入总表    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三、支出总表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四、政府采购预算明细表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五、财政拨款收支总表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 xml:space="preserve">    六、一般公共预算财政拨款支出表</w:t>
      </w:r>
    </w:p>
    <w:p>
      <w:pPr>
        <w:autoSpaceDE w:val="0"/>
        <w:autoSpaceDN w:val="0"/>
        <w:adjustRightInd w:val="0"/>
        <w:spacing w:line="560" w:lineRule="exact"/>
        <w:ind w:firstLine="576" w:firstLineChars="20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七、一般公共预算财政拨款基本支出表</w:t>
      </w:r>
    </w:p>
    <w:p>
      <w:pPr>
        <w:autoSpaceDE w:val="0"/>
        <w:autoSpaceDN w:val="0"/>
        <w:adjustRightInd w:val="0"/>
        <w:spacing w:line="560" w:lineRule="exact"/>
        <w:ind w:firstLine="576" w:firstLineChars="20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八、一般公共预算财政拨款项目支出表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九、政府性基金预算财政拨款支出表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十、国有资本经营预算财政拨款支出表</w:t>
      </w:r>
    </w:p>
    <w:p>
      <w:pPr>
        <w:autoSpaceDE w:val="0"/>
        <w:autoSpaceDN w:val="0"/>
        <w:adjustRightInd w:val="0"/>
        <w:spacing w:line="560" w:lineRule="exact"/>
        <w:ind w:firstLine="576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6"/>
          <w:kern w:val="0"/>
          <w:sz w:val="32"/>
          <w:szCs w:val="32"/>
          <w:lang w:val="zh-CN"/>
        </w:rPr>
        <w:t>十一、财政拨款（含一般公共预算和政府性基金预算）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“三公”经费支出表</w:t>
      </w:r>
    </w:p>
    <w:p>
      <w:pPr>
        <w:autoSpaceDE w:val="0"/>
        <w:autoSpaceDN w:val="0"/>
        <w:adjustRightInd w:val="0"/>
        <w:spacing w:line="560" w:lineRule="exact"/>
        <w:ind w:firstLine="568" w:firstLineChars="200"/>
        <w:jc w:val="left"/>
        <w:rPr>
          <w:rFonts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宋体"/>
          <w:color w:val="000000"/>
          <w:spacing w:val="-18"/>
          <w:kern w:val="0"/>
          <w:sz w:val="32"/>
          <w:szCs w:val="32"/>
          <w:lang w:val="zh-CN"/>
        </w:rPr>
        <w:t>十二、政府购买服务预算财政拨款明细表</w:t>
      </w:r>
    </w:p>
    <w:p>
      <w:pPr>
        <w:autoSpaceDE w:val="0"/>
        <w:autoSpaceDN w:val="0"/>
        <w:adjustRightInd w:val="0"/>
        <w:spacing w:line="560" w:lineRule="exact"/>
        <w:ind w:firstLine="640" w:firstLineChars="2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  <w:sectPr>
          <w:footerReference r:id="rId3" w:type="default"/>
          <w:footerReference r:id="rId4" w:type="even"/>
          <w:pgSz w:w="11906" w:h="16838"/>
          <w:pgMar w:top="1911" w:right="1474" w:bottom="1882" w:left="1588" w:header="851" w:footer="1531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eastAsia="仿宋_GB2312" w:cs="宋体"/>
          <w:color w:val="000000"/>
          <w:kern w:val="0"/>
          <w:sz w:val="32"/>
          <w:szCs w:val="32"/>
          <w:lang w:val="zh-CN"/>
        </w:rPr>
        <w:t>十三、项目支出绩效目标申报表</w:t>
      </w: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第一部分  2021年北京物资学院预算情况说明</w:t>
      </w:r>
    </w:p>
    <w:p>
      <w:pPr>
        <w:spacing w:line="560" w:lineRule="exact"/>
        <w:ind w:firstLine="720" w:firstLineChars="200"/>
        <w:rPr>
          <w:rFonts w:ascii="方正小标宋简体" w:eastAsia="方正小标宋简体"/>
          <w:color w:val="000000"/>
          <w:sz w:val="36"/>
          <w:szCs w:val="36"/>
        </w:rPr>
      </w:pP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一、单位基本情况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（一）本单位职责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学校秉承“厚德博学、笃行日新”的校训精神，弘扬艰苦奋斗、敢为人先、追求卓越的优良传统，</w:t>
      </w:r>
      <w:r>
        <w:rPr>
          <w:rFonts w:hint="eastAsia" w:ascii="仿宋_GB2312" w:eastAsia="仿宋_GB2312"/>
          <w:sz w:val="32"/>
          <w:szCs w:val="32"/>
        </w:rPr>
        <w:t>坚持特色发展的办学理念，努力建设物流和流通领域国内领先、国际有影响力的有特色高水平应用型大学。学校的宗旨和业务范围是</w:t>
      </w:r>
      <w:r>
        <w:rPr>
          <w:rFonts w:hint="eastAsia" w:ascii="仿宋_GB2312" w:eastAsia="仿宋_GB2312"/>
          <w:color w:val="000000"/>
          <w:sz w:val="32"/>
          <w:szCs w:val="32"/>
        </w:rPr>
        <w:t>培养高等学历人才，促进科技文化发展。面向全国招生拥有本科研究生、留学生、高等职业技术教育和成人教育以及相关专业培训相关继续教育。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机构设置情况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北京物资</w:t>
      </w:r>
      <w:r>
        <w:rPr>
          <w:rFonts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北京市</w:t>
      </w:r>
      <w:r>
        <w:rPr>
          <w:rFonts w:hint="eastAsia" w:ascii="仿宋_GB2312" w:eastAsia="仿宋_GB2312"/>
          <w:sz w:val="32"/>
          <w:szCs w:val="32"/>
        </w:rPr>
        <w:t>政府和</w:t>
      </w:r>
      <w:r>
        <w:rPr>
          <w:rFonts w:ascii="仿宋_GB2312" w:eastAsia="仿宋_GB2312"/>
          <w:sz w:val="32"/>
          <w:szCs w:val="32"/>
        </w:rPr>
        <w:t>北京市教育委员会相关文件</w:t>
      </w:r>
      <w:r>
        <w:rPr>
          <w:rFonts w:hint="eastAsia" w:ascii="仿宋_GB2312" w:eastAsia="仿宋_GB2312"/>
          <w:sz w:val="32"/>
          <w:szCs w:val="32"/>
        </w:rPr>
        <w:t>设立经济</w:t>
      </w:r>
      <w:r>
        <w:rPr>
          <w:rFonts w:ascii="仿宋_GB2312" w:eastAsia="仿宋_GB2312"/>
          <w:sz w:val="32"/>
          <w:szCs w:val="32"/>
        </w:rPr>
        <w:t>学院、物流学院、信息学院、商学院、法学院、外国语言与</w:t>
      </w:r>
      <w:r>
        <w:rPr>
          <w:rFonts w:hint="eastAsia" w:ascii="仿宋_GB2312" w:eastAsia="仿宋_GB2312"/>
          <w:sz w:val="32"/>
          <w:szCs w:val="32"/>
        </w:rPr>
        <w:t>文化</w:t>
      </w:r>
      <w:r>
        <w:rPr>
          <w:rFonts w:ascii="仿宋_GB2312" w:eastAsia="仿宋_GB2312"/>
          <w:sz w:val="32"/>
          <w:szCs w:val="32"/>
        </w:rPr>
        <w:t>学院、马克思</w:t>
      </w:r>
      <w:r>
        <w:rPr>
          <w:rFonts w:hint="eastAsia" w:ascii="仿宋_GB2312" w:eastAsia="仿宋_GB2312"/>
          <w:sz w:val="32"/>
          <w:szCs w:val="32"/>
        </w:rPr>
        <w:t>主义</w:t>
      </w:r>
      <w:r>
        <w:rPr>
          <w:rFonts w:ascii="仿宋_GB2312" w:eastAsia="仿宋_GB2312"/>
          <w:sz w:val="32"/>
          <w:szCs w:val="32"/>
        </w:rPr>
        <w:t>学院、</w:t>
      </w:r>
      <w:r>
        <w:rPr>
          <w:rFonts w:hint="eastAsia" w:ascii="仿宋_GB2312" w:eastAsia="仿宋_GB2312"/>
          <w:sz w:val="32"/>
          <w:szCs w:val="32"/>
        </w:rPr>
        <w:t>体育</w:t>
      </w:r>
      <w:r>
        <w:rPr>
          <w:rFonts w:ascii="仿宋_GB2312" w:eastAsia="仿宋_GB2312"/>
          <w:sz w:val="32"/>
          <w:szCs w:val="32"/>
        </w:rPr>
        <w:t>部、国际合作与交流处、继续教育学院、学校办公室、党委组织部</w:t>
      </w:r>
      <w:r>
        <w:rPr>
          <w:rFonts w:hint="eastAsia" w:ascii="仿宋_GB2312" w:eastAsia="仿宋_GB2312"/>
          <w:sz w:val="32"/>
          <w:szCs w:val="32"/>
        </w:rPr>
        <w:t>等37个</w:t>
      </w:r>
      <w:r>
        <w:rPr>
          <w:rFonts w:ascii="仿宋_GB2312" w:eastAsia="仿宋_GB2312"/>
          <w:sz w:val="32"/>
          <w:szCs w:val="32"/>
        </w:rPr>
        <w:t>学院和</w:t>
      </w:r>
      <w:r>
        <w:rPr>
          <w:rFonts w:hint="eastAsia" w:ascii="仿宋_GB2312" w:eastAsia="仿宋_GB2312"/>
          <w:sz w:val="32"/>
          <w:szCs w:val="32"/>
        </w:rPr>
        <w:t>职能处室</w:t>
      </w:r>
      <w:r>
        <w:rPr>
          <w:rFonts w:ascii="仿宋_GB2312" w:eastAsia="仿宋_GB2312"/>
          <w:sz w:val="32"/>
          <w:szCs w:val="32"/>
        </w:rPr>
        <w:t>并执行相关规定职能。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（三）单位性质</w:t>
      </w:r>
    </w:p>
    <w:p>
      <w:pPr>
        <w:spacing w:line="560" w:lineRule="exact"/>
        <w:ind w:firstLine="739" w:firstLineChars="231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北京物资学院为公益二类事业单位。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（四）人员构成情况</w:t>
      </w:r>
    </w:p>
    <w:p>
      <w:pPr>
        <w:spacing w:line="560" w:lineRule="exact"/>
        <w:ind w:firstLine="739" w:firstLineChars="23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北京物资学院事业编制内实际人数778人，离休7人，退休688人，学生人数8663人（包括博士研究生、硕士研究生、本科生等）。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二、2021年收入及支出总体情况（单位万元，保留两位小数）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（一）收入预算情况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2021年收入预算</w:t>
      </w:r>
      <w:r>
        <w:rPr>
          <w:rFonts w:ascii="仿宋_GB2312" w:eastAsia="仿宋_GB2312"/>
          <w:sz w:val="32"/>
          <w:szCs w:val="32"/>
        </w:rPr>
        <w:t>53075.</w:t>
      </w:r>
      <w:r>
        <w:rPr>
          <w:rFonts w:hint="eastAsia" w:ascii="仿宋_GB2312" w:eastAsia="仿宋_GB2312"/>
          <w:sz w:val="32"/>
          <w:szCs w:val="32"/>
        </w:rPr>
        <w:t>40万元，比2020年</w:t>
      </w:r>
      <w:r>
        <w:rPr>
          <w:rFonts w:ascii="仿宋_GB2312" w:eastAsia="仿宋_GB2312"/>
          <w:sz w:val="32"/>
          <w:szCs w:val="32"/>
        </w:rPr>
        <w:t>49911.28</w:t>
      </w:r>
      <w:r>
        <w:rPr>
          <w:rFonts w:hint="eastAsia" w:ascii="仿宋_GB2312" w:eastAsia="仿宋_GB2312"/>
          <w:sz w:val="32"/>
          <w:szCs w:val="32"/>
        </w:rPr>
        <w:t>万元增加3164.12万元。其中：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财政拨款</w:t>
      </w:r>
      <w:r>
        <w:rPr>
          <w:rFonts w:ascii="仿宋_GB2312" w:eastAsia="仿宋_GB2312"/>
          <w:sz w:val="32"/>
          <w:szCs w:val="32"/>
        </w:rPr>
        <w:t>42081.13</w:t>
      </w:r>
      <w:r>
        <w:rPr>
          <w:rFonts w:hint="eastAsia" w:ascii="仿宋_GB2312" w:eastAsia="仿宋_GB2312"/>
          <w:sz w:val="32"/>
          <w:szCs w:val="32"/>
        </w:rPr>
        <w:t>万元,比2020年</w:t>
      </w:r>
      <w:r>
        <w:rPr>
          <w:rFonts w:ascii="仿宋_GB2312" w:eastAsia="仿宋_GB2312"/>
          <w:sz w:val="32"/>
          <w:szCs w:val="32"/>
        </w:rPr>
        <w:t>38833.95</w:t>
      </w:r>
      <w:r>
        <w:rPr>
          <w:rFonts w:hint="eastAsia" w:ascii="仿宋_GB2312" w:eastAsia="仿宋_GB2312"/>
          <w:sz w:val="32"/>
          <w:szCs w:val="32"/>
        </w:rPr>
        <w:t>万元增加3247.18万元，主要原因：一是由于落实人员正常调资政策，人员经费预算有所增加；二是根据事业发展规划，调整项目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统筹使用结余资金安排预算2000.00万元,比2020年3000万元减少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1000.00万元，主要原因是截止到2020年底学校可统筹使用结余资金总额较上年减少，结余资金为2000万，已全部纳入预算。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其他资金8994.27万元,比2020年8077.33万元增加916.94万元，主要原因是增加</w:t>
      </w:r>
      <w:r>
        <w:rPr>
          <w:rFonts w:ascii="仿宋_GB2312" w:eastAsia="仿宋_GB2312"/>
          <w:sz w:val="32"/>
          <w:szCs w:val="32"/>
        </w:rPr>
        <w:t>部分主要是继续使用的财政性结转资金较往年</w:t>
      </w:r>
      <w:r>
        <w:rPr>
          <w:rFonts w:hint="eastAsia" w:ascii="仿宋_GB2312" w:eastAsia="仿宋_GB2312"/>
          <w:sz w:val="32"/>
          <w:szCs w:val="32"/>
        </w:rPr>
        <w:t>多</w:t>
      </w:r>
      <w:r>
        <w:rPr>
          <w:rFonts w:ascii="仿宋_GB2312" w:eastAsia="仿宋_GB2312"/>
          <w:sz w:val="32"/>
          <w:szCs w:val="32"/>
        </w:rPr>
        <w:t>，其他资金持平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（二）支出预算情况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2021年支出预算</w:t>
      </w:r>
      <w:r>
        <w:rPr>
          <w:rFonts w:ascii="仿宋_GB2312" w:eastAsia="仿宋_GB2312"/>
          <w:sz w:val="32"/>
          <w:szCs w:val="32"/>
        </w:rPr>
        <w:t>53075.</w:t>
      </w:r>
      <w:r>
        <w:rPr>
          <w:rFonts w:hint="eastAsia" w:ascii="仿宋_GB2312" w:eastAsia="仿宋_GB2312"/>
          <w:sz w:val="32"/>
          <w:szCs w:val="32"/>
        </w:rPr>
        <w:t>40万元，比2020年</w:t>
      </w:r>
      <w:r>
        <w:rPr>
          <w:rFonts w:ascii="仿宋_GB2312" w:eastAsia="仿宋_GB2312"/>
          <w:sz w:val="32"/>
          <w:szCs w:val="32"/>
        </w:rPr>
        <w:t>49911.28</w:t>
      </w:r>
      <w:r>
        <w:rPr>
          <w:rFonts w:hint="eastAsia" w:ascii="仿宋_GB2312" w:eastAsia="仿宋_GB2312"/>
          <w:sz w:val="32"/>
          <w:szCs w:val="32"/>
        </w:rPr>
        <w:t>万元增加3164.12万元。其中：</w:t>
      </w:r>
    </w:p>
    <w:p>
      <w:pPr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基本支出预算</w:t>
      </w:r>
      <w:r>
        <w:rPr>
          <w:rFonts w:ascii="仿宋_GB2312" w:eastAsia="仿宋_GB2312"/>
          <w:sz w:val="32"/>
          <w:szCs w:val="32"/>
        </w:rPr>
        <w:t>49877.78</w:t>
      </w:r>
      <w:r>
        <w:rPr>
          <w:rFonts w:hint="eastAsia" w:ascii="仿宋_GB2312" w:eastAsia="仿宋_GB2312"/>
          <w:sz w:val="32"/>
          <w:szCs w:val="32"/>
        </w:rPr>
        <w:t>万元，比2020年</w:t>
      </w:r>
      <w:r>
        <w:rPr>
          <w:rFonts w:ascii="仿宋_GB2312" w:eastAsia="仿宋_GB2312"/>
          <w:sz w:val="32"/>
          <w:szCs w:val="32"/>
        </w:rPr>
        <w:t>47995.61</w:t>
      </w:r>
      <w:r>
        <w:rPr>
          <w:rFonts w:hint="eastAsia" w:ascii="仿宋_GB2312" w:eastAsia="仿宋_GB2312"/>
          <w:sz w:val="32"/>
          <w:szCs w:val="32"/>
        </w:rPr>
        <w:t>万元增加1882.17万元，主要原因一是2021年学生人数较2020年增加，生均公用经费财政拨款增加；二是由于落实人员正常调资政策，人员经费预算有所增加。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项目支出预算</w:t>
      </w:r>
      <w:r>
        <w:rPr>
          <w:rFonts w:ascii="仿宋_GB2312" w:eastAsia="仿宋_GB2312"/>
          <w:sz w:val="32"/>
          <w:szCs w:val="32"/>
        </w:rPr>
        <w:t>2997.6</w:t>
      </w:r>
      <w:r>
        <w:rPr>
          <w:rFonts w:hint="eastAsia" w:ascii="仿宋_GB2312" w:eastAsia="仿宋_GB2312"/>
          <w:sz w:val="32"/>
          <w:szCs w:val="32"/>
        </w:rPr>
        <w:t>2万元，比2020年</w:t>
      </w:r>
      <w:r>
        <w:rPr>
          <w:rFonts w:ascii="仿宋_GB2312" w:eastAsia="仿宋_GB2312"/>
          <w:sz w:val="32"/>
          <w:szCs w:val="32"/>
        </w:rPr>
        <w:t>1715.67</w:t>
      </w:r>
      <w:r>
        <w:rPr>
          <w:rFonts w:hint="eastAsia" w:ascii="仿宋_GB2312" w:eastAsia="仿宋_GB2312"/>
          <w:sz w:val="32"/>
          <w:szCs w:val="32"/>
        </w:rPr>
        <w:t>万元增加1281.95万元，主要原因是项目</w:t>
      </w:r>
      <w:r>
        <w:rPr>
          <w:rFonts w:ascii="仿宋_GB2312" w:eastAsia="仿宋_GB2312"/>
          <w:sz w:val="32"/>
          <w:szCs w:val="32"/>
        </w:rPr>
        <w:t>支出包括</w:t>
      </w:r>
      <w:r>
        <w:rPr>
          <w:rFonts w:hint="eastAsia" w:ascii="仿宋_GB2312" w:eastAsia="仿宋_GB2312"/>
          <w:sz w:val="32"/>
          <w:szCs w:val="32"/>
        </w:rPr>
        <w:t>2020年</w:t>
      </w:r>
      <w:r>
        <w:rPr>
          <w:rFonts w:ascii="仿宋_GB2312" w:eastAsia="仿宋_GB2312"/>
          <w:sz w:val="32"/>
          <w:szCs w:val="32"/>
        </w:rPr>
        <w:t>结转的项目资金</w:t>
      </w:r>
      <w:r>
        <w:rPr>
          <w:rFonts w:hint="eastAsia" w:ascii="仿宋_GB2312" w:eastAsia="仿宋_GB2312"/>
          <w:sz w:val="32"/>
          <w:szCs w:val="32"/>
        </w:rPr>
        <w:t>1794.27万元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本年的</w:t>
      </w:r>
      <w:r>
        <w:rPr>
          <w:rFonts w:ascii="仿宋_GB2312" w:eastAsia="仿宋_GB2312"/>
          <w:sz w:val="32"/>
          <w:szCs w:val="32"/>
        </w:rPr>
        <w:t>项目支出较往年</w:t>
      </w:r>
      <w:r>
        <w:rPr>
          <w:rFonts w:hint="eastAsia" w:ascii="仿宋_GB2312" w:eastAsia="仿宋_GB2312"/>
          <w:sz w:val="32"/>
          <w:szCs w:val="32"/>
        </w:rPr>
        <w:t>减少</w:t>
      </w:r>
      <w:r>
        <w:rPr>
          <w:rFonts w:ascii="仿宋_GB2312" w:eastAsia="仿宋_GB2312"/>
          <w:sz w:val="32"/>
          <w:szCs w:val="32"/>
        </w:rPr>
        <w:t>，减少原因：</w:t>
      </w:r>
      <w:r>
        <w:rPr>
          <w:rFonts w:hint="eastAsia" w:ascii="仿宋_GB2312" w:eastAsia="仿宋_GB2312"/>
          <w:sz w:val="32"/>
          <w:szCs w:val="32"/>
        </w:rPr>
        <w:t>2020年</w:t>
      </w:r>
      <w:r>
        <w:rPr>
          <w:rFonts w:ascii="仿宋_GB2312" w:eastAsia="仿宋_GB2312"/>
          <w:sz w:val="32"/>
          <w:szCs w:val="32"/>
        </w:rPr>
        <w:t>由财政专项经费支持的基建定额、外培、实培、一流专业、高精尖学科建设等项目在</w:t>
      </w:r>
      <w:r>
        <w:rPr>
          <w:rFonts w:hint="eastAsia" w:ascii="仿宋_GB2312" w:eastAsia="仿宋_GB2312"/>
          <w:sz w:val="32"/>
          <w:szCs w:val="32"/>
        </w:rPr>
        <w:t>2021年</w:t>
      </w:r>
      <w:r>
        <w:rPr>
          <w:rFonts w:ascii="仿宋_GB2312" w:eastAsia="仿宋_GB2312"/>
          <w:sz w:val="32"/>
          <w:szCs w:val="32"/>
        </w:rPr>
        <w:t>改由基本经费支持。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事业单位经营支出</w:t>
      </w:r>
      <w:r>
        <w:rPr>
          <w:rFonts w:ascii="仿宋_GB2312" w:eastAsia="仿宋_GB2312"/>
          <w:sz w:val="32"/>
          <w:szCs w:val="32"/>
        </w:rPr>
        <w:t>200</w:t>
      </w:r>
      <w:r>
        <w:rPr>
          <w:rFonts w:hint="eastAsia" w:ascii="仿宋_GB2312" w:eastAsia="仿宋_GB2312"/>
          <w:sz w:val="32"/>
          <w:szCs w:val="32"/>
        </w:rPr>
        <w:t>.00万元，与2</w:t>
      </w:r>
      <w:r>
        <w:rPr>
          <w:rFonts w:ascii="仿宋_GB2312" w:eastAsia="仿宋_GB2312"/>
          <w:sz w:val="32"/>
          <w:szCs w:val="32"/>
        </w:rPr>
        <w:t>020</w:t>
      </w:r>
      <w:r>
        <w:rPr>
          <w:rFonts w:hint="eastAsia" w:ascii="仿宋_GB2312" w:eastAsia="仿宋_GB2312"/>
          <w:sz w:val="32"/>
          <w:szCs w:val="32"/>
        </w:rPr>
        <w:t>年2</w:t>
      </w:r>
      <w:r>
        <w:rPr>
          <w:rFonts w:ascii="仿宋_GB2312" w:eastAsia="仿宋_GB2312"/>
          <w:sz w:val="32"/>
          <w:szCs w:val="32"/>
        </w:rPr>
        <w:t>00</w:t>
      </w:r>
      <w:r>
        <w:rPr>
          <w:rFonts w:hint="eastAsia" w:ascii="仿宋_GB2312" w:eastAsia="仿宋_GB2312"/>
          <w:sz w:val="32"/>
          <w:szCs w:val="32"/>
        </w:rPr>
        <w:t>万元相比持平。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三、主要支出情况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按照支出内容，项目支出主要用于人才培养质量建设、科技创新服务能力建设、改善办学保障条件、国际合作与交流、学生资助、机动经费等。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四、单位“三公”经费财政拨款预算说明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2021年“三公”经费财政拨款预算</w:t>
      </w:r>
      <w:r>
        <w:rPr>
          <w:rFonts w:ascii="仿宋_GB2312" w:eastAsia="仿宋_GB2312"/>
          <w:color w:val="000000"/>
          <w:sz w:val="32"/>
          <w:szCs w:val="32"/>
        </w:rPr>
        <w:t>30.36</w:t>
      </w:r>
      <w:r>
        <w:rPr>
          <w:rFonts w:hint="eastAsia" w:ascii="仿宋_GB2312" w:eastAsia="仿宋_GB2312"/>
          <w:color w:val="000000"/>
          <w:sz w:val="32"/>
          <w:szCs w:val="32"/>
        </w:rPr>
        <w:t>万元。其中：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公务用车购置和运行维护费。2021年预算数</w:t>
      </w:r>
      <w:r>
        <w:rPr>
          <w:rFonts w:ascii="仿宋_GB2312" w:eastAsia="仿宋_GB2312"/>
          <w:color w:val="000000"/>
          <w:sz w:val="32"/>
          <w:szCs w:val="32"/>
        </w:rPr>
        <w:t>30.36</w:t>
      </w:r>
      <w:r>
        <w:rPr>
          <w:rFonts w:hint="eastAsia" w:ascii="仿宋_GB2312" w:eastAsia="仿宋_GB2312"/>
          <w:color w:val="000000"/>
          <w:sz w:val="32"/>
          <w:szCs w:val="32"/>
        </w:rPr>
        <w:t>万元，其中，公务用车运行维护费2021年预算数</w:t>
      </w:r>
      <w:r>
        <w:rPr>
          <w:rFonts w:ascii="仿宋_GB2312" w:eastAsia="仿宋_GB2312"/>
          <w:color w:val="000000"/>
          <w:sz w:val="32"/>
          <w:szCs w:val="32"/>
        </w:rPr>
        <w:t>30.36</w:t>
      </w:r>
      <w:r>
        <w:rPr>
          <w:rFonts w:hint="eastAsia" w:ascii="仿宋_GB2312" w:eastAsia="仿宋_GB2312"/>
          <w:color w:val="000000"/>
          <w:sz w:val="32"/>
          <w:szCs w:val="32"/>
        </w:rPr>
        <w:t>万元，其中：公务用车维修</w:t>
      </w:r>
      <w:r>
        <w:rPr>
          <w:rFonts w:ascii="仿宋_GB2312" w:eastAsia="仿宋_GB2312"/>
          <w:color w:val="000000"/>
          <w:sz w:val="32"/>
          <w:szCs w:val="32"/>
        </w:rPr>
        <w:t>14.36</w:t>
      </w:r>
      <w:r>
        <w:rPr>
          <w:rFonts w:hint="eastAsia" w:ascii="仿宋_GB2312" w:eastAsia="仿宋_GB2312"/>
          <w:color w:val="000000"/>
          <w:sz w:val="32"/>
          <w:szCs w:val="32"/>
        </w:rPr>
        <w:t>万元，公务用车保险</w:t>
      </w:r>
      <w:r>
        <w:rPr>
          <w:rFonts w:ascii="仿宋_GB2312" w:eastAsia="仿宋_GB2312"/>
          <w:color w:val="000000"/>
          <w:sz w:val="32"/>
          <w:szCs w:val="32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.00万元，其他8.00万元。</w:t>
      </w:r>
    </w:p>
    <w:p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五、其他情况说明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（一）政府采购预算说明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2021年北京物资学院政府采购预算总额</w:t>
      </w:r>
      <w:r>
        <w:rPr>
          <w:rFonts w:ascii="仿宋_GB2312" w:eastAsia="仿宋_GB2312"/>
          <w:color w:val="000000"/>
          <w:sz w:val="32"/>
          <w:szCs w:val="32"/>
        </w:rPr>
        <w:t>2256.97</w:t>
      </w:r>
      <w:r>
        <w:rPr>
          <w:rFonts w:hint="eastAsia" w:ascii="仿宋_GB2312" w:eastAsia="仿宋_GB2312"/>
          <w:color w:val="000000"/>
          <w:sz w:val="32"/>
          <w:szCs w:val="32"/>
        </w:rPr>
        <w:t>万元，其中：政府采购货物预算</w:t>
      </w:r>
      <w:r>
        <w:rPr>
          <w:rFonts w:ascii="仿宋_GB2312" w:eastAsia="仿宋_GB2312"/>
          <w:color w:val="000000"/>
          <w:sz w:val="32"/>
          <w:szCs w:val="32"/>
        </w:rPr>
        <w:t>1650</w:t>
      </w:r>
      <w:r>
        <w:rPr>
          <w:rFonts w:hint="eastAsia" w:ascii="仿宋_GB2312" w:eastAsia="仿宋_GB2312"/>
          <w:color w:val="000000"/>
          <w:sz w:val="32"/>
          <w:szCs w:val="32"/>
        </w:rPr>
        <w:t>.00万元，政府采购工程预算</w:t>
      </w:r>
      <w:r>
        <w:rPr>
          <w:rFonts w:ascii="仿宋_GB2312" w:eastAsia="仿宋_GB2312"/>
          <w:color w:val="000000"/>
          <w:sz w:val="32"/>
          <w:szCs w:val="32"/>
        </w:rPr>
        <w:t>153.61</w:t>
      </w:r>
      <w:r>
        <w:rPr>
          <w:rFonts w:hint="eastAsia" w:ascii="仿宋_GB2312" w:eastAsia="仿宋_GB2312"/>
          <w:color w:val="000000"/>
          <w:sz w:val="32"/>
          <w:szCs w:val="32"/>
        </w:rPr>
        <w:t>万元，政府采购服务预算</w:t>
      </w:r>
      <w:r>
        <w:rPr>
          <w:rFonts w:ascii="仿宋_GB2312" w:eastAsia="仿宋_GB2312"/>
          <w:color w:val="000000"/>
          <w:sz w:val="32"/>
          <w:szCs w:val="32"/>
        </w:rPr>
        <w:t>453.36</w:t>
      </w:r>
      <w:r>
        <w:rPr>
          <w:rFonts w:hint="eastAsia" w:ascii="仿宋_GB2312" w:eastAsia="仿宋_GB2312"/>
          <w:color w:val="000000"/>
          <w:sz w:val="32"/>
          <w:szCs w:val="32"/>
        </w:rPr>
        <w:t>万元。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（二）政府购买服务预算说明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本单位2021年无政府购买服务预算。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（三）机关运行经费说明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bookmarkStart w:id="0" w:name="_Hlk66280282"/>
      <w:r>
        <w:rPr>
          <w:rFonts w:hint="eastAsia" w:ascii="仿宋_GB2312" w:eastAsia="仿宋_GB2312"/>
          <w:color w:val="000000"/>
          <w:sz w:val="32"/>
          <w:szCs w:val="32"/>
        </w:rPr>
        <w:t>我单位不在机关运行经费统计范围之内。</w:t>
      </w:r>
    </w:p>
    <w:bookmarkEnd w:id="0"/>
    <w:p>
      <w:pPr>
        <w:spacing w:line="560" w:lineRule="exact"/>
        <w:ind w:firstLine="480" w:firstLineChars="150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（四）项目支出绩效目标情况说明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2021年，北京物资学院填报绩效目标的预算项目9个，占本单位全部预算项目9个的100%。填报绩效目标的项目支出预算1203.35万元，占本单位年初全部项目支出预算的100%。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（五）重点行政事业性收费情况说明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本单位2021年无重点行政事业性收费。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（六）国有资本经营预算财政拨款情况说明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sz w:val="32"/>
          <w:szCs w:val="32"/>
        </w:rPr>
        <w:t>2021年无国有资本经营预算财政拨款安排的预算。</w:t>
      </w:r>
    </w:p>
    <w:p>
      <w:pPr>
        <w:spacing w:line="560" w:lineRule="exact"/>
        <w:ind w:firstLine="480" w:firstLineChars="15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（七）国有资产占用情况说明</w:t>
      </w:r>
    </w:p>
    <w:p>
      <w:pPr>
        <w:spacing w:line="560" w:lineRule="exact"/>
        <w:ind w:firstLine="640" w:firstLineChars="20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截至2020年底，北京物资</w:t>
      </w:r>
      <w:r>
        <w:rPr>
          <w:rFonts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</w:rPr>
        <w:t>共有车辆</w:t>
      </w:r>
      <w:r>
        <w:rPr>
          <w:rFonts w:ascii="仿宋_GB2312" w:eastAsia="仿宋_GB2312"/>
          <w:sz w:val="32"/>
          <w:szCs w:val="32"/>
        </w:rPr>
        <w:t>45</w:t>
      </w:r>
      <w:r>
        <w:rPr>
          <w:rFonts w:hint="eastAsia" w:ascii="仿宋_GB2312" w:eastAsia="仿宋_GB2312"/>
          <w:sz w:val="32"/>
          <w:szCs w:val="32"/>
        </w:rPr>
        <w:t>台，1085.1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万元（含北京市商务科技学校13台，</w:t>
      </w:r>
      <w:r>
        <w:rPr>
          <w:rFonts w:ascii="仿宋_GB2312" w:eastAsia="仿宋_GB2312"/>
          <w:sz w:val="32"/>
          <w:szCs w:val="32"/>
        </w:rPr>
        <w:t>282.13</w:t>
      </w:r>
      <w:r>
        <w:rPr>
          <w:rFonts w:hint="eastAsia" w:ascii="仿宋_GB2312" w:eastAsia="仿宋_GB2312"/>
          <w:sz w:val="32"/>
          <w:szCs w:val="32"/>
        </w:rPr>
        <w:t>万元）；单位价值50万元以上的通用设备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hint="eastAsia" w:ascii="仿宋_GB2312" w:eastAsia="仿宋_GB2312"/>
          <w:sz w:val="32"/>
          <w:szCs w:val="32"/>
        </w:rPr>
        <w:t>台（套）、2771.5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万元（含北京市商务科技学校5台（套），</w:t>
      </w:r>
      <w:r>
        <w:rPr>
          <w:rFonts w:ascii="仿宋_GB2312" w:eastAsia="仿宋_GB2312"/>
          <w:sz w:val="32"/>
          <w:szCs w:val="32"/>
        </w:rPr>
        <w:t>491.06</w:t>
      </w:r>
      <w:r>
        <w:rPr>
          <w:rFonts w:hint="eastAsia" w:ascii="仿宋_GB2312" w:eastAsia="仿宋_GB2312"/>
          <w:sz w:val="32"/>
          <w:szCs w:val="32"/>
        </w:rPr>
        <w:t>万元），单位价值100万元以上的专用设备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台（套）、503.40万元（含北京市商务科技学校1台（套），</w:t>
      </w:r>
      <w:r>
        <w:rPr>
          <w:rFonts w:ascii="仿宋_GB2312" w:eastAsia="仿宋_GB2312"/>
          <w:sz w:val="32"/>
          <w:szCs w:val="32"/>
        </w:rPr>
        <w:t>149.42</w:t>
      </w:r>
      <w:r>
        <w:rPr>
          <w:rFonts w:hint="eastAsia" w:ascii="仿宋_GB2312" w:eastAsia="仿宋_GB2312"/>
          <w:sz w:val="32"/>
          <w:szCs w:val="32"/>
        </w:rPr>
        <w:t>万元）。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（八）重点支出和重大投资项目情况说明</w:t>
      </w:r>
    </w:p>
    <w:p>
      <w:pPr>
        <w:spacing w:line="560" w:lineRule="exact"/>
        <w:ind w:firstLine="800" w:firstLineChars="25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本单位2021年无重点支出和重大投资项目。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六、名词解释</w:t>
      </w:r>
    </w:p>
    <w:p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基本支出：指为保障机构正常运转、完成日常工作任务而发生的人员支出和公用支出。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“三公”经费财政拨款预算数：指本单位当年单位预算安排的因公出国（境）费用、公务接待费、公务用车购置和运行维护费预算数。</w:t>
      </w: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第二部分  2021年单位预算报表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ascii="方正小标宋简体" w:eastAsia="方正小标宋简体"/>
          <w:color w:val="000000"/>
          <w:sz w:val="36"/>
          <w:szCs w:val="36"/>
        </w:rPr>
      </w:pPr>
    </w:p>
    <w:p>
      <w:r>
        <w:rPr>
          <w:rFonts w:hint="eastAsia" w:ascii="仿宋_GB2312" w:eastAsia="仿宋_GB2312"/>
          <w:color w:val="000000"/>
          <w:sz w:val="32"/>
          <w:szCs w:val="32"/>
        </w:rPr>
        <w:t>附件：北京物资学院2021年度单位预算报表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1DB0F7"/>
    <w:multiLevelType w:val="singleLevel"/>
    <w:tmpl w:val="D41DB0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2B"/>
    <w:rsid w:val="00023DE1"/>
    <w:rsid w:val="0003534F"/>
    <w:rsid w:val="00035812"/>
    <w:rsid w:val="00072986"/>
    <w:rsid w:val="000F33B2"/>
    <w:rsid w:val="0014236C"/>
    <w:rsid w:val="0015457E"/>
    <w:rsid w:val="00164CBA"/>
    <w:rsid w:val="001864E2"/>
    <w:rsid w:val="0019371C"/>
    <w:rsid w:val="001C3447"/>
    <w:rsid w:val="002212AC"/>
    <w:rsid w:val="00221D2F"/>
    <w:rsid w:val="00256EDB"/>
    <w:rsid w:val="00263BF9"/>
    <w:rsid w:val="0027678F"/>
    <w:rsid w:val="002C26C9"/>
    <w:rsid w:val="00317B05"/>
    <w:rsid w:val="00336729"/>
    <w:rsid w:val="00346FBE"/>
    <w:rsid w:val="00373F45"/>
    <w:rsid w:val="00374207"/>
    <w:rsid w:val="003754B1"/>
    <w:rsid w:val="00397AEF"/>
    <w:rsid w:val="003F1E81"/>
    <w:rsid w:val="004303B0"/>
    <w:rsid w:val="00440802"/>
    <w:rsid w:val="00450857"/>
    <w:rsid w:val="004512CE"/>
    <w:rsid w:val="00471CE7"/>
    <w:rsid w:val="004806CA"/>
    <w:rsid w:val="004A1265"/>
    <w:rsid w:val="004C6448"/>
    <w:rsid w:val="005433D3"/>
    <w:rsid w:val="00590693"/>
    <w:rsid w:val="005D2DBD"/>
    <w:rsid w:val="00604043"/>
    <w:rsid w:val="00605D74"/>
    <w:rsid w:val="00621176"/>
    <w:rsid w:val="00633A0A"/>
    <w:rsid w:val="00654509"/>
    <w:rsid w:val="006844FC"/>
    <w:rsid w:val="00695BA8"/>
    <w:rsid w:val="006B1306"/>
    <w:rsid w:val="006D5E2A"/>
    <w:rsid w:val="006F343A"/>
    <w:rsid w:val="0079211A"/>
    <w:rsid w:val="007D46B7"/>
    <w:rsid w:val="007D7A62"/>
    <w:rsid w:val="007E2939"/>
    <w:rsid w:val="007E630D"/>
    <w:rsid w:val="007E6FAC"/>
    <w:rsid w:val="00802DA3"/>
    <w:rsid w:val="00803512"/>
    <w:rsid w:val="008136D7"/>
    <w:rsid w:val="008236A1"/>
    <w:rsid w:val="00832121"/>
    <w:rsid w:val="0083542B"/>
    <w:rsid w:val="0089797D"/>
    <w:rsid w:val="008B7EED"/>
    <w:rsid w:val="008C7368"/>
    <w:rsid w:val="009372B1"/>
    <w:rsid w:val="009C570E"/>
    <w:rsid w:val="009D2987"/>
    <w:rsid w:val="009D4E7D"/>
    <w:rsid w:val="009E2D15"/>
    <w:rsid w:val="00A37905"/>
    <w:rsid w:val="00A7474F"/>
    <w:rsid w:val="00A76EFC"/>
    <w:rsid w:val="00A867F7"/>
    <w:rsid w:val="00AD54E5"/>
    <w:rsid w:val="00AF2F10"/>
    <w:rsid w:val="00B51BBB"/>
    <w:rsid w:val="00B64AED"/>
    <w:rsid w:val="00B750B5"/>
    <w:rsid w:val="00BC05BB"/>
    <w:rsid w:val="00BC7DBC"/>
    <w:rsid w:val="00BE24F2"/>
    <w:rsid w:val="00C030E9"/>
    <w:rsid w:val="00C11D3A"/>
    <w:rsid w:val="00C773CF"/>
    <w:rsid w:val="00C8191A"/>
    <w:rsid w:val="00C90055"/>
    <w:rsid w:val="00CA767A"/>
    <w:rsid w:val="00CB5F08"/>
    <w:rsid w:val="00CB73CA"/>
    <w:rsid w:val="00CE0BDC"/>
    <w:rsid w:val="00CF3FED"/>
    <w:rsid w:val="00D06CE9"/>
    <w:rsid w:val="00D21618"/>
    <w:rsid w:val="00DA0700"/>
    <w:rsid w:val="00DB0EA4"/>
    <w:rsid w:val="00DD5A32"/>
    <w:rsid w:val="00DF7DB3"/>
    <w:rsid w:val="00E15F53"/>
    <w:rsid w:val="00E165B8"/>
    <w:rsid w:val="00E35892"/>
    <w:rsid w:val="00E36D60"/>
    <w:rsid w:val="00E43CA0"/>
    <w:rsid w:val="00EA3D45"/>
    <w:rsid w:val="00EB3269"/>
    <w:rsid w:val="00F5039A"/>
    <w:rsid w:val="00F5490A"/>
    <w:rsid w:val="00F623DF"/>
    <w:rsid w:val="00F7791D"/>
    <w:rsid w:val="00FA288E"/>
    <w:rsid w:val="00FC3024"/>
    <w:rsid w:val="00FD43A9"/>
    <w:rsid w:val="00FF0109"/>
    <w:rsid w:val="01FB06D0"/>
    <w:rsid w:val="05F3140C"/>
    <w:rsid w:val="05F70E94"/>
    <w:rsid w:val="21020E10"/>
    <w:rsid w:val="22FD1837"/>
    <w:rsid w:val="25725483"/>
    <w:rsid w:val="2A8B58F9"/>
    <w:rsid w:val="2B903D55"/>
    <w:rsid w:val="2E083D1D"/>
    <w:rsid w:val="3B921DF5"/>
    <w:rsid w:val="3EBB166B"/>
    <w:rsid w:val="4D80309D"/>
    <w:rsid w:val="54C32486"/>
    <w:rsid w:val="596D063B"/>
    <w:rsid w:val="63B123D5"/>
    <w:rsid w:val="64B56DE3"/>
    <w:rsid w:val="758C636E"/>
    <w:rsid w:val="782037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Droid San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Droid Sans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6BFC26-E365-48AB-BE1C-C578D209A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372</Words>
  <Characters>2125</Characters>
  <Lines>17</Lines>
  <Paragraphs>4</Paragraphs>
  <TotalTime>1</TotalTime>
  <ScaleCrop>false</ScaleCrop>
  <LinksUpToDate>false</LinksUpToDate>
  <CharactersWithSpaces>2493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2021-03-10T07:23:00Z</dcterms:created>
  <dc:creator>刘伟奇</dc:creator>
  <cp:lastModifiedBy>POIROT</cp:lastModifiedBy>
  <cp:lastPrinted>2021-03-05T08:22:00Z</cp:lastPrinted>
  <dcterms:modified xsi:type="dcterms:W3CDTF">2021-03-19T01:48:22Z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