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r>
        <w:rPr>
          <w:rFonts w:hint="eastAsia" w:ascii="黑体" w:hAnsi="黑体" w:eastAsia="黑体"/>
          <w:color w:val="000000"/>
          <w:sz w:val="32"/>
        </w:rPr>
        <w:t>附件1</w:t>
      </w:r>
    </w:p>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北京建筑大学202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2021年北京建筑大学预算情况说明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360" w:lineRule="auto"/>
        <w:ind w:firstLine="640" w:firstLineChars="200"/>
        <w:rPr>
          <w:rFonts w:ascii="仿宋_GB2312" w:eastAsia="仿宋_GB2312"/>
          <w:color w:val="000000"/>
          <w:sz w:val="32"/>
          <w:szCs w:val="32"/>
        </w:rPr>
      </w:pPr>
      <w:r>
        <w:rPr>
          <w:rFonts w:hint="eastAsia" w:ascii="仿宋_GB2312" w:eastAsia="仿宋_GB2312"/>
          <w:color w:val="000000"/>
          <w:sz w:val="32"/>
          <w:szCs w:val="32"/>
        </w:rPr>
        <w:t>北京建筑大学是北京市和住房城乡建设部共建高校、教育部“卓越工程师教育培养计划”试点高校和北京市党的建设和思想政治工作先进高校，是一所具有鲜明建筑特色、以工为主的多科性大学，是“北京城市规划、建设、管理的人才培养基地和科技服务基地”、“北京应对气候变化研究和人才培养基地”和“国家建筑遗产保护研究和人才培养基地”，是北京地区唯一一所建筑类高等学校。其宗旨和业务范围为：培养高等学历理工人才，促进科技发展，进行土建、管理、机械、电气、测绘学科的大专、本科、研究生学历教育及相关科学研究，提供继续教育、专业培训、学术交流、建筑设计、建筑监理等相关服务。</w:t>
      </w:r>
    </w:p>
    <w:p>
      <w:pPr>
        <w:numPr>
          <w:ilvl w:val="0"/>
          <w:numId w:val="1"/>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机构设置情况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北京建筑大学设有党政办公室等职能部门22个，建筑与城市规划学院等教学单位11个，图书馆等教辅单位3个。</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北京建筑大学为公益二类事业单位。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 xml:space="preserve">北京建筑大学事业编制内实际人数1142人，离休18人，退休764人，学生人数11033人（包括博士研究生、硕士研究生、本专科生、中等教育学生等）。 </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二、2021年收入及支出总体情况（单位万元，保留两位小数）</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2021年收入预算108507.10万元，比2020年95680.19万元增加12826.91万元。其中：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财政拨款67754.63万元,比2020年58950.01万元增加8804.62万元，主要原因是由于落实人员正常调资和增加离休费等有关政策，2021年人员经费预算有所增加以及根据事业发展规划，调整项目</w:t>
      </w:r>
      <w:r>
        <w:rPr>
          <w:rFonts w:hint="eastAsia" w:ascii="仿宋_GB2312" w:eastAsia="仿宋_GB2312"/>
          <w:color w:val="000000"/>
          <w:sz w:val="32"/>
          <w:szCs w:val="32"/>
          <w:lang w:val="en-US" w:eastAsia="zh-CN"/>
        </w:rPr>
        <w:t>安排</w:t>
      </w:r>
      <w:bookmarkStart w:id="0" w:name="_GoBack"/>
      <w:bookmarkEnd w:id="0"/>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统筹使用结余资金安排预算20000.00万元,比2020年19058.00万元增加942.00万元。</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其他资金20752.47万元,比2020年17672.18万元增加3080.29万元，主要原因是此项包括继续使用的财政性结转资金。</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2021年支出预算108507.10万元，比2020年95680.19万元增加12826.91万元。其中：</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基本支出预算98428.05万元，比2020年88730.11万元增加9697.95万元，主要原因是主要是由于落实人员正常调资和增加离休费等有关政策，2021年人员经费预算有所增加以及公用经费支出有所增加。</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项目支出预算9779.05万元，比2020年6150.08万元增加3628.97万元，主要原因是根据事业发展规划，调整项目支出。</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事业单位经营支出300.00万元，比2020年减少500.00万元，主要原因是受疫情影响，预计当年经营收入减少。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按照支出内容，项目支出主要用于教师队伍建设、人才培养质量建设、科技创新服务能力建设、改善办学保障条件、体育卫生与艺术教育、国际合作与交流、学生资助等。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2021年“三公”经费财政拨款预算113.50万元。其中：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1.因公出国（境）费用。2021年预算数69.76万元，主要教师进修访学、一带一路联盟会议、国际会议和国际竞赛、校际访问交流等方面。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2.公务接待费。2021年预算数11.24万元，主要用于日常公务接待和外事接待支出等方面。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3.公务用车购置和运行维护费。2021年预算数32.50万元，其中，公务用车运行维护费2021年预算数32.50万元，其中：公务用车燃油16.90万元，公务用车维修7.80万元，公务用车保险3.90万元，其他3.90万元。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2021年北京建筑大学政府采购预算总额7988.75万元，其中：政府采购货物预算4006.60万元，政府采购工程预算385.14万元，政府采购服务预算3597.01万元。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b/>
          <w:color w:val="000000"/>
          <w:sz w:val="32"/>
          <w:szCs w:val="32"/>
        </w:rPr>
      </w:pPr>
      <w:r>
        <w:rPr>
          <w:rFonts w:hint="eastAsia" w:ascii="仿宋_GB2312" w:eastAsia="仿宋_GB2312"/>
          <w:color w:val="000000"/>
          <w:sz w:val="32"/>
          <w:szCs w:val="32"/>
        </w:rPr>
        <w:t>我单位不在机关运行经费统计范围之内</w:t>
      </w:r>
      <w:r>
        <w:rPr>
          <w:rFonts w:hint="eastAsia" w:ascii="仿宋_GB2312" w:eastAsia="仿宋_GB2312"/>
          <w:b/>
          <w:color w:val="000000"/>
          <w:sz w:val="32"/>
          <w:szCs w:val="32"/>
        </w:rPr>
        <w:t>。</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2021年，北京建筑大学填报绩效目标的预算项目19个，占本单位全部预算项目19个的100%。填报绩效目标的项目支出预算5477.25万元，占本单位年初全部项目支出预算的100%。</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截至2020年底，北京建筑大学共有车辆23台，706.74万元；单位价值50万元以上的通用设备166台（套）、21685.54万元，单位价值100万元以上的专用设备16台（套）、2574.68万元。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1.立项依据</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优化专业结构，强化优势特色，建成一批强势专业、行业急需专业、新兴交叉复合专业。</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2.绩效目标</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通过高精尖学科建设，鼓励和引导高校优化学科布局结构，加强合作共建，瞄准学科发展前沿，创新学科组织模式，加强学科间交叉、渗透、融合，不断培育新的学科增长点，开展交叉学科人才培养，打造学术研究高地、技术创新平台和成果转化基地，提升北京高校学科建设、科学研究、人才培养和社会服务的能力与水平，持续为北京“四个中心”建设提供有力的科技和人才支撑。</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通过一流专业建设，提高专业建设水平、提升人才培养质量，支持北京“四个中心”建设、提升“四个服务”水平，助力北京经济社会发展和十大高精尖产业建设。同时，发挥入选专业辐射带动作用，带动北京地区高校相同相近专业发展，形成高校专业合作建设长效机制，增强北京高等教育国际竞争力和影响力。</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3.预算安排</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市教委会同市财政局印发了《北京高校“双一流”建设资金管理办法》（京财教育〔2018〕2201号），按照总额保障、按需申报的原则，对项目资金安排滚动管理，2021年预算安排652.58万元，其中高精尖学科建设432.00万元，一流专业220.58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本单位纳入本年预算安排的“高精尖学科”为3个项目，共计432.00万元，分别为“建筑学”学科建设项目144.00万元、“测绘科学与技术” 学科建设项目144.00万元、“土木工程” 学科建设项目144.00万元。通过加大对学科带头人、教学团队、研发团队的支持，举办一系列学术研讨与学术交流活动，建设学科重点实验室，加大实验研究标志性成果建设力度，扩大学科专业影响力，有效提高相关学科教学水平、科研水平和整体竞争力。</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本单位纳入本年预算安排的“一流专业”为2个项目，共计220.58万元，分别为“建筑学”专业建设项目110.00万元、“土木工程” 专业建设项目110.58万元。通过加大对专业建设的支持，与行业、兄弟院校之间进行合作交流，建设一批优质专业课程及实验室，加强学生工程实践能力和创新意识的培养，完善专业人才培养体系，提升办学条件、办学层次和办学水平。</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附件：北京建筑大学2021年度单位预算报表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542B"/>
    <w:rsid w:val="00023DE1"/>
    <w:rsid w:val="00035812"/>
    <w:rsid w:val="000E3CEC"/>
    <w:rsid w:val="00135702"/>
    <w:rsid w:val="0014236C"/>
    <w:rsid w:val="0015457E"/>
    <w:rsid w:val="00187383"/>
    <w:rsid w:val="001F42EA"/>
    <w:rsid w:val="00234DEB"/>
    <w:rsid w:val="00274B09"/>
    <w:rsid w:val="0027678F"/>
    <w:rsid w:val="002C3593"/>
    <w:rsid w:val="002D7AD3"/>
    <w:rsid w:val="00300CC8"/>
    <w:rsid w:val="003140A3"/>
    <w:rsid w:val="00336729"/>
    <w:rsid w:val="00346FBE"/>
    <w:rsid w:val="00373F45"/>
    <w:rsid w:val="00374207"/>
    <w:rsid w:val="003754B1"/>
    <w:rsid w:val="003A3334"/>
    <w:rsid w:val="003C5D0B"/>
    <w:rsid w:val="003D047F"/>
    <w:rsid w:val="003D326D"/>
    <w:rsid w:val="003F215E"/>
    <w:rsid w:val="00450857"/>
    <w:rsid w:val="004512CE"/>
    <w:rsid w:val="00471CE7"/>
    <w:rsid w:val="00487C22"/>
    <w:rsid w:val="004A1265"/>
    <w:rsid w:val="004D4BB8"/>
    <w:rsid w:val="005230DC"/>
    <w:rsid w:val="00590693"/>
    <w:rsid w:val="005D2DBD"/>
    <w:rsid w:val="005E5087"/>
    <w:rsid w:val="005E6959"/>
    <w:rsid w:val="00654509"/>
    <w:rsid w:val="006844FC"/>
    <w:rsid w:val="006940CD"/>
    <w:rsid w:val="006F343A"/>
    <w:rsid w:val="00720F1F"/>
    <w:rsid w:val="0079211A"/>
    <w:rsid w:val="007D46B7"/>
    <w:rsid w:val="007D7A62"/>
    <w:rsid w:val="008136D7"/>
    <w:rsid w:val="008236A1"/>
    <w:rsid w:val="0083542B"/>
    <w:rsid w:val="0089797D"/>
    <w:rsid w:val="008A4E4E"/>
    <w:rsid w:val="008E16AF"/>
    <w:rsid w:val="00966520"/>
    <w:rsid w:val="00985CA6"/>
    <w:rsid w:val="009B2912"/>
    <w:rsid w:val="009D4E7D"/>
    <w:rsid w:val="009E2D15"/>
    <w:rsid w:val="00A041DA"/>
    <w:rsid w:val="00A44C28"/>
    <w:rsid w:val="00A7474F"/>
    <w:rsid w:val="00A811F7"/>
    <w:rsid w:val="00A867F7"/>
    <w:rsid w:val="00AA734B"/>
    <w:rsid w:val="00AE667F"/>
    <w:rsid w:val="00B750B5"/>
    <w:rsid w:val="00BE24F2"/>
    <w:rsid w:val="00C70931"/>
    <w:rsid w:val="00CA767A"/>
    <w:rsid w:val="00CB5F08"/>
    <w:rsid w:val="00CE1C19"/>
    <w:rsid w:val="00CF3FED"/>
    <w:rsid w:val="00D06CE9"/>
    <w:rsid w:val="00D36BA1"/>
    <w:rsid w:val="00D505FA"/>
    <w:rsid w:val="00D6772F"/>
    <w:rsid w:val="00DB0EA4"/>
    <w:rsid w:val="00DC1691"/>
    <w:rsid w:val="00E165B8"/>
    <w:rsid w:val="00E35892"/>
    <w:rsid w:val="00E36D60"/>
    <w:rsid w:val="00E577A9"/>
    <w:rsid w:val="00E9160A"/>
    <w:rsid w:val="00E9683D"/>
    <w:rsid w:val="00EA3D45"/>
    <w:rsid w:val="00EA5804"/>
    <w:rsid w:val="00F623DF"/>
    <w:rsid w:val="00F8336B"/>
    <w:rsid w:val="00F91C1D"/>
    <w:rsid w:val="00FD56EB"/>
    <w:rsid w:val="00FF0109"/>
    <w:rsid w:val="01FB06D0"/>
    <w:rsid w:val="04FC70E9"/>
    <w:rsid w:val="05F3140C"/>
    <w:rsid w:val="05F70E94"/>
    <w:rsid w:val="21020E10"/>
    <w:rsid w:val="22FD1837"/>
    <w:rsid w:val="25725483"/>
    <w:rsid w:val="28567DDA"/>
    <w:rsid w:val="2B903D55"/>
    <w:rsid w:val="2E083D1D"/>
    <w:rsid w:val="3A5175E5"/>
    <w:rsid w:val="3B921DF5"/>
    <w:rsid w:val="3EBB166B"/>
    <w:rsid w:val="4D80309D"/>
    <w:rsid w:val="54C32486"/>
    <w:rsid w:val="63B123D5"/>
    <w:rsid w:val="64B56DE3"/>
    <w:rsid w:val="6A730948"/>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Droid Sans"/>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557</Words>
  <Characters>3177</Characters>
  <Lines>26</Lines>
  <Paragraphs>7</Paragraphs>
  <TotalTime>170</TotalTime>
  <ScaleCrop>false</ScaleCrop>
  <LinksUpToDate>false</LinksUpToDate>
  <CharactersWithSpaces>3727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2021-03-03T07:42:00Z</cp:lastPrinted>
  <dcterms:modified xsi:type="dcterms:W3CDTF">2021-03-19T01:46:49Z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