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30"/>
        </w:tabs>
        <w:spacing w:line="360" w:lineRule="auto"/>
        <w:rPr>
          <w:rFonts w:ascii="黑体" w:hAnsi="黑体" w:eastAsia="黑体"/>
          <w:color w:val="000000"/>
          <w:sz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首都经济贸易大学202</w:t>
      </w:r>
      <w:r>
        <w:rPr>
          <w:rFonts w:ascii="方正小标宋简体" w:eastAsia="方正小标宋简体"/>
          <w:color w:val="000000"/>
          <w:sz w:val="36"/>
          <w:szCs w:val="36"/>
        </w:rPr>
        <w:t>1</w:t>
      </w:r>
      <w:r>
        <w:rPr>
          <w:rFonts w:hint="eastAsia" w:ascii="方正小标宋简体" w:eastAsia="方正小标宋简体"/>
          <w:color w:val="000000"/>
          <w:sz w:val="36"/>
          <w:szCs w:val="36"/>
        </w:rPr>
        <w:t>年财政预算信息</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w:t>
      </w:r>
      <w:r>
        <w:rPr>
          <w:rFonts w:ascii="仿宋_GB2312" w:eastAsia="仿宋_GB2312"/>
          <w:color w:val="000000"/>
          <w:sz w:val="32"/>
          <w:szCs w:val="32"/>
        </w:rPr>
        <w:t>1</w:t>
      </w:r>
      <w:r>
        <w:rPr>
          <w:rFonts w:hint="eastAsia" w:ascii="仿宋_GB2312" w:eastAsia="仿宋_GB2312"/>
          <w:color w:val="000000"/>
          <w:sz w:val="32"/>
          <w:szCs w:val="32"/>
        </w:rPr>
        <w:t>年度单位预算情况说明</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一、单位基本情况</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二、202</w:t>
      </w:r>
      <w:r>
        <w:rPr>
          <w:rFonts w:ascii="仿宋_GB2312" w:eastAsia="仿宋_GB2312" w:cs="宋体"/>
          <w:color w:val="000000"/>
          <w:kern w:val="0"/>
          <w:sz w:val="32"/>
          <w:szCs w:val="32"/>
          <w:lang w:val="zh-CN"/>
        </w:rPr>
        <w:t>1</w:t>
      </w:r>
      <w:r>
        <w:rPr>
          <w:rFonts w:hint="eastAsia" w:ascii="仿宋_GB2312" w:eastAsia="仿宋_GB2312" w:cs="宋体"/>
          <w:color w:val="000000"/>
          <w:kern w:val="0"/>
          <w:sz w:val="32"/>
          <w:szCs w:val="32"/>
          <w:lang w:val="zh-CN"/>
        </w:rPr>
        <w:t>年收入及支出总体情况</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三、主要支出情况</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四、单位“三公”经费财政拨款预算说明</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五、其他情况说明</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六、名词解释</w:t>
      </w:r>
    </w:p>
    <w:p>
      <w:pPr>
        <w:widowControl/>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第二部分 202</w:t>
      </w:r>
      <w:r>
        <w:rPr>
          <w:rFonts w:ascii="仿宋_GB2312" w:eastAsia="仿宋_GB2312" w:cs="宋体"/>
          <w:color w:val="000000"/>
          <w:kern w:val="0"/>
          <w:sz w:val="32"/>
          <w:szCs w:val="32"/>
          <w:lang w:val="zh-CN"/>
        </w:rPr>
        <w:t>1</w:t>
      </w:r>
      <w:r>
        <w:rPr>
          <w:rFonts w:hint="eastAsia" w:ascii="仿宋_GB2312" w:eastAsia="仿宋_GB2312" w:cs="宋体"/>
          <w:color w:val="000000"/>
          <w:kern w:val="0"/>
          <w:sz w:val="32"/>
          <w:szCs w:val="32"/>
          <w:lang w:val="zh-CN"/>
        </w:rPr>
        <w:t>年度单位预算报表</w:t>
      </w:r>
    </w:p>
    <w:p>
      <w:pPr>
        <w:widowControl/>
        <w:ind w:firstLine="640" w:firstLineChars="200"/>
        <w:jc w:val="left"/>
        <w:rPr>
          <w:rFonts w:ascii="仿宋_GB2312" w:eastAsia="仿宋_GB2312" w:cs="宋体"/>
          <w:color w:val="000000"/>
          <w:kern w:val="0"/>
          <w:sz w:val="32"/>
          <w:szCs w:val="32"/>
          <w:lang w:val="zh-CN"/>
        </w:rPr>
      </w:pPr>
      <w:bookmarkStart w:id="0" w:name="_Hlk65590517"/>
      <w:r>
        <w:rPr>
          <w:rFonts w:hint="eastAsia" w:ascii="仿宋_GB2312" w:eastAsia="仿宋_GB2312" w:cs="宋体"/>
          <w:color w:val="000000"/>
          <w:kern w:val="0"/>
          <w:sz w:val="32"/>
          <w:szCs w:val="32"/>
          <w:lang w:val="zh-CN"/>
        </w:rPr>
        <w:t>一、收支总表</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二、收入总表</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三、支出总表</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四、政府采购预算明细表</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六、一般公共预算财政拨款支出表</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七、一般公共预算财政拨款基本支出表</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八、一般公共预算财政拨款项目支出表</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bookmarkEnd w:id="0"/>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十一、财政拨款（含一般公共预算和政府性基金预算）“三公”经费支出表</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十二、政府购买服务预算财政拨款明细表</w:t>
      </w:r>
    </w:p>
    <w:p>
      <w:pPr>
        <w:widowControl/>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十三、项目支出绩效目标申报表</w:t>
      </w:r>
    </w:p>
    <w:p>
      <w:pPr>
        <w:widowControl/>
        <w:jc w:val="left"/>
        <w:rPr>
          <w:rFonts w:ascii="仿宋_GB2312" w:eastAsia="仿宋_GB2312" w:cs="宋体"/>
          <w:color w:val="000000"/>
          <w:kern w:val="0"/>
          <w:sz w:val="32"/>
          <w:szCs w:val="32"/>
          <w:lang w:val="zh-CN"/>
        </w:rPr>
      </w:pPr>
      <w:r>
        <w:rPr>
          <w:rFonts w:ascii="仿宋_GB2312" w:eastAsia="仿宋_GB2312" w:cs="宋体"/>
          <w:color w:val="000000"/>
          <w:kern w:val="0"/>
          <w:sz w:val="32"/>
          <w:szCs w:val="32"/>
          <w:lang w:val="zh-CN"/>
        </w:rPr>
        <w:br w:type="page"/>
      </w:r>
    </w:p>
    <w:p>
      <w:pPr>
        <w:spacing w:after="312" w:afterLines="100"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2021年首都经济</w:t>
      </w:r>
      <w:r>
        <w:rPr>
          <w:rFonts w:ascii="方正小标宋简体" w:eastAsia="方正小标宋简体"/>
          <w:color w:val="000000"/>
          <w:sz w:val="36"/>
          <w:szCs w:val="36"/>
        </w:rPr>
        <w:t>贸易大学</w:t>
      </w:r>
      <w:r>
        <w:rPr>
          <w:rFonts w:hint="eastAsia" w:ascii="方正小标宋简体" w:eastAsia="方正小标宋简体"/>
          <w:color w:val="000000"/>
          <w:sz w:val="36"/>
          <w:szCs w:val="36"/>
        </w:rPr>
        <w:t>预算情况说明</w:t>
      </w:r>
    </w:p>
    <w:p>
      <w:pPr>
        <w:ind w:firstLine="640" w:firstLineChars="200"/>
        <w:jc w:val="left"/>
        <w:rPr>
          <w:rFonts w:ascii="黑体" w:hAnsi="黑体" w:eastAsia="黑体"/>
          <w:sz w:val="32"/>
          <w:szCs w:val="32"/>
        </w:rPr>
      </w:pPr>
      <w:r>
        <w:rPr>
          <w:rFonts w:hint="eastAsia" w:ascii="黑体" w:hAnsi="黑体" w:eastAsia="黑体"/>
          <w:sz w:val="32"/>
          <w:szCs w:val="32"/>
        </w:rPr>
        <w:t>一</w:t>
      </w:r>
      <w:r>
        <w:rPr>
          <w:rFonts w:ascii="黑体" w:hAnsi="黑体" w:eastAsia="黑体"/>
          <w:sz w:val="32"/>
          <w:szCs w:val="32"/>
        </w:rPr>
        <w:t>、</w:t>
      </w:r>
      <w:r>
        <w:rPr>
          <w:rFonts w:hint="eastAsia" w:ascii="黑体" w:hAnsi="黑体" w:eastAsia="黑体"/>
          <w:sz w:val="32"/>
          <w:szCs w:val="32"/>
        </w:rPr>
        <w:t>单位基本情况</w:t>
      </w:r>
    </w:p>
    <w:p>
      <w:pPr>
        <w:ind w:firstLine="640" w:firstLineChars="200"/>
        <w:rPr>
          <w:rFonts w:ascii="楷体" w:hAnsi="楷体" w:eastAsia="楷体"/>
          <w:sz w:val="32"/>
          <w:szCs w:val="32"/>
        </w:rPr>
      </w:pPr>
      <w:r>
        <w:rPr>
          <w:rFonts w:hint="eastAsia" w:ascii="楷体" w:hAnsi="楷体" w:eastAsia="楷体"/>
          <w:sz w:val="32"/>
          <w:szCs w:val="32"/>
        </w:rPr>
        <w:t>（一）本单位职责</w:t>
      </w:r>
    </w:p>
    <w:p>
      <w:pPr>
        <w:ind w:firstLine="640" w:firstLineChars="200"/>
        <w:rPr>
          <w:rFonts w:ascii="仿宋_GB2312" w:eastAsia="仿宋_GB2312"/>
          <w:sz w:val="32"/>
          <w:szCs w:val="32"/>
        </w:rPr>
      </w:pPr>
      <w:r>
        <w:rPr>
          <w:rFonts w:hint="eastAsia" w:ascii="仿宋_GB2312" w:eastAsia="仿宋_GB2312"/>
          <w:sz w:val="32"/>
          <w:szCs w:val="32"/>
        </w:rPr>
        <w:t>培养</w:t>
      </w:r>
      <w:r>
        <w:rPr>
          <w:rFonts w:ascii="仿宋_GB2312" w:eastAsia="仿宋_GB2312"/>
          <w:sz w:val="32"/>
          <w:szCs w:val="32"/>
        </w:rPr>
        <w:t>高级经济管理人才、</w:t>
      </w:r>
      <w:r>
        <w:rPr>
          <w:rFonts w:hint="eastAsia" w:ascii="仿宋_GB2312" w:eastAsia="仿宋_GB2312"/>
          <w:sz w:val="32"/>
          <w:szCs w:val="32"/>
        </w:rPr>
        <w:t>促进</w:t>
      </w:r>
      <w:r>
        <w:rPr>
          <w:rFonts w:ascii="仿宋_GB2312" w:eastAsia="仿宋_GB2312"/>
          <w:sz w:val="32"/>
          <w:szCs w:val="32"/>
        </w:rPr>
        <w:t>经济发展</w:t>
      </w:r>
      <w:r>
        <w:rPr>
          <w:rFonts w:hint="eastAsia" w:ascii="仿宋_GB2312" w:eastAsia="仿宋_GB2312"/>
          <w:sz w:val="32"/>
          <w:szCs w:val="32"/>
        </w:rPr>
        <w:t>。</w:t>
      </w:r>
      <w:r>
        <w:rPr>
          <w:rFonts w:ascii="仿宋_GB2312" w:eastAsia="仿宋_GB2312"/>
          <w:sz w:val="32"/>
          <w:szCs w:val="32"/>
        </w:rPr>
        <w:t>工商管理</w:t>
      </w:r>
      <w:r>
        <w:rPr>
          <w:rFonts w:hint="eastAsia" w:ascii="仿宋_GB2312" w:eastAsia="仿宋_GB2312"/>
          <w:sz w:val="32"/>
          <w:szCs w:val="32"/>
        </w:rPr>
        <w:t>、</w:t>
      </w:r>
      <w:r>
        <w:rPr>
          <w:rFonts w:ascii="仿宋_GB2312" w:eastAsia="仿宋_GB2312"/>
          <w:sz w:val="32"/>
          <w:szCs w:val="32"/>
        </w:rPr>
        <w:t>商务管理、信息管理、财政金融、会计学、统计学、安全与环境工程等学科，本科、</w:t>
      </w:r>
      <w:r>
        <w:rPr>
          <w:rFonts w:hint="eastAsia" w:ascii="仿宋_GB2312" w:eastAsia="仿宋_GB2312"/>
          <w:sz w:val="32"/>
          <w:szCs w:val="32"/>
        </w:rPr>
        <w:t>硕士</w:t>
      </w:r>
      <w:r>
        <w:rPr>
          <w:rFonts w:ascii="仿宋_GB2312" w:eastAsia="仿宋_GB2312"/>
          <w:sz w:val="32"/>
          <w:szCs w:val="32"/>
        </w:rPr>
        <w:t>研究生、博士研究生学历教育</w:t>
      </w:r>
      <w:r>
        <w:rPr>
          <w:rFonts w:hint="eastAsia" w:ascii="仿宋_GB2312" w:eastAsia="仿宋_GB2312"/>
          <w:sz w:val="32"/>
          <w:szCs w:val="32"/>
        </w:rPr>
        <w:t>，</w:t>
      </w:r>
      <w:r>
        <w:rPr>
          <w:rFonts w:ascii="仿宋_GB2312" w:eastAsia="仿宋_GB2312"/>
          <w:sz w:val="32"/>
          <w:szCs w:val="32"/>
        </w:rPr>
        <w:t>相关科研</w:t>
      </w:r>
      <w:r>
        <w:rPr>
          <w:rFonts w:hint="eastAsia" w:ascii="仿宋_GB2312" w:eastAsia="仿宋_GB2312"/>
          <w:sz w:val="32"/>
          <w:szCs w:val="32"/>
        </w:rPr>
        <w:t>，相关</w:t>
      </w:r>
      <w:r>
        <w:rPr>
          <w:rFonts w:ascii="仿宋_GB2312" w:eastAsia="仿宋_GB2312"/>
          <w:sz w:val="32"/>
          <w:szCs w:val="32"/>
        </w:rPr>
        <w:t>继续教育</w:t>
      </w:r>
      <w:r>
        <w:rPr>
          <w:rFonts w:hint="eastAsia" w:ascii="仿宋_GB2312" w:eastAsia="仿宋_GB2312"/>
          <w:sz w:val="32"/>
          <w:szCs w:val="32"/>
        </w:rPr>
        <w:t>，相关</w:t>
      </w:r>
      <w:r>
        <w:rPr>
          <w:rFonts w:ascii="仿宋_GB2312" w:eastAsia="仿宋_GB2312"/>
          <w:sz w:val="32"/>
          <w:szCs w:val="32"/>
        </w:rPr>
        <w:t>培训</w:t>
      </w:r>
      <w:r>
        <w:rPr>
          <w:rFonts w:hint="eastAsia" w:ascii="仿宋_GB2312" w:eastAsia="仿宋_GB2312"/>
          <w:sz w:val="32"/>
          <w:szCs w:val="32"/>
        </w:rPr>
        <w:t>，相关</w:t>
      </w:r>
      <w:r>
        <w:rPr>
          <w:rFonts w:ascii="仿宋_GB2312" w:eastAsia="仿宋_GB2312"/>
          <w:sz w:val="32"/>
          <w:szCs w:val="32"/>
        </w:rPr>
        <w:t>学术交流</w:t>
      </w:r>
      <w:r>
        <w:rPr>
          <w:rFonts w:hint="eastAsia" w:ascii="仿宋_GB2312" w:eastAsia="仿宋_GB2312"/>
          <w:sz w:val="32"/>
          <w:szCs w:val="32"/>
        </w:rPr>
        <w:t>，期刊</w:t>
      </w:r>
      <w:r>
        <w:rPr>
          <w:rFonts w:ascii="仿宋_GB2312" w:eastAsia="仿宋_GB2312"/>
          <w:sz w:val="32"/>
          <w:szCs w:val="32"/>
        </w:rPr>
        <w:t>出版发行。</w:t>
      </w:r>
    </w:p>
    <w:p>
      <w:pPr>
        <w:ind w:firstLine="640" w:firstLineChars="200"/>
        <w:rPr>
          <w:rFonts w:ascii="楷体" w:hAnsi="楷体" w:eastAsia="楷体"/>
          <w:sz w:val="32"/>
          <w:szCs w:val="32"/>
        </w:rPr>
      </w:pPr>
      <w:r>
        <w:rPr>
          <w:rFonts w:hint="eastAsia" w:ascii="楷体" w:hAnsi="楷体" w:eastAsia="楷体"/>
          <w:sz w:val="32"/>
          <w:szCs w:val="32"/>
        </w:rPr>
        <w:t>（二）机构设置情况</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首都经济贸易大学共设财政税务学院、城市经济与公共管理学院、法学院等18个教学单位，党委宣传部、党委组织部、党委统战部等22个机关单位，档案馆(校史馆)、教育技术中心、经济与管理实验教学中心等6个教辅单位。</w:t>
      </w:r>
    </w:p>
    <w:p>
      <w:pPr>
        <w:ind w:firstLine="640" w:firstLineChars="200"/>
        <w:rPr>
          <w:rFonts w:ascii="楷体" w:hAnsi="楷体" w:eastAsia="楷体"/>
          <w:sz w:val="32"/>
          <w:szCs w:val="32"/>
        </w:rPr>
      </w:pPr>
      <w:r>
        <w:rPr>
          <w:rFonts w:hint="eastAsia" w:ascii="楷体" w:hAnsi="楷体" w:eastAsia="楷体"/>
          <w:sz w:val="32"/>
          <w:szCs w:val="32"/>
        </w:rPr>
        <w:t>（三）单位</w:t>
      </w:r>
      <w:r>
        <w:rPr>
          <w:rFonts w:ascii="楷体" w:hAnsi="楷体" w:eastAsia="楷体"/>
          <w:sz w:val="32"/>
          <w:szCs w:val="32"/>
        </w:rPr>
        <w:t>性质</w:t>
      </w:r>
    </w:p>
    <w:p>
      <w:pPr>
        <w:ind w:firstLine="640" w:firstLineChars="200"/>
        <w:rPr>
          <w:rFonts w:ascii="仿宋_GB2312" w:eastAsia="仿宋_GB2312"/>
          <w:sz w:val="32"/>
          <w:szCs w:val="32"/>
        </w:rPr>
      </w:pPr>
      <w:r>
        <w:rPr>
          <w:rFonts w:hint="eastAsia" w:ascii="仿宋_GB2312" w:eastAsia="仿宋_GB2312"/>
          <w:sz w:val="32"/>
          <w:szCs w:val="32"/>
        </w:rPr>
        <w:t>首都经济</w:t>
      </w:r>
      <w:r>
        <w:rPr>
          <w:rFonts w:ascii="仿宋_GB2312" w:eastAsia="仿宋_GB2312"/>
          <w:sz w:val="32"/>
          <w:szCs w:val="32"/>
        </w:rPr>
        <w:t>贸易大学</w:t>
      </w:r>
      <w:r>
        <w:rPr>
          <w:rFonts w:hint="eastAsia" w:ascii="仿宋_GB2312" w:eastAsia="仿宋_GB2312"/>
          <w:sz w:val="32"/>
          <w:szCs w:val="32"/>
        </w:rPr>
        <w:t>为公益二类</w:t>
      </w:r>
      <w:r>
        <w:rPr>
          <w:rFonts w:ascii="仿宋_GB2312" w:eastAsia="仿宋_GB2312"/>
          <w:sz w:val="32"/>
          <w:szCs w:val="32"/>
        </w:rPr>
        <w:t>事业单位</w:t>
      </w:r>
      <w:r>
        <w:rPr>
          <w:rFonts w:hint="eastAsia" w:ascii="仿宋_GB2312"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（四）人员构成情况</w:t>
      </w:r>
    </w:p>
    <w:p>
      <w:pPr>
        <w:ind w:firstLine="640" w:firstLineChars="200"/>
        <w:rPr>
          <w:rFonts w:ascii="楷体" w:hAnsi="楷体" w:eastAsia="楷体"/>
          <w:sz w:val="32"/>
          <w:szCs w:val="32"/>
        </w:rPr>
      </w:pPr>
      <w:r>
        <w:rPr>
          <w:rFonts w:hint="eastAsia" w:ascii="仿宋_GB2312" w:eastAsia="仿宋_GB2312"/>
          <w:sz w:val="32"/>
          <w:szCs w:val="32"/>
        </w:rPr>
        <w:t>首都经济贸易大学事业编制内实际人数</w:t>
      </w:r>
      <w:r>
        <w:rPr>
          <w:rFonts w:ascii="仿宋_GB2312" w:eastAsia="仿宋_GB2312"/>
          <w:sz w:val="32"/>
          <w:szCs w:val="32"/>
        </w:rPr>
        <w:t>1450</w:t>
      </w:r>
      <w:r>
        <w:rPr>
          <w:rFonts w:hint="eastAsia" w:ascii="仿宋_GB2312" w:eastAsia="仿宋_GB2312"/>
          <w:sz w:val="32"/>
          <w:szCs w:val="32"/>
        </w:rPr>
        <w:t>人，离休</w:t>
      </w:r>
      <w:r>
        <w:rPr>
          <w:rFonts w:ascii="仿宋_GB2312" w:eastAsia="仿宋_GB2312"/>
          <w:sz w:val="32"/>
          <w:szCs w:val="32"/>
        </w:rPr>
        <w:t>50</w:t>
      </w:r>
      <w:r>
        <w:rPr>
          <w:rFonts w:hint="eastAsia" w:ascii="仿宋_GB2312" w:eastAsia="仿宋_GB2312"/>
          <w:sz w:val="32"/>
          <w:szCs w:val="32"/>
        </w:rPr>
        <w:t>人，退休</w:t>
      </w:r>
      <w:r>
        <w:rPr>
          <w:rFonts w:ascii="仿宋_GB2312" w:eastAsia="仿宋_GB2312"/>
          <w:sz w:val="32"/>
          <w:szCs w:val="32"/>
        </w:rPr>
        <w:t>1592</w:t>
      </w:r>
      <w:r>
        <w:rPr>
          <w:rFonts w:hint="eastAsia" w:ascii="仿宋_GB2312" w:eastAsia="仿宋_GB2312"/>
          <w:sz w:val="32"/>
          <w:szCs w:val="32"/>
        </w:rPr>
        <w:t>人，学生</w:t>
      </w:r>
      <w:r>
        <w:rPr>
          <w:rFonts w:ascii="仿宋_GB2312" w:eastAsia="仿宋_GB2312"/>
          <w:sz w:val="32"/>
          <w:szCs w:val="32"/>
        </w:rPr>
        <w:t>人数16284</w:t>
      </w:r>
      <w:r>
        <w:rPr>
          <w:rFonts w:hint="eastAsia" w:ascii="仿宋_GB2312" w:eastAsia="仿宋_GB2312"/>
          <w:sz w:val="32"/>
          <w:szCs w:val="32"/>
        </w:rPr>
        <w:t>人</w:t>
      </w:r>
      <w:r>
        <w:rPr>
          <w:rFonts w:hint="eastAsia" w:ascii="仿宋_GB2312" w:eastAsia="仿宋_GB2312"/>
          <w:color w:val="000000"/>
          <w:sz w:val="32"/>
          <w:szCs w:val="32"/>
        </w:rPr>
        <w:t>（包括博士研究生、硕士研究生、本专科生、留学生等）。</w:t>
      </w:r>
    </w:p>
    <w:p>
      <w:pPr>
        <w:ind w:firstLine="555"/>
        <w:rPr>
          <w:rFonts w:ascii="黑体" w:hAnsi="黑体" w:eastAsia="黑体"/>
          <w:color w:val="000000"/>
          <w:sz w:val="32"/>
          <w:szCs w:val="32"/>
        </w:rPr>
      </w:pPr>
      <w:r>
        <w:rPr>
          <w:rFonts w:hint="eastAsia" w:ascii="黑体" w:hAnsi="黑体" w:eastAsia="黑体"/>
          <w:color w:val="000000"/>
          <w:sz w:val="32"/>
          <w:szCs w:val="32"/>
        </w:rPr>
        <w:t>二</w:t>
      </w:r>
      <w:r>
        <w:rPr>
          <w:rFonts w:ascii="黑体" w:hAnsi="黑体" w:eastAsia="黑体"/>
          <w:color w:val="000000"/>
          <w:sz w:val="32"/>
          <w:szCs w:val="32"/>
        </w:rPr>
        <w:t>、</w:t>
      </w:r>
      <w:r>
        <w:rPr>
          <w:rFonts w:hint="eastAsia" w:ascii="黑体" w:hAnsi="黑体" w:eastAsia="黑体"/>
          <w:color w:val="000000"/>
          <w:sz w:val="32"/>
          <w:szCs w:val="32"/>
        </w:rPr>
        <w:t>2021年收入及支出总体情况</w:t>
      </w:r>
    </w:p>
    <w:p>
      <w:pPr>
        <w:ind w:firstLine="640" w:firstLineChars="200"/>
        <w:rPr>
          <w:rFonts w:ascii="楷体" w:hAnsi="楷体" w:eastAsia="楷体"/>
          <w:sz w:val="32"/>
          <w:szCs w:val="32"/>
        </w:rPr>
      </w:pPr>
      <w:r>
        <w:rPr>
          <w:rFonts w:hint="eastAsia" w:ascii="楷体" w:hAnsi="楷体" w:eastAsia="楷体"/>
          <w:sz w:val="32"/>
          <w:szCs w:val="32"/>
        </w:rPr>
        <w:t>（一）收入</w:t>
      </w:r>
      <w:r>
        <w:rPr>
          <w:rFonts w:ascii="楷体" w:hAnsi="楷体" w:eastAsia="楷体"/>
          <w:sz w:val="32"/>
          <w:szCs w:val="32"/>
        </w:rPr>
        <w:t>预算情况</w:t>
      </w:r>
    </w:p>
    <w:p>
      <w:pPr>
        <w:ind w:firstLine="555"/>
        <w:rPr>
          <w:rFonts w:ascii="仿宋_GB2312" w:eastAsia="仿宋_GB2312"/>
          <w:sz w:val="32"/>
          <w:szCs w:val="32"/>
        </w:rPr>
      </w:pPr>
      <w:r>
        <w:rPr>
          <w:rFonts w:hint="eastAsia" w:ascii="仿宋_GB2312" w:eastAsia="仿宋_GB2312"/>
          <w:sz w:val="32"/>
          <w:szCs w:val="32"/>
        </w:rPr>
        <w:t>2021年收入预算121857.93万元，比2020年118005.14万元增加3852.</w:t>
      </w:r>
      <w:r>
        <w:rPr>
          <w:rFonts w:ascii="仿宋_GB2312" w:eastAsia="仿宋_GB2312"/>
          <w:sz w:val="32"/>
          <w:szCs w:val="32"/>
        </w:rPr>
        <w:t>79</w:t>
      </w:r>
      <w:r>
        <w:rPr>
          <w:rFonts w:hint="eastAsia" w:ascii="仿宋_GB2312" w:eastAsia="仿宋_GB2312"/>
          <w:sz w:val="32"/>
          <w:szCs w:val="32"/>
        </w:rPr>
        <w:t>万元。其中：</w:t>
      </w:r>
    </w:p>
    <w:p>
      <w:pPr>
        <w:ind w:firstLine="555"/>
        <w:rPr>
          <w:rFonts w:ascii="仿宋_GB2312" w:eastAsia="仿宋_GB2312"/>
          <w:sz w:val="32"/>
          <w:szCs w:val="32"/>
        </w:rPr>
      </w:pPr>
      <w:r>
        <w:rPr>
          <w:rFonts w:hint="eastAsia" w:ascii="仿宋_GB2312" w:eastAsia="仿宋_GB2312"/>
          <w:sz w:val="32"/>
          <w:szCs w:val="32"/>
        </w:rPr>
        <w:t>财政拨款91136.43万元,比2020年84794.86万元增加6341.57万元；主要</w:t>
      </w:r>
      <w:r>
        <w:rPr>
          <w:rFonts w:ascii="仿宋_GB2312" w:eastAsia="仿宋_GB2312"/>
          <w:sz w:val="32"/>
          <w:szCs w:val="32"/>
        </w:rPr>
        <w:t>原因</w:t>
      </w:r>
      <w:r>
        <w:rPr>
          <w:rFonts w:hint="eastAsia" w:ascii="仿宋_GB2312" w:eastAsia="仿宋_GB2312"/>
          <w:sz w:val="32"/>
          <w:szCs w:val="32"/>
        </w:rPr>
        <w:t>一是由于落实人员正常调资和增加离休费等有关政策，人员经费预算有所增加；二是根据事业发展规划，调整项目</w:t>
      </w:r>
      <w:r>
        <w:rPr>
          <w:rFonts w:hint="eastAsia" w:ascii="仿宋_GB2312" w:eastAsia="仿宋_GB2312"/>
          <w:sz w:val="32"/>
          <w:szCs w:val="32"/>
          <w:lang w:val="en-US" w:eastAsia="zh-CN"/>
        </w:rPr>
        <w:t>安排</w:t>
      </w:r>
      <w:r>
        <w:rPr>
          <w:rFonts w:ascii="仿宋_GB2312" w:eastAsia="仿宋_GB2312"/>
          <w:sz w:val="32"/>
          <w:szCs w:val="32"/>
        </w:rPr>
        <w:t>。</w:t>
      </w:r>
      <w:bookmarkStart w:id="2" w:name="_GoBack"/>
      <w:bookmarkEnd w:id="2"/>
    </w:p>
    <w:p>
      <w:pPr>
        <w:ind w:firstLine="555"/>
        <w:rPr>
          <w:rFonts w:ascii="仿宋_GB2312" w:eastAsia="仿宋_GB2312"/>
          <w:sz w:val="32"/>
          <w:szCs w:val="32"/>
        </w:rPr>
      </w:pPr>
      <w:r>
        <w:rPr>
          <w:rFonts w:hint="eastAsia" w:ascii="仿宋_GB2312" w:eastAsia="仿宋_GB2312"/>
          <w:sz w:val="32"/>
          <w:szCs w:val="32"/>
        </w:rPr>
        <w:t>统筹使用结余资金安排预算3585.28万元,比2020年8800万元减少5214.72万元，主要</w:t>
      </w:r>
      <w:r>
        <w:rPr>
          <w:rFonts w:ascii="仿宋_GB2312" w:eastAsia="仿宋_GB2312"/>
          <w:sz w:val="32"/>
          <w:szCs w:val="32"/>
        </w:rPr>
        <w:t>原因是</w:t>
      </w:r>
      <w:r>
        <w:rPr>
          <w:rFonts w:hint="eastAsia" w:ascii="仿宋_GB2312" w:eastAsia="仿宋_GB2312"/>
          <w:sz w:val="32"/>
          <w:szCs w:val="32"/>
        </w:rPr>
        <w:t>我校</w:t>
      </w:r>
      <w:r>
        <w:rPr>
          <w:rFonts w:ascii="仿宋_GB2312" w:eastAsia="仿宋_GB2312"/>
          <w:sz w:val="32"/>
          <w:szCs w:val="32"/>
        </w:rPr>
        <w:t>可以统筹使用的非财政拨款结余资金减少。</w:t>
      </w:r>
    </w:p>
    <w:p>
      <w:pPr>
        <w:ind w:firstLine="555"/>
        <w:rPr>
          <w:rFonts w:ascii="仿宋_GB2312" w:eastAsia="仿宋_GB2312"/>
          <w:sz w:val="32"/>
          <w:szCs w:val="32"/>
        </w:rPr>
      </w:pPr>
      <w:r>
        <w:rPr>
          <w:rFonts w:hint="eastAsia" w:ascii="仿宋_GB2312" w:eastAsia="仿宋_GB2312"/>
          <w:sz w:val="32"/>
          <w:szCs w:val="32"/>
        </w:rPr>
        <w:t>其他资金27136.22万元,比2020年24410.28万元增加2725.94万元。其他</w:t>
      </w:r>
      <w:r>
        <w:rPr>
          <w:rFonts w:ascii="仿宋_GB2312" w:eastAsia="仿宋_GB2312"/>
          <w:sz w:val="32"/>
          <w:szCs w:val="32"/>
        </w:rPr>
        <w:t>资金增长</w:t>
      </w:r>
      <w:r>
        <w:rPr>
          <w:rFonts w:hint="eastAsia" w:ascii="仿宋_GB2312" w:eastAsia="仿宋_GB2312"/>
          <w:sz w:val="32"/>
          <w:szCs w:val="32"/>
        </w:rPr>
        <w:t>主要</w:t>
      </w:r>
      <w:r>
        <w:rPr>
          <w:rFonts w:ascii="仿宋_GB2312" w:eastAsia="仿宋_GB2312"/>
          <w:sz w:val="32"/>
          <w:szCs w:val="32"/>
        </w:rPr>
        <w:t>是</w:t>
      </w:r>
      <w:r>
        <w:rPr>
          <w:rFonts w:hint="eastAsia" w:ascii="仿宋_GB2312" w:eastAsia="仿宋_GB2312"/>
          <w:sz w:val="32"/>
          <w:szCs w:val="32"/>
        </w:rPr>
        <w:t>学生</w:t>
      </w:r>
      <w:r>
        <w:rPr>
          <w:rFonts w:ascii="仿宋_GB2312" w:eastAsia="仿宋_GB2312"/>
          <w:sz w:val="32"/>
          <w:szCs w:val="32"/>
        </w:rPr>
        <w:t>人数增长带来的</w:t>
      </w:r>
      <w:r>
        <w:rPr>
          <w:rFonts w:hint="eastAsia" w:ascii="仿宋_GB2312" w:eastAsia="仿宋_GB2312"/>
          <w:sz w:val="32"/>
          <w:szCs w:val="32"/>
        </w:rPr>
        <w:t>财政</w:t>
      </w:r>
      <w:r>
        <w:rPr>
          <w:rFonts w:ascii="仿宋_GB2312" w:eastAsia="仿宋_GB2312"/>
          <w:sz w:val="32"/>
          <w:szCs w:val="32"/>
        </w:rPr>
        <w:t>专户核拨的事业收入增长</w:t>
      </w:r>
      <w:r>
        <w:rPr>
          <w:rFonts w:hint="eastAsia" w:ascii="仿宋_GB2312" w:eastAsia="仿宋_GB2312"/>
          <w:sz w:val="32"/>
          <w:szCs w:val="32"/>
        </w:rPr>
        <w:t>和</w:t>
      </w:r>
      <w:r>
        <w:rPr>
          <w:rFonts w:ascii="仿宋_GB2312" w:eastAsia="仿宋_GB2312"/>
          <w:sz w:val="32"/>
          <w:szCs w:val="32"/>
        </w:rPr>
        <w:t>继续</w:t>
      </w:r>
      <w:r>
        <w:rPr>
          <w:rFonts w:hint="eastAsia" w:ascii="仿宋_GB2312" w:eastAsia="仿宋_GB2312"/>
          <w:sz w:val="32"/>
          <w:szCs w:val="32"/>
        </w:rPr>
        <w:t>使用</w:t>
      </w:r>
      <w:r>
        <w:rPr>
          <w:rFonts w:ascii="仿宋_GB2312" w:eastAsia="仿宋_GB2312"/>
          <w:sz w:val="32"/>
          <w:szCs w:val="32"/>
        </w:rPr>
        <w:t>的财政性结转</w:t>
      </w:r>
      <w:r>
        <w:rPr>
          <w:rFonts w:hint="eastAsia" w:ascii="仿宋_GB2312" w:eastAsia="仿宋_GB2312"/>
          <w:sz w:val="32"/>
          <w:szCs w:val="32"/>
        </w:rPr>
        <w:t>资金</w:t>
      </w:r>
      <w:r>
        <w:rPr>
          <w:rFonts w:ascii="仿宋_GB2312" w:eastAsia="仿宋_GB2312"/>
          <w:sz w:val="32"/>
          <w:szCs w:val="32"/>
        </w:rPr>
        <w:t>增长</w:t>
      </w:r>
      <w:r>
        <w:rPr>
          <w:rFonts w:hint="eastAsia" w:ascii="仿宋_GB2312" w:eastAsia="仿宋_GB2312"/>
          <w:sz w:val="32"/>
          <w:szCs w:val="32"/>
        </w:rPr>
        <w:t>。2</w:t>
      </w:r>
      <w:r>
        <w:rPr>
          <w:rFonts w:ascii="仿宋_GB2312" w:eastAsia="仿宋_GB2312"/>
          <w:sz w:val="32"/>
          <w:szCs w:val="32"/>
        </w:rPr>
        <w:t>021年</w:t>
      </w:r>
      <w:r>
        <w:rPr>
          <w:rFonts w:hint="eastAsia" w:ascii="仿宋_GB2312" w:eastAsia="仿宋_GB2312"/>
          <w:sz w:val="32"/>
          <w:szCs w:val="32"/>
        </w:rPr>
        <w:t>其他</w:t>
      </w:r>
      <w:r>
        <w:rPr>
          <w:rFonts w:ascii="仿宋_GB2312" w:eastAsia="仿宋_GB2312"/>
          <w:sz w:val="32"/>
          <w:szCs w:val="32"/>
        </w:rPr>
        <w:t>资金</w:t>
      </w:r>
      <w:r>
        <w:rPr>
          <w:rFonts w:hint="eastAsia" w:ascii="仿宋_GB2312" w:eastAsia="仿宋_GB2312"/>
          <w:sz w:val="32"/>
          <w:szCs w:val="32"/>
        </w:rPr>
        <w:t>收入预算</w:t>
      </w:r>
      <w:r>
        <w:rPr>
          <w:rFonts w:ascii="仿宋_GB2312" w:eastAsia="仿宋_GB2312"/>
          <w:sz w:val="32"/>
          <w:szCs w:val="32"/>
        </w:rPr>
        <w:t>主要包括</w:t>
      </w:r>
      <w:r>
        <w:rPr>
          <w:rFonts w:hint="eastAsia" w:ascii="仿宋_GB2312" w:eastAsia="仿宋_GB2312"/>
          <w:sz w:val="32"/>
          <w:szCs w:val="32"/>
        </w:rPr>
        <w:t>财政专户核拨的事业收入</w:t>
      </w:r>
      <w:r>
        <w:rPr>
          <w:rFonts w:ascii="仿宋_GB2312" w:eastAsia="仿宋_GB2312"/>
          <w:sz w:val="32"/>
          <w:szCs w:val="32"/>
        </w:rPr>
        <w:t>12813.00</w:t>
      </w:r>
      <w:r>
        <w:rPr>
          <w:rFonts w:hint="eastAsia" w:ascii="仿宋_GB2312" w:eastAsia="仿宋_GB2312"/>
          <w:sz w:val="32"/>
          <w:szCs w:val="32"/>
        </w:rPr>
        <w:t>万元、事业收入(不含财政专户管理的事业收入)</w:t>
      </w:r>
      <w:r>
        <w:rPr>
          <w:rFonts w:ascii="仿宋_GB2312" w:eastAsia="仿宋_GB2312"/>
          <w:sz w:val="32"/>
          <w:szCs w:val="32"/>
        </w:rPr>
        <w:t>8400.00万元、</w:t>
      </w:r>
      <w:r>
        <w:rPr>
          <w:rFonts w:hint="eastAsia" w:ascii="仿宋_GB2312" w:eastAsia="仿宋_GB2312"/>
          <w:sz w:val="32"/>
          <w:szCs w:val="32"/>
        </w:rPr>
        <w:t>事业单位经营收入6</w:t>
      </w:r>
      <w:r>
        <w:rPr>
          <w:rFonts w:ascii="仿宋_GB2312" w:eastAsia="仿宋_GB2312"/>
          <w:sz w:val="32"/>
          <w:szCs w:val="32"/>
        </w:rPr>
        <w:t>70.00万元、</w:t>
      </w:r>
      <w:r>
        <w:rPr>
          <w:rFonts w:hint="eastAsia" w:ascii="仿宋_GB2312" w:eastAsia="仿宋_GB2312"/>
          <w:sz w:val="32"/>
          <w:szCs w:val="32"/>
        </w:rPr>
        <w:t>附属单位上缴收入1</w:t>
      </w:r>
      <w:r>
        <w:rPr>
          <w:rFonts w:ascii="仿宋_GB2312" w:eastAsia="仿宋_GB2312"/>
          <w:sz w:val="32"/>
          <w:szCs w:val="32"/>
        </w:rPr>
        <w:t>190.00万元、</w:t>
      </w:r>
      <w:r>
        <w:rPr>
          <w:rFonts w:hint="eastAsia" w:ascii="仿宋_GB2312" w:eastAsia="仿宋_GB2312"/>
          <w:sz w:val="32"/>
          <w:szCs w:val="32"/>
        </w:rPr>
        <w:t>其他收入2</w:t>
      </w:r>
      <w:r>
        <w:rPr>
          <w:rFonts w:ascii="仿宋_GB2312" w:eastAsia="仿宋_GB2312"/>
          <w:sz w:val="32"/>
          <w:szCs w:val="32"/>
        </w:rPr>
        <w:t>280.00万元</w:t>
      </w:r>
      <w:r>
        <w:rPr>
          <w:rFonts w:hint="eastAsia" w:ascii="仿宋_GB2312" w:eastAsia="仿宋_GB2312"/>
          <w:sz w:val="32"/>
          <w:szCs w:val="32"/>
        </w:rPr>
        <w:t>、继续使用的财政性结转资金</w:t>
      </w:r>
      <w:r>
        <w:rPr>
          <w:rFonts w:ascii="仿宋_GB2312" w:eastAsia="仿宋_GB2312"/>
          <w:sz w:val="32"/>
          <w:szCs w:val="32"/>
        </w:rPr>
        <w:t>1783.22</w:t>
      </w:r>
      <w:r>
        <w:rPr>
          <w:rFonts w:hint="eastAsia" w:ascii="仿宋_GB2312" w:eastAsia="仿宋_GB2312"/>
          <w:sz w:val="32"/>
          <w:szCs w:val="32"/>
        </w:rPr>
        <w:t>万元</w:t>
      </w:r>
      <w:r>
        <w:rPr>
          <w:rFonts w:ascii="仿宋_GB2312"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（二）支出</w:t>
      </w:r>
      <w:r>
        <w:rPr>
          <w:rFonts w:ascii="楷体" w:hAnsi="楷体" w:eastAsia="楷体"/>
          <w:sz w:val="32"/>
          <w:szCs w:val="32"/>
        </w:rPr>
        <w:t>预算情况</w:t>
      </w:r>
    </w:p>
    <w:p>
      <w:pPr>
        <w:ind w:firstLine="555"/>
        <w:rPr>
          <w:rFonts w:ascii="仿宋_GB2312" w:eastAsia="仿宋_GB2312"/>
          <w:sz w:val="32"/>
          <w:szCs w:val="32"/>
        </w:rPr>
      </w:pPr>
      <w:r>
        <w:rPr>
          <w:rFonts w:hint="eastAsia" w:ascii="仿宋_GB2312" w:eastAsia="仿宋_GB2312"/>
          <w:sz w:val="32"/>
          <w:szCs w:val="32"/>
        </w:rPr>
        <w:t>2021年</w:t>
      </w:r>
      <w:r>
        <w:rPr>
          <w:rFonts w:ascii="仿宋_GB2312" w:eastAsia="仿宋_GB2312"/>
          <w:sz w:val="32"/>
          <w:szCs w:val="32"/>
        </w:rPr>
        <w:t>支出预算</w:t>
      </w:r>
      <w:r>
        <w:rPr>
          <w:rFonts w:hint="eastAsia" w:ascii="仿宋_GB2312" w:eastAsia="仿宋_GB2312"/>
          <w:sz w:val="32"/>
          <w:szCs w:val="32"/>
        </w:rPr>
        <w:t>121857.93万元</w:t>
      </w:r>
      <w:r>
        <w:rPr>
          <w:rFonts w:ascii="仿宋_GB2312" w:eastAsia="仿宋_GB2312"/>
          <w:sz w:val="32"/>
          <w:szCs w:val="32"/>
        </w:rPr>
        <w:t>，比</w:t>
      </w:r>
      <w:r>
        <w:rPr>
          <w:rFonts w:hint="eastAsia" w:ascii="仿宋_GB2312" w:eastAsia="仿宋_GB2312"/>
          <w:sz w:val="32"/>
          <w:szCs w:val="32"/>
        </w:rPr>
        <w:t>2020年118</w:t>
      </w:r>
      <w:r>
        <w:rPr>
          <w:rFonts w:ascii="仿宋_GB2312" w:eastAsia="仿宋_GB2312"/>
          <w:sz w:val="32"/>
          <w:szCs w:val="32"/>
        </w:rPr>
        <w:t>005.14</w:t>
      </w:r>
      <w:r>
        <w:rPr>
          <w:rFonts w:hint="eastAsia" w:ascii="仿宋_GB2312" w:eastAsia="仿宋_GB2312"/>
          <w:sz w:val="32"/>
          <w:szCs w:val="32"/>
        </w:rPr>
        <w:t>万元增加3852.79万元</w:t>
      </w:r>
      <w:r>
        <w:rPr>
          <w:rFonts w:ascii="仿宋_GB2312" w:eastAsia="仿宋_GB2312"/>
          <w:sz w:val="32"/>
          <w:szCs w:val="32"/>
        </w:rPr>
        <w:t>。其中</w:t>
      </w:r>
      <w:r>
        <w:rPr>
          <w:rFonts w:hint="eastAsia" w:ascii="仿宋_GB2312" w:eastAsia="仿宋_GB2312"/>
          <w:sz w:val="32"/>
          <w:szCs w:val="32"/>
        </w:rPr>
        <w:t>：</w:t>
      </w:r>
    </w:p>
    <w:p>
      <w:pPr>
        <w:ind w:firstLine="555"/>
        <w:rPr>
          <w:rFonts w:ascii="仿宋_GB2312" w:eastAsia="仿宋_GB2312"/>
          <w:sz w:val="32"/>
          <w:szCs w:val="32"/>
        </w:rPr>
      </w:pPr>
      <w:r>
        <w:rPr>
          <w:rFonts w:hint="eastAsia" w:ascii="仿宋_GB2312" w:eastAsia="仿宋_GB2312"/>
          <w:sz w:val="32"/>
          <w:szCs w:val="32"/>
        </w:rPr>
        <w:t>基本支出预算112314.59万元，比2020年109425.68万元增加2888.91万元。主要原因是落实人员正常调资和增加离休费等有关政策，人员经费预算有所增加</w:t>
      </w:r>
      <w:r>
        <w:rPr>
          <w:rFonts w:ascii="仿宋_GB2312" w:eastAsia="仿宋_GB2312"/>
          <w:sz w:val="32"/>
          <w:szCs w:val="32"/>
        </w:rPr>
        <w:t>。</w:t>
      </w:r>
    </w:p>
    <w:p>
      <w:pPr>
        <w:ind w:firstLine="555"/>
        <w:rPr>
          <w:rFonts w:ascii="仿宋_GB2312" w:eastAsia="仿宋_GB2312"/>
          <w:sz w:val="32"/>
          <w:szCs w:val="32"/>
        </w:rPr>
      </w:pPr>
      <w:r>
        <w:rPr>
          <w:rFonts w:hint="eastAsia" w:ascii="仿宋_GB2312" w:eastAsia="仿宋_GB2312"/>
          <w:sz w:val="32"/>
          <w:szCs w:val="32"/>
        </w:rPr>
        <w:t>项目支出预算8873.34万元，比2020年7919.45万元增加953.89万元，主要原因是根据事业发展规划，调整项目支出。</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事业单位经营支出</w:t>
      </w:r>
      <w:r>
        <w:rPr>
          <w:rFonts w:ascii="仿宋_GB2312" w:eastAsia="仿宋_GB2312"/>
          <w:color w:val="000000"/>
          <w:sz w:val="32"/>
          <w:szCs w:val="32"/>
        </w:rPr>
        <w:t>670.00</w:t>
      </w:r>
      <w:r>
        <w:rPr>
          <w:rFonts w:hint="eastAsia" w:ascii="仿宋_GB2312" w:eastAsia="仿宋_GB2312"/>
          <w:color w:val="000000"/>
          <w:sz w:val="32"/>
          <w:szCs w:val="32"/>
        </w:rPr>
        <w:t>万元，比2020年660</w:t>
      </w:r>
      <w:r>
        <w:rPr>
          <w:rFonts w:ascii="仿宋_GB2312" w:eastAsia="仿宋_GB2312"/>
          <w:color w:val="000000"/>
          <w:sz w:val="32"/>
          <w:szCs w:val="32"/>
        </w:rPr>
        <w:t>.00</w:t>
      </w:r>
      <w:r>
        <w:rPr>
          <w:rFonts w:hint="eastAsia" w:ascii="仿宋_GB2312" w:eastAsia="仿宋_GB2312"/>
          <w:color w:val="000000"/>
          <w:sz w:val="32"/>
          <w:szCs w:val="32"/>
        </w:rPr>
        <w:t>万元增加1</w:t>
      </w:r>
      <w:r>
        <w:rPr>
          <w:rFonts w:ascii="仿宋_GB2312" w:eastAsia="仿宋_GB2312"/>
          <w:color w:val="000000"/>
          <w:sz w:val="32"/>
          <w:szCs w:val="32"/>
        </w:rPr>
        <w:t>0.00</w:t>
      </w:r>
      <w:r>
        <w:rPr>
          <w:rFonts w:hint="eastAsia" w:ascii="仿宋_GB2312" w:eastAsia="仿宋_GB2312"/>
          <w:color w:val="000000"/>
          <w:sz w:val="32"/>
          <w:szCs w:val="32"/>
        </w:rPr>
        <w:t>万元，基本持平</w:t>
      </w:r>
      <w:r>
        <w:rPr>
          <w:rFonts w:ascii="仿宋_GB2312" w:eastAsia="仿宋_GB2312"/>
          <w:color w:val="000000"/>
          <w:sz w:val="32"/>
          <w:szCs w:val="32"/>
        </w:rPr>
        <w:t>。</w:t>
      </w:r>
    </w:p>
    <w:p>
      <w:pPr>
        <w:ind w:firstLine="555"/>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w:t>
      </w:r>
      <w:r>
        <w:rPr>
          <w:rFonts w:hint="eastAsia" w:ascii="黑体" w:hAnsi="黑体" w:eastAsia="黑体"/>
          <w:sz w:val="32"/>
          <w:szCs w:val="32"/>
        </w:rPr>
        <w:t>主要支出情况</w:t>
      </w:r>
    </w:p>
    <w:p>
      <w:pPr>
        <w:ind w:firstLine="555"/>
        <w:rPr>
          <w:rFonts w:ascii="仿宋_GB2312" w:eastAsia="仿宋_GB2312"/>
          <w:sz w:val="32"/>
          <w:szCs w:val="32"/>
        </w:rPr>
      </w:pPr>
      <w:r>
        <w:rPr>
          <w:rFonts w:hint="eastAsia" w:ascii="仿宋_GB2312" w:eastAsia="仿宋_GB2312"/>
          <w:sz w:val="32"/>
          <w:szCs w:val="32"/>
        </w:rPr>
        <w:t>按照支出内容，项目支出主要用于改善办学保障条件、学生资助、人才培养质量建设、国际合作与交流、科技创新服务能力建设、机动经费等。</w:t>
      </w:r>
    </w:p>
    <w:p>
      <w:pPr>
        <w:ind w:firstLine="640" w:firstLineChars="200"/>
        <w:rPr>
          <w:rFonts w:ascii="黑体" w:eastAsia="黑体"/>
          <w:sz w:val="32"/>
          <w:szCs w:val="32"/>
        </w:rPr>
      </w:pPr>
      <w:r>
        <w:rPr>
          <w:rFonts w:hint="eastAsia" w:ascii="黑体" w:eastAsia="黑体"/>
          <w:sz w:val="32"/>
          <w:szCs w:val="32"/>
        </w:rPr>
        <w:t>四</w:t>
      </w:r>
      <w:r>
        <w:rPr>
          <w:rFonts w:ascii="黑体" w:eastAsia="黑体"/>
          <w:sz w:val="32"/>
          <w:szCs w:val="32"/>
        </w:rPr>
        <w:t>、</w:t>
      </w:r>
      <w:r>
        <w:rPr>
          <w:rFonts w:hint="eastAsia" w:ascii="黑体" w:eastAsia="黑体"/>
          <w:sz w:val="32"/>
          <w:szCs w:val="32"/>
        </w:rPr>
        <w:t>单位“三公”经费财政拨款预算说明</w:t>
      </w:r>
    </w:p>
    <w:p>
      <w:pPr>
        <w:widowControl/>
        <w:ind w:firstLine="640" w:firstLineChars="200"/>
        <w:rPr>
          <w:rFonts w:ascii="Arial" w:hAnsi="Arial" w:cs="Arial"/>
          <w:kern w:val="0"/>
          <w:sz w:val="30"/>
          <w:szCs w:val="30"/>
        </w:rPr>
      </w:pPr>
      <w:r>
        <w:rPr>
          <w:rFonts w:hint="eastAsia" w:ascii="仿宋_GB2312" w:eastAsia="仿宋_GB2312"/>
          <w:sz w:val="32"/>
          <w:szCs w:val="32"/>
        </w:rPr>
        <w:t>2021年"三公经费"财政拨款预算107.93万元。其中：</w:t>
      </w:r>
    </w:p>
    <w:p>
      <w:pPr>
        <w:ind w:firstLine="600"/>
        <w:rPr>
          <w:rFonts w:ascii="仿宋_GB2312" w:eastAsia="仿宋_GB2312"/>
          <w:sz w:val="32"/>
          <w:szCs w:val="32"/>
        </w:rPr>
      </w:pPr>
      <w:r>
        <w:rPr>
          <w:rFonts w:hint="eastAsia" w:ascii="仿宋_GB2312" w:eastAsia="仿宋_GB2312"/>
          <w:sz w:val="32"/>
          <w:szCs w:val="32"/>
        </w:rPr>
        <w:t>1.因公出国（境）费用。2021年预算数82.93万元，主要用于</w:t>
      </w:r>
      <w:r>
        <w:rPr>
          <w:rFonts w:hint="eastAsia" w:ascii="仿宋_GB2312" w:hAnsi="仿宋" w:eastAsia="仿宋_GB2312" w:cs="仿宋"/>
          <w:sz w:val="32"/>
          <w:szCs w:val="32"/>
        </w:rPr>
        <w:t>出国访学、参加国际会议、科研工作</w:t>
      </w:r>
      <w:r>
        <w:rPr>
          <w:rFonts w:hint="eastAsia" w:ascii="仿宋_GB2312" w:eastAsia="仿宋_GB2312"/>
          <w:sz w:val="32"/>
          <w:szCs w:val="32"/>
        </w:rPr>
        <w:t>等方面。</w:t>
      </w:r>
    </w:p>
    <w:p>
      <w:pPr>
        <w:widowControl/>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.公务用车购置和运行维护费。20</w:t>
      </w:r>
      <w:r>
        <w:rPr>
          <w:rFonts w:ascii="仿宋_GB2312" w:eastAsia="仿宋_GB2312"/>
          <w:sz w:val="32"/>
          <w:szCs w:val="32"/>
        </w:rPr>
        <w:t>21</w:t>
      </w:r>
      <w:r>
        <w:rPr>
          <w:rFonts w:hint="eastAsia" w:ascii="仿宋_GB2312" w:eastAsia="仿宋_GB2312"/>
          <w:sz w:val="32"/>
          <w:szCs w:val="32"/>
        </w:rPr>
        <w:t>年预算数</w:t>
      </w:r>
      <w:r>
        <w:rPr>
          <w:rFonts w:ascii="仿宋_GB2312" w:eastAsia="仿宋_GB2312"/>
          <w:sz w:val="32"/>
          <w:szCs w:val="32"/>
        </w:rPr>
        <w:t>25.00</w:t>
      </w:r>
      <w:r>
        <w:rPr>
          <w:rFonts w:hint="eastAsia" w:ascii="仿宋_GB2312" w:eastAsia="仿宋_GB2312"/>
          <w:sz w:val="32"/>
          <w:szCs w:val="32"/>
        </w:rPr>
        <w:t>万元，都为公务用车运行维护费，其中：公务用车维修</w:t>
      </w:r>
      <w:r>
        <w:rPr>
          <w:rFonts w:ascii="仿宋_GB2312" w:eastAsia="仿宋_GB2312"/>
          <w:sz w:val="32"/>
          <w:szCs w:val="32"/>
        </w:rPr>
        <w:t>15.00</w:t>
      </w:r>
      <w:r>
        <w:rPr>
          <w:rFonts w:hint="eastAsia" w:ascii="仿宋_GB2312" w:eastAsia="仿宋_GB2312"/>
          <w:sz w:val="32"/>
          <w:szCs w:val="32"/>
        </w:rPr>
        <w:t>万元，公务用车保险</w:t>
      </w:r>
      <w:r>
        <w:rPr>
          <w:rFonts w:ascii="仿宋_GB2312" w:eastAsia="仿宋_GB2312"/>
          <w:sz w:val="32"/>
          <w:szCs w:val="32"/>
        </w:rPr>
        <w:t>7.00</w:t>
      </w:r>
      <w:r>
        <w:rPr>
          <w:rFonts w:hint="eastAsia" w:ascii="仿宋_GB2312" w:eastAsia="仿宋_GB2312"/>
          <w:sz w:val="32"/>
          <w:szCs w:val="32"/>
        </w:rPr>
        <w:t>万元，其他</w:t>
      </w:r>
      <w:r>
        <w:rPr>
          <w:rFonts w:ascii="仿宋_GB2312" w:eastAsia="仿宋_GB2312"/>
          <w:sz w:val="32"/>
          <w:szCs w:val="32"/>
        </w:rPr>
        <w:t>3.00</w:t>
      </w:r>
      <w:r>
        <w:rPr>
          <w:rFonts w:hint="eastAsia" w:ascii="仿宋_GB2312" w:eastAsia="仿宋_GB2312"/>
          <w:sz w:val="32"/>
          <w:szCs w:val="32"/>
        </w:rPr>
        <w:t>万元。</w:t>
      </w:r>
    </w:p>
    <w:p>
      <w:pPr>
        <w:ind w:firstLine="640" w:firstLineChars="200"/>
        <w:rPr>
          <w:rFonts w:ascii="黑体" w:eastAsia="黑体"/>
          <w:sz w:val="32"/>
          <w:szCs w:val="32"/>
        </w:rPr>
      </w:pPr>
      <w:r>
        <w:rPr>
          <w:rFonts w:hint="eastAsia" w:ascii="黑体" w:eastAsia="黑体"/>
          <w:sz w:val="32"/>
          <w:szCs w:val="32"/>
        </w:rPr>
        <w:t>五、其他情况说明</w:t>
      </w:r>
    </w:p>
    <w:p>
      <w:pPr>
        <w:ind w:firstLine="480" w:firstLineChars="150"/>
        <w:rPr>
          <w:rFonts w:ascii="楷体" w:hAnsi="楷体" w:eastAsia="楷体"/>
          <w:sz w:val="32"/>
          <w:szCs w:val="32"/>
        </w:rPr>
      </w:pPr>
      <w:r>
        <w:rPr>
          <w:rFonts w:hint="eastAsia" w:ascii="楷体" w:hAnsi="楷体" w:eastAsia="楷体"/>
          <w:sz w:val="32"/>
          <w:szCs w:val="32"/>
        </w:rPr>
        <w:t>（一）单位政府采购预算说明</w:t>
      </w:r>
    </w:p>
    <w:p>
      <w:pPr>
        <w:ind w:firstLine="640" w:firstLineChars="200"/>
        <w:rPr>
          <w:rFonts w:ascii="仿宋_GB2312" w:eastAsia="仿宋_GB2312"/>
          <w:sz w:val="32"/>
          <w:szCs w:val="32"/>
        </w:rPr>
      </w:pPr>
      <w:r>
        <w:rPr>
          <w:rFonts w:hint="eastAsia" w:ascii="仿宋_GB2312" w:eastAsia="仿宋_GB2312"/>
          <w:sz w:val="32"/>
          <w:szCs w:val="32"/>
        </w:rPr>
        <w:t>2021年首都经济贸易大学单位政府采购预算总额16761.67万元，其中：政府采购货物预算6634.01万元，政府采购工程预算3229.1</w:t>
      </w:r>
      <w:r>
        <w:rPr>
          <w:rFonts w:ascii="仿宋_GB2312" w:eastAsia="仿宋_GB2312"/>
          <w:sz w:val="32"/>
          <w:szCs w:val="32"/>
        </w:rPr>
        <w:t>0</w:t>
      </w:r>
      <w:r>
        <w:rPr>
          <w:rFonts w:hint="eastAsia" w:ascii="仿宋_GB2312" w:eastAsia="仿宋_GB2312"/>
          <w:sz w:val="32"/>
          <w:szCs w:val="32"/>
        </w:rPr>
        <w:t>万元，政府采购服务预算6898.55万元。</w:t>
      </w:r>
    </w:p>
    <w:p>
      <w:pPr>
        <w:ind w:firstLine="640" w:firstLineChars="200"/>
        <w:rPr>
          <w:rFonts w:ascii="楷体" w:hAnsi="楷体" w:eastAsia="楷体"/>
          <w:sz w:val="32"/>
          <w:szCs w:val="32"/>
        </w:rPr>
      </w:pPr>
      <w:r>
        <w:rPr>
          <w:rFonts w:hint="eastAsia" w:ascii="楷体" w:hAnsi="楷体" w:eastAsia="楷体"/>
          <w:sz w:val="32"/>
          <w:szCs w:val="32"/>
        </w:rPr>
        <w:t>（二）政府购买服务预算说明</w:t>
      </w:r>
    </w:p>
    <w:p>
      <w:pPr>
        <w:ind w:firstLine="640" w:firstLineChars="200"/>
        <w:rPr>
          <w:rFonts w:ascii="仿宋_GB2312" w:eastAsia="仿宋_GB2312"/>
          <w:sz w:val="32"/>
          <w:szCs w:val="32"/>
        </w:rPr>
      </w:pPr>
      <w:r>
        <w:rPr>
          <w:rFonts w:hint="eastAsia" w:ascii="仿宋_GB2312" w:eastAsia="仿宋_GB2312"/>
          <w:sz w:val="32"/>
          <w:szCs w:val="32"/>
        </w:rPr>
        <w:t>本单位2021年</w:t>
      </w:r>
      <w:r>
        <w:rPr>
          <w:rFonts w:ascii="仿宋_GB2312" w:eastAsia="仿宋_GB2312"/>
          <w:sz w:val="32"/>
          <w:szCs w:val="32"/>
        </w:rPr>
        <w:t>无政府购买服务预算</w:t>
      </w:r>
      <w:r>
        <w:rPr>
          <w:rFonts w:hint="eastAsia" w:ascii="仿宋_GB2312"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（三）机关运行经费情况说明</w:t>
      </w:r>
    </w:p>
    <w:p>
      <w:pPr>
        <w:ind w:firstLine="640" w:firstLineChars="200"/>
        <w:rPr>
          <w:rFonts w:ascii="仿宋_GB2312" w:eastAsia="仿宋_GB2312"/>
          <w:sz w:val="32"/>
          <w:szCs w:val="32"/>
        </w:rPr>
      </w:pPr>
      <w:r>
        <w:rPr>
          <w:rFonts w:hint="eastAsia" w:ascii="仿宋_GB2312" w:eastAsia="仿宋_GB2312"/>
          <w:sz w:val="32"/>
          <w:szCs w:val="32"/>
        </w:rPr>
        <w:t>我单位</w:t>
      </w:r>
      <w:r>
        <w:rPr>
          <w:rFonts w:ascii="仿宋_GB2312" w:eastAsia="仿宋_GB2312"/>
          <w:sz w:val="32"/>
          <w:szCs w:val="32"/>
        </w:rPr>
        <w:t>不在机关运行经费统计范围之内</w:t>
      </w:r>
      <w:r>
        <w:rPr>
          <w:rFonts w:hint="eastAsia" w:ascii="仿宋_GB2312"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（四）项目支出绩效目标情况说明</w:t>
      </w:r>
    </w:p>
    <w:p>
      <w:pPr>
        <w:ind w:firstLine="640" w:firstLineChars="200"/>
        <w:rPr>
          <w:rFonts w:ascii="仿宋_GB2312" w:hAnsi="宋体" w:eastAsia="仿宋_GB2312" w:cs="宋体"/>
          <w:kern w:val="0"/>
          <w:sz w:val="32"/>
          <w:szCs w:val="32"/>
        </w:rPr>
      </w:pPr>
      <w:bookmarkStart w:id="1" w:name="OLE_LINK2"/>
      <w:r>
        <w:rPr>
          <w:rFonts w:hint="eastAsia" w:ascii="仿宋_GB2312" w:hAnsi="宋体" w:eastAsia="仿宋_GB2312" w:cs="宋体"/>
          <w:kern w:val="0"/>
          <w:sz w:val="32"/>
          <w:szCs w:val="32"/>
        </w:rPr>
        <w:t>2021年，首都经济贸易大学填报绩效目标的预算项目</w:t>
      </w:r>
      <w:r>
        <w:rPr>
          <w:rFonts w:ascii="仿宋_GB2312" w:hAnsi="宋体" w:eastAsia="仿宋_GB2312" w:cs="宋体"/>
          <w:kern w:val="0"/>
          <w:sz w:val="32"/>
          <w:szCs w:val="32"/>
        </w:rPr>
        <w:t>17</w:t>
      </w:r>
      <w:r>
        <w:rPr>
          <w:rFonts w:hint="eastAsia" w:ascii="仿宋_GB2312" w:hAnsi="宋体" w:eastAsia="仿宋_GB2312" w:cs="宋体"/>
          <w:kern w:val="0"/>
          <w:sz w:val="32"/>
          <w:szCs w:val="32"/>
        </w:rPr>
        <w:t>个，占全部预算项目</w:t>
      </w:r>
      <w:r>
        <w:rPr>
          <w:rFonts w:ascii="仿宋_GB2312" w:hAnsi="宋体" w:eastAsia="仿宋_GB2312" w:cs="宋体"/>
          <w:kern w:val="0"/>
          <w:sz w:val="32"/>
          <w:szCs w:val="32"/>
        </w:rPr>
        <w:t>17</w:t>
      </w:r>
      <w:r>
        <w:rPr>
          <w:rFonts w:hint="eastAsia" w:ascii="仿宋_GB2312" w:hAnsi="宋体" w:eastAsia="仿宋_GB2312" w:cs="宋体"/>
          <w:kern w:val="0"/>
          <w:sz w:val="32"/>
          <w:szCs w:val="32"/>
        </w:rPr>
        <w:t>个的100%。填报绩效目标的项目支出预算</w:t>
      </w:r>
      <w:r>
        <w:rPr>
          <w:rFonts w:ascii="仿宋_GB2312" w:hAnsi="宋体" w:eastAsia="仿宋_GB2312" w:cs="宋体"/>
          <w:kern w:val="0"/>
          <w:sz w:val="32"/>
          <w:szCs w:val="32"/>
        </w:rPr>
        <w:t>7090.12</w:t>
      </w:r>
      <w:r>
        <w:rPr>
          <w:rFonts w:hint="eastAsia" w:ascii="仿宋_GB2312" w:hAnsi="宋体" w:eastAsia="仿宋_GB2312" w:cs="宋体"/>
          <w:kern w:val="0"/>
          <w:sz w:val="32"/>
          <w:szCs w:val="32"/>
        </w:rPr>
        <w:t>万元，占本单位年初全部项目支出预算的100%。</w:t>
      </w:r>
    </w:p>
    <w:p>
      <w:pPr>
        <w:ind w:firstLine="640" w:firstLineChars="200"/>
        <w:rPr>
          <w:rFonts w:ascii="楷体" w:hAnsi="楷体" w:eastAsia="楷体"/>
          <w:sz w:val="32"/>
          <w:szCs w:val="32"/>
        </w:rPr>
      </w:pPr>
      <w:r>
        <w:rPr>
          <w:rFonts w:hint="eastAsia" w:ascii="楷体" w:hAnsi="楷体" w:eastAsia="楷体"/>
          <w:sz w:val="32"/>
          <w:szCs w:val="32"/>
        </w:rPr>
        <w:t>（五）重点行政事业性收费情况说明</w:t>
      </w:r>
    </w:p>
    <w:bookmarkEnd w:id="1"/>
    <w:p>
      <w:pPr>
        <w:ind w:firstLine="640" w:firstLineChars="200"/>
        <w:rPr>
          <w:rFonts w:eastAsia="仿宋_GB2312" w:asciiTheme="minorHAnsi" w:hAnsiTheme="minorHAnsi"/>
          <w:sz w:val="32"/>
          <w:szCs w:val="32"/>
        </w:rPr>
      </w:pPr>
      <w:r>
        <w:rPr>
          <w:rFonts w:hint="eastAsia" w:ascii="仿宋_GB2312" w:eastAsia="仿宋_GB2312"/>
          <w:sz w:val="32"/>
          <w:szCs w:val="32"/>
        </w:rPr>
        <w:t>本单位202</w:t>
      </w:r>
      <w:r>
        <w:rPr>
          <w:rFonts w:ascii="仿宋_GB2312" w:eastAsia="仿宋_GB2312"/>
          <w:sz w:val="32"/>
          <w:szCs w:val="32"/>
        </w:rPr>
        <w:t>1</w:t>
      </w:r>
      <w:r>
        <w:rPr>
          <w:rFonts w:hint="eastAsia" w:ascii="仿宋_GB2312" w:eastAsia="仿宋_GB2312"/>
          <w:sz w:val="32"/>
          <w:szCs w:val="32"/>
        </w:rPr>
        <w:t>年无重点行政事业性收费</w:t>
      </w:r>
      <w:r>
        <w:rPr>
          <w:rFonts w:hint="eastAsia" w:eastAsia="仿宋_GB2312" w:asciiTheme="minorHAnsi" w:hAnsiTheme="minorHAnsi"/>
          <w:sz w:val="32"/>
          <w:szCs w:val="32"/>
        </w:rPr>
        <w:t>。</w:t>
      </w:r>
    </w:p>
    <w:p>
      <w:pPr>
        <w:ind w:firstLine="640" w:firstLineChars="200"/>
        <w:rPr>
          <w:rFonts w:ascii="楷体" w:hAnsi="楷体" w:eastAsia="楷体"/>
          <w:sz w:val="32"/>
          <w:szCs w:val="32"/>
        </w:rPr>
      </w:pPr>
      <w:r>
        <w:rPr>
          <w:rFonts w:hint="eastAsia" w:ascii="楷体" w:hAnsi="楷体" w:eastAsia="楷体"/>
          <w:sz w:val="32"/>
          <w:szCs w:val="32"/>
        </w:rPr>
        <w:t>（六）国有资本经营预算财政拨款情况说明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w:t>
      </w:r>
      <w:r>
        <w:rPr>
          <w:rFonts w:ascii="仿宋_GB2312" w:eastAsia="仿宋_GB2312"/>
          <w:sz w:val="32"/>
          <w:szCs w:val="32"/>
        </w:rPr>
        <w:t>21</w:t>
      </w:r>
      <w:r>
        <w:rPr>
          <w:rFonts w:hint="eastAsia" w:ascii="仿宋_GB2312" w:eastAsia="仿宋_GB2312"/>
          <w:sz w:val="32"/>
          <w:szCs w:val="32"/>
        </w:rPr>
        <w:t>年无国有资本经营预算财政拨款安排的预算。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截至2020年底，首都经济贸易大学共有车辆15台，原值431</w:t>
      </w:r>
      <w:r>
        <w:rPr>
          <w:rFonts w:ascii="仿宋_GB2312" w:eastAsia="仿宋_GB2312"/>
          <w:color w:val="000000"/>
          <w:sz w:val="32"/>
          <w:szCs w:val="32"/>
        </w:rPr>
        <w:t>.</w:t>
      </w:r>
      <w:r>
        <w:rPr>
          <w:rFonts w:hint="eastAsia" w:ascii="仿宋_GB2312" w:eastAsia="仿宋_GB2312"/>
          <w:color w:val="000000"/>
          <w:sz w:val="32"/>
          <w:szCs w:val="32"/>
        </w:rPr>
        <w:t>98万元；单位价值50万元以上的通用设备52台（套），原值4746</w:t>
      </w:r>
      <w:r>
        <w:rPr>
          <w:rFonts w:ascii="仿宋_GB2312" w:eastAsia="仿宋_GB2312"/>
          <w:color w:val="000000"/>
          <w:sz w:val="32"/>
          <w:szCs w:val="32"/>
        </w:rPr>
        <w:t>.</w:t>
      </w:r>
      <w:r>
        <w:rPr>
          <w:rFonts w:hint="eastAsia" w:ascii="仿宋_GB2312" w:eastAsia="仿宋_GB2312"/>
          <w:color w:val="000000"/>
          <w:sz w:val="32"/>
          <w:szCs w:val="32"/>
        </w:rPr>
        <w:t>65万元；单位价值100万元以上的专用设备4台（套），原值803</w:t>
      </w:r>
      <w:r>
        <w:rPr>
          <w:rFonts w:ascii="仿宋_GB2312" w:eastAsia="仿宋_GB2312"/>
          <w:color w:val="000000"/>
          <w:sz w:val="32"/>
          <w:szCs w:val="32"/>
        </w:rPr>
        <w:t>.</w:t>
      </w:r>
      <w:r>
        <w:rPr>
          <w:rFonts w:hint="eastAsia" w:ascii="仿宋_GB2312" w:eastAsia="仿宋_GB2312"/>
          <w:color w:val="000000"/>
          <w:sz w:val="32"/>
          <w:szCs w:val="32"/>
        </w:rPr>
        <w:t>84万元。</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本单位2021年无重点支出和重大投资项目。</w:t>
      </w:r>
    </w:p>
    <w:p>
      <w:pPr>
        <w:spacing w:line="560" w:lineRule="exact"/>
        <w:ind w:firstLine="640" w:firstLineChars="200"/>
        <w:rPr>
          <w:rFonts w:ascii="仿宋_GB2312" w:eastAsia="仿宋_GB2312"/>
          <w:color w:val="000000"/>
          <w:spacing w:val="-2"/>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ind w:firstLine="640" w:firstLineChars="200"/>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autoSpaceDE w:val="0"/>
        <w:autoSpaceDN w:val="0"/>
        <w:adjustRightInd w:val="0"/>
        <w:spacing w:line="560" w:lineRule="exact"/>
        <w:jc w:val="left"/>
        <w:rPr>
          <w:rFonts w:ascii="方正小标宋简体" w:eastAsia="方正小标宋简体"/>
          <w:color w:val="000000"/>
          <w:sz w:val="36"/>
          <w:szCs w:val="36"/>
        </w:rPr>
      </w:pPr>
    </w:p>
    <w:p>
      <w:pPr>
        <w:rPr>
          <w:sz w:val="32"/>
          <w:szCs w:val="32"/>
        </w:rPr>
      </w:pPr>
      <w:r>
        <w:rPr>
          <w:rFonts w:hint="eastAsia" w:ascii="仿宋_GB2312" w:eastAsia="仿宋_GB2312"/>
          <w:color w:val="000000"/>
          <w:sz w:val="32"/>
          <w:szCs w:val="32"/>
        </w:rPr>
        <w:t>附件：首都</w:t>
      </w:r>
      <w:r>
        <w:rPr>
          <w:rFonts w:ascii="仿宋_GB2312" w:eastAsia="仿宋_GB2312"/>
          <w:color w:val="000000"/>
          <w:sz w:val="32"/>
          <w:szCs w:val="32"/>
        </w:rPr>
        <w:t>经济贸易大学</w:t>
      </w:r>
      <w:r>
        <w:rPr>
          <w:rFonts w:hint="eastAsia" w:ascii="仿宋_GB2312" w:eastAsia="仿宋_GB2312"/>
          <w:color w:val="000000"/>
          <w:sz w:val="32"/>
          <w:szCs w:val="32"/>
        </w:rPr>
        <w:t>2021年度单位预算报表</w:t>
      </w:r>
      <w:r>
        <w:rPr>
          <w:rFonts w:hint="eastAsia" w:ascii="仿宋_GB2312" w:eastAsia="仿宋_GB2312" w:cs="宋体"/>
          <w:color w:val="000000"/>
          <w:kern w:val="0"/>
          <w:sz w:val="32"/>
          <w:szCs w:val="32"/>
          <w:lang w:val="zh-CN"/>
        </w:rPr>
        <w:t xml:space="preserve">  </w:t>
      </w:r>
    </w:p>
    <w:sectPr>
      <w:footerReference r:id="rId3" w:type="default"/>
      <w:footerReference r:id="rId4" w:type="even"/>
      <w:pgSz w:w="11906" w:h="16838"/>
      <w:pgMar w:top="1440" w:right="164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7</w:t>
    </w:r>
    <w:r>
      <w:rPr>
        <w:rStyle w:val="7"/>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1BF"/>
    <w:rsid w:val="000004C5"/>
    <w:rsid w:val="000206C1"/>
    <w:rsid w:val="000256F7"/>
    <w:rsid w:val="00026F48"/>
    <w:rsid w:val="0005518F"/>
    <w:rsid w:val="00055E5B"/>
    <w:rsid w:val="00070D79"/>
    <w:rsid w:val="00073B4E"/>
    <w:rsid w:val="00084DA1"/>
    <w:rsid w:val="00091727"/>
    <w:rsid w:val="000A7795"/>
    <w:rsid w:val="000D1516"/>
    <w:rsid w:val="000F18AD"/>
    <w:rsid w:val="000F3436"/>
    <w:rsid w:val="000F7E4A"/>
    <w:rsid w:val="0010190A"/>
    <w:rsid w:val="00151D58"/>
    <w:rsid w:val="00154D40"/>
    <w:rsid w:val="001579A9"/>
    <w:rsid w:val="001876BC"/>
    <w:rsid w:val="00193773"/>
    <w:rsid w:val="00195D38"/>
    <w:rsid w:val="001D21B3"/>
    <w:rsid w:val="001E4222"/>
    <w:rsid w:val="001F3287"/>
    <w:rsid w:val="001F6EE6"/>
    <w:rsid w:val="00224E00"/>
    <w:rsid w:val="00227092"/>
    <w:rsid w:val="00253F38"/>
    <w:rsid w:val="00266000"/>
    <w:rsid w:val="002758DE"/>
    <w:rsid w:val="00282AAF"/>
    <w:rsid w:val="002A5FF1"/>
    <w:rsid w:val="002A7DBD"/>
    <w:rsid w:val="002B2355"/>
    <w:rsid w:val="002C2660"/>
    <w:rsid w:val="002C4A2F"/>
    <w:rsid w:val="002D5947"/>
    <w:rsid w:val="002E0785"/>
    <w:rsid w:val="00325883"/>
    <w:rsid w:val="00325885"/>
    <w:rsid w:val="00326E5D"/>
    <w:rsid w:val="003473FB"/>
    <w:rsid w:val="00351EDA"/>
    <w:rsid w:val="00370CF8"/>
    <w:rsid w:val="00390DC3"/>
    <w:rsid w:val="00394D60"/>
    <w:rsid w:val="003B0319"/>
    <w:rsid w:val="003C4877"/>
    <w:rsid w:val="003F4779"/>
    <w:rsid w:val="00403AC9"/>
    <w:rsid w:val="00411108"/>
    <w:rsid w:val="00417B81"/>
    <w:rsid w:val="004243B9"/>
    <w:rsid w:val="004408C6"/>
    <w:rsid w:val="00446C8D"/>
    <w:rsid w:val="00453D9D"/>
    <w:rsid w:val="00467440"/>
    <w:rsid w:val="00472AFA"/>
    <w:rsid w:val="004927B8"/>
    <w:rsid w:val="004B22FD"/>
    <w:rsid w:val="004E1AEE"/>
    <w:rsid w:val="004E3A66"/>
    <w:rsid w:val="004E526A"/>
    <w:rsid w:val="00513C67"/>
    <w:rsid w:val="00531692"/>
    <w:rsid w:val="00546272"/>
    <w:rsid w:val="0056151B"/>
    <w:rsid w:val="005A08A1"/>
    <w:rsid w:val="005A1B4E"/>
    <w:rsid w:val="005A3DF3"/>
    <w:rsid w:val="005A466E"/>
    <w:rsid w:val="005B0A02"/>
    <w:rsid w:val="005B4380"/>
    <w:rsid w:val="005E41E5"/>
    <w:rsid w:val="006142EC"/>
    <w:rsid w:val="006248A0"/>
    <w:rsid w:val="00633E49"/>
    <w:rsid w:val="00647CEF"/>
    <w:rsid w:val="00654415"/>
    <w:rsid w:val="00696442"/>
    <w:rsid w:val="006B0CD0"/>
    <w:rsid w:val="006D7A57"/>
    <w:rsid w:val="006E79A8"/>
    <w:rsid w:val="007005C5"/>
    <w:rsid w:val="00720E68"/>
    <w:rsid w:val="00724496"/>
    <w:rsid w:val="007246C3"/>
    <w:rsid w:val="0073571A"/>
    <w:rsid w:val="00746424"/>
    <w:rsid w:val="0075166B"/>
    <w:rsid w:val="0076000F"/>
    <w:rsid w:val="00767B25"/>
    <w:rsid w:val="0077530F"/>
    <w:rsid w:val="008067EF"/>
    <w:rsid w:val="00807720"/>
    <w:rsid w:val="00813DA0"/>
    <w:rsid w:val="008160E5"/>
    <w:rsid w:val="0082042F"/>
    <w:rsid w:val="00826F3C"/>
    <w:rsid w:val="0083160A"/>
    <w:rsid w:val="00843189"/>
    <w:rsid w:val="008473D1"/>
    <w:rsid w:val="008518CD"/>
    <w:rsid w:val="008A3896"/>
    <w:rsid w:val="008B7A3E"/>
    <w:rsid w:val="008D5D07"/>
    <w:rsid w:val="008E1CF3"/>
    <w:rsid w:val="008E62CB"/>
    <w:rsid w:val="008F643B"/>
    <w:rsid w:val="00906EF4"/>
    <w:rsid w:val="00926CD9"/>
    <w:rsid w:val="00935864"/>
    <w:rsid w:val="009E6084"/>
    <w:rsid w:val="00A079E2"/>
    <w:rsid w:val="00A21A52"/>
    <w:rsid w:val="00A52744"/>
    <w:rsid w:val="00A649C7"/>
    <w:rsid w:val="00AA4629"/>
    <w:rsid w:val="00AA78BF"/>
    <w:rsid w:val="00AC0A22"/>
    <w:rsid w:val="00AD60FB"/>
    <w:rsid w:val="00B028FE"/>
    <w:rsid w:val="00B03B64"/>
    <w:rsid w:val="00B05E6C"/>
    <w:rsid w:val="00B2011A"/>
    <w:rsid w:val="00B268A5"/>
    <w:rsid w:val="00B40DC3"/>
    <w:rsid w:val="00B4728C"/>
    <w:rsid w:val="00B47F54"/>
    <w:rsid w:val="00B62440"/>
    <w:rsid w:val="00B72B5D"/>
    <w:rsid w:val="00B7787B"/>
    <w:rsid w:val="00BA6C1E"/>
    <w:rsid w:val="00BE64FE"/>
    <w:rsid w:val="00BE73CE"/>
    <w:rsid w:val="00BF491F"/>
    <w:rsid w:val="00C019F9"/>
    <w:rsid w:val="00C0263F"/>
    <w:rsid w:val="00C03297"/>
    <w:rsid w:val="00C10047"/>
    <w:rsid w:val="00C37C5B"/>
    <w:rsid w:val="00C5109F"/>
    <w:rsid w:val="00C561B2"/>
    <w:rsid w:val="00C660B6"/>
    <w:rsid w:val="00C93F34"/>
    <w:rsid w:val="00CB3B78"/>
    <w:rsid w:val="00CC7681"/>
    <w:rsid w:val="00CD5ABD"/>
    <w:rsid w:val="00D01981"/>
    <w:rsid w:val="00D33FCD"/>
    <w:rsid w:val="00D7198C"/>
    <w:rsid w:val="00D779A7"/>
    <w:rsid w:val="00D936D3"/>
    <w:rsid w:val="00DB2E65"/>
    <w:rsid w:val="00DE21BF"/>
    <w:rsid w:val="00DF2114"/>
    <w:rsid w:val="00E326D6"/>
    <w:rsid w:val="00E35DEF"/>
    <w:rsid w:val="00E815D4"/>
    <w:rsid w:val="00E81DD9"/>
    <w:rsid w:val="00E83B68"/>
    <w:rsid w:val="00E94F95"/>
    <w:rsid w:val="00EA5828"/>
    <w:rsid w:val="00ED002A"/>
    <w:rsid w:val="00F007B3"/>
    <w:rsid w:val="00F2606D"/>
    <w:rsid w:val="00F41D64"/>
    <w:rsid w:val="00F41DCA"/>
    <w:rsid w:val="00F71B5B"/>
    <w:rsid w:val="00FA2F64"/>
    <w:rsid w:val="00FC5B17"/>
    <w:rsid w:val="00FF3D79"/>
    <w:rsid w:val="42A26234"/>
    <w:rsid w:val="4D363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页脚 字符"/>
    <w:basedOn w:val="6"/>
    <w:semiHidden/>
    <w:qFormat/>
    <w:uiPriority w:val="99"/>
    <w:rPr>
      <w:rFonts w:ascii="Times New Roman" w:hAnsi="Times New Roman" w:eastAsia="宋体" w:cs="Times New Roman"/>
      <w:sz w:val="18"/>
      <w:szCs w:val="18"/>
    </w:rPr>
  </w:style>
  <w:style w:type="character" w:customStyle="1" w:styleId="9">
    <w:name w:val="页脚 字符1"/>
    <w:link w:val="3"/>
    <w:qFormat/>
    <w:uiPriority w:val="0"/>
    <w:rPr>
      <w:rFonts w:ascii="Times New Roman" w:hAnsi="Times New Roman" w:eastAsia="宋体" w:cs="Times New Roman"/>
      <w:sz w:val="18"/>
      <w:szCs w:val="18"/>
    </w:rPr>
  </w:style>
  <w:style w:type="character" w:customStyle="1" w:styleId="10">
    <w:name w:val="批注框文本 字符"/>
    <w:basedOn w:val="6"/>
    <w:link w:val="2"/>
    <w:semiHidden/>
    <w:qFormat/>
    <w:uiPriority w:val="99"/>
    <w:rPr>
      <w:rFonts w:ascii="Times New Roman" w:hAnsi="Times New Roman" w:eastAsia="宋体" w:cs="Times New Roman"/>
      <w:sz w:val="18"/>
      <w:szCs w:val="18"/>
    </w:rPr>
  </w:style>
  <w:style w:type="character" w:customStyle="1" w:styleId="11">
    <w:name w:val="页眉 字符"/>
    <w:basedOn w:val="6"/>
    <w:link w:val="4"/>
    <w:qFormat/>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417</Words>
  <Characters>2381</Characters>
  <Lines>19</Lines>
  <Paragraphs>5</Paragraphs>
  <TotalTime>541</TotalTime>
  <ScaleCrop>false</ScaleCrop>
  <LinksUpToDate>false</LinksUpToDate>
  <CharactersWithSpaces>2793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2020-12-03T03:02:00Z</dcterms:created>
  <dc:creator>xinnanyi@126.com</dc:creator>
  <cp:lastModifiedBy>POIROT</cp:lastModifiedBy>
  <cp:lastPrinted>2020-12-03T09:14:00Z</cp:lastPrinted>
  <dcterms:modified xsi:type="dcterms:W3CDTF">2021-03-19T01:45:30Z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