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北京工业大学202</w:t>
      </w:r>
      <w:r>
        <w:rPr>
          <w:rFonts w:ascii="方正小标宋简体" w:eastAsia="方正小标宋简体"/>
          <w:color w:val="000000"/>
          <w:sz w:val="36"/>
          <w:szCs w:val="36"/>
        </w:rPr>
        <w:t>1</w:t>
      </w:r>
      <w:r>
        <w:rPr>
          <w:rFonts w:hint="eastAsia" w:ascii="方正小标宋简体" w:eastAsia="方正小标宋简体"/>
          <w:color w:val="000000"/>
          <w:sz w:val="36"/>
          <w:szCs w:val="36"/>
        </w:rPr>
        <w:t>年财政预算信息</w:t>
      </w:r>
    </w:p>
    <w:p>
      <w:pPr>
        <w:spacing w:line="240" w:lineRule="exact"/>
        <w:jc w:val="center"/>
        <w:rPr>
          <w:rFonts w:ascii="方正小标宋简体" w:eastAsia="方正小标宋简体"/>
          <w:color w:val="000000"/>
          <w:sz w:val="32"/>
          <w:szCs w:val="32"/>
        </w:rPr>
      </w:pP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240" w:lineRule="exact"/>
        <w:jc w:val="center"/>
        <w:rPr>
          <w:rFonts w:ascii="方正小标宋简体" w:eastAsia="方正小标宋简体"/>
          <w:color w:val="000000"/>
          <w:sz w:val="32"/>
          <w:szCs w:val="32"/>
        </w:rPr>
      </w:pP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第一部分 202</w:t>
      </w:r>
      <w:r>
        <w:rPr>
          <w:rFonts w:ascii="仿宋_GB2312" w:eastAsia="仿宋_GB2312"/>
          <w:color w:val="000000"/>
          <w:sz w:val="32"/>
          <w:szCs w:val="32"/>
        </w:rPr>
        <w:t>1</w:t>
      </w:r>
      <w:r>
        <w:rPr>
          <w:rFonts w:hint="eastAsia" w:ascii="仿宋_GB2312" w:eastAsia="仿宋_GB2312"/>
          <w:color w:val="000000"/>
          <w:sz w:val="32"/>
          <w:szCs w:val="32"/>
        </w:rPr>
        <w:t>年度单位预算情况说明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二、202</w:t>
      </w:r>
      <w:r>
        <w:rPr>
          <w:rFonts w:ascii="仿宋_GB2312" w:eastAsia="仿宋_GB2312"/>
          <w:color w:val="000000"/>
          <w:sz w:val="32"/>
          <w:szCs w:val="32"/>
        </w:rPr>
        <w:t>1</w:t>
      </w:r>
      <w:r>
        <w:rPr>
          <w:rFonts w:hint="eastAsia" w:ascii="仿宋_GB2312" w:eastAsia="仿宋_GB2312"/>
          <w:color w:val="000000"/>
          <w:sz w:val="32"/>
          <w:szCs w:val="32"/>
        </w:rPr>
        <w:t>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五、其他情况说明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六、名词解释</w:t>
      </w:r>
    </w:p>
    <w:p>
      <w:pPr>
        <w:spacing w:line="560" w:lineRule="exact"/>
        <w:rPr>
          <w:rFonts w:ascii="仿宋_GB2312" w:eastAsia="仿宋_GB2312"/>
          <w:color w:val="000000"/>
          <w:sz w:val="32"/>
          <w:szCs w:val="32"/>
        </w:rPr>
      </w:pPr>
      <w:r>
        <w:rPr>
          <w:rFonts w:hint="eastAsia" w:ascii="仿宋_GB2312" w:eastAsia="仿宋_GB2312"/>
          <w:color w:val="000000"/>
          <w:sz w:val="32"/>
          <w:szCs w:val="32"/>
        </w:rPr>
        <w:t>第二部分 202</w:t>
      </w:r>
      <w:r>
        <w:rPr>
          <w:rFonts w:ascii="仿宋_GB2312" w:eastAsia="仿宋_GB2312"/>
          <w:color w:val="000000"/>
          <w:sz w:val="32"/>
          <w:szCs w:val="32"/>
        </w:rPr>
        <w:t>1</w:t>
      </w:r>
      <w:r>
        <w:rPr>
          <w:rFonts w:hint="eastAsia" w:ascii="仿宋_GB2312" w:eastAsia="仿宋_GB2312"/>
          <w:color w:val="000000"/>
          <w:sz w:val="32"/>
          <w:szCs w:val="32"/>
        </w:rPr>
        <w:t>年度单位预算报表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一、收支总表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二、收入总表    </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三、支出总表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四、政府采购预算明细表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五、财政拨款收支总表</w:t>
      </w:r>
    </w:p>
    <w:p>
      <w:pPr>
        <w:autoSpaceDE w:val="0"/>
        <w:autoSpaceDN w:val="0"/>
        <w:adjustRightInd w:val="0"/>
        <w:spacing w:line="560" w:lineRule="exact"/>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 xml:space="preserve">    六、一般公共预算财政拨款支出表</w:t>
      </w:r>
    </w:p>
    <w:p>
      <w:pPr>
        <w:autoSpaceDE w:val="0"/>
        <w:autoSpaceDN w:val="0"/>
        <w:adjustRightInd w:val="0"/>
        <w:spacing w:line="560" w:lineRule="exact"/>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 xml:space="preserve">    </w:t>
      </w:r>
      <w:r>
        <w:rPr>
          <w:rFonts w:hint="eastAsia" w:ascii="仿宋_GB2312" w:eastAsia="仿宋_GB2312" w:cs="宋体"/>
          <w:color w:val="000000"/>
          <w:spacing w:val="-16"/>
          <w:kern w:val="0"/>
          <w:sz w:val="32"/>
          <w:szCs w:val="32"/>
          <w:lang w:val="zh-CN"/>
        </w:rPr>
        <w:t>七、一般公共预算财政拨款基本支出表</w:t>
      </w:r>
    </w:p>
    <w:p>
      <w:pPr>
        <w:autoSpaceDE w:val="0"/>
        <w:autoSpaceDN w:val="0"/>
        <w:adjustRightInd w:val="0"/>
        <w:spacing w:line="560" w:lineRule="exact"/>
        <w:ind w:firstLine="720" w:firstLineChars="250"/>
        <w:jc w:val="left"/>
        <w:rPr>
          <w:rFonts w:ascii="仿宋_GB2312" w:eastAsia="仿宋_GB2312" w:cs="宋体"/>
          <w:color w:val="000000"/>
          <w:spacing w:val="-16"/>
          <w:kern w:val="0"/>
          <w:sz w:val="32"/>
          <w:szCs w:val="32"/>
          <w:lang w:val="zh-CN"/>
        </w:rPr>
      </w:pPr>
      <w:r>
        <w:rPr>
          <w:rFonts w:hint="eastAsia" w:ascii="仿宋_GB2312" w:eastAsia="仿宋_GB2312" w:cs="宋体"/>
          <w:color w:val="000000"/>
          <w:spacing w:val="-16"/>
          <w:kern w:val="0"/>
          <w:sz w:val="32"/>
          <w:szCs w:val="32"/>
          <w:lang w:val="zh-CN"/>
        </w:rPr>
        <w:t>八、一般公共预算财政拨款项目支出表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kern w:val="0"/>
          <w:sz w:val="32"/>
          <w:szCs w:val="32"/>
          <w:lang w:val="zh-CN"/>
        </w:rPr>
        <w:t>九、政府性基金预算财政拨款支出表</w:t>
      </w:r>
    </w:p>
    <w:p>
      <w:pPr>
        <w:autoSpaceDE w:val="0"/>
        <w:autoSpaceDN w:val="0"/>
        <w:adjustRightInd w:val="0"/>
        <w:spacing w:line="560" w:lineRule="exact"/>
        <w:ind w:firstLine="640" w:firstLineChars="200"/>
        <w:jc w:val="left"/>
        <w:rPr>
          <w:rFonts w:ascii="仿宋_GB2312" w:eastAsia="仿宋_GB2312" w:cs="宋体"/>
          <w:color w:val="000000"/>
          <w:spacing w:val="-16"/>
          <w:kern w:val="0"/>
          <w:sz w:val="32"/>
          <w:szCs w:val="32"/>
          <w:lang w:val="zh-CN"/>
        </w:rPr>
      </w:pPr>
      <w:r>
        <w:rPr>
          <w:rFonts w:hint="eastAsia" w:ascii="仿宋_GB2312" w:eastAsia="仿宋_GB2312" w:cs="宋体"/>
          <w:color w:val="000000"/>
          <w:kern w:val="0"/>
          <w:sz w:val="32"/>
          <w:szCs w:val="32"/>
          <w:lang w:val="zh-CN"/>
        </w:rPr>
        <w:t>十、国有资本经营预算财政拨款支出表</w:t>
      </w:r>
    </w:p>
    <w:p>
      <w:pPr>
        <w:autoSpaceDE w:val="0"/>
        <w:autoSpaceDN w:val="0"/>
        <w:adjustRightInd w:val="0"/>
        <w:spacing w:line="560" w:lineRule="exact"/>
        <w:ind w:firstLine="576" w:firstLineChars="200"/>
        <w:jc w:val="left"/>
        <w:rPr>
          <w:rFonts w:ascii="仿宋_GB2312" w:eastAsia="仿宋_GB2312" w:cs="宋体"/>
          <w:color w:val="000000"/>
          <w:kern w:val="0"/>
          <w:sz w:val="32"/>
          <w:szCs w:val="32"/>
          <w:lang w:val="zh-CN"/>
        </w:rPr>
      </w:pPr>
      <w:r>
        <w:rPr>
          <w:rFonts w:hint="eastAsia" w:ascii="仿宋_GB2312" w:eastAsia="仿宋_GB2312" w:cs="宋体"/>
          <w:color w:val="000000"/>
          <w:spacing w:val="-16"/>
          <w:kern w:val="0"/>
          <w:sz w:val="32"/>
          <w:szCs w:val="32"/>
          <w:lang w:val="zh-CN"/>
        </w:rPr>
        <w:t>十一、财政拨款（含一般公共预算和政府性基金预算）</w:t>
      </w:r>
      <w:r>
        <w:rPr>
          <w:rFonts w:hint="eastAsia" w:ascii="仿宋_GB2312" w:eastAsia="仿宋_GB2312" w:cs="宋体"/>
          <w:color w:val="000000"/>
          <w:kern w:val="0"/>
          <w:sz w:val="32"/>
          <w:szCs w:val="32"/>
          <w:lang w:val="zh-CN"/>
        </w:rPr>
        <w:t>“三公”经费支出表</w:t>
      </w:r>
    </w:p>
    <w:p>
      <w:pPr>
        <w:autoSpaceDE w:val="0"/>
        <w:autoSpaceDN w:val="0"/>
        <w:adjustRightInd w:val="0"/>
        <w:spacing w:line="560" w:lineRule="exact"/>
        <w:ind w:firstLine="568" w:firstLineChars="200"/>
        <w:jc w:val="left"/>
        <w:rPr>
          <w:rFonts w:ascii="仿宋_GB2312" w:eastAsia="仿宋_GB2312" w:cs="宋体"/>
          <w:color w:val="000000"/>
          <w:spacing w:val="-18"/>
          <w:kern w:val="0"/>
          <w:sz w:val="32"/>
          <w:szCs w:val="32"/>
          <w:lang w:val="zh-CN"/>
        </w:rPr>
      </w:pPr>
      <w:r>
        <w:rPr>
          <w:rFonts w:hint="eastAsia" w:ascii="仿宋_GB2312" w:eastAsia="仿宋_GB2312" w:cs="宋体"/>
          <w:color w:val="000000"/>
          <w:spacing w:val="-18"/>
          <w:kern w:val="0"/>
          <w:sz w:val="32"/>
          <w:szCs w:val="32"/>
          <w:lang w:val="zh-CN"/>
        </w:rPr>
        <w:t>十二、政府购买服务预算财政拨款明细表</w:t>
      </w:r>
    </w:p>
    <w:p>
      <w:pPr>
        <w:autoSpaceDE w:val="0"/>
        <w:autoSpaceDN w:val="0"/>
        <w:adjustRightInd w:val="0"/>
        <w:spacing w:line="560" w:lineRule="exact"/>
        <w:ind w:firstLine="640" w:firstLineChars="200"/>
        <w:jc w:val="left"/>
        <w:rPr>
          <w:rFonts w:ascii="仿宋_GB2312" w:eastAsia="仿宋_GB2312" w:cs="宋体"/>
          <w:color w:val="000000"/>
          <w:kern w:val="0"/>
          <w:sz w:val="32"/>
          <w:szCs w:val="32"/>
          <w:lang w:val="zh-CN"/>
        </w:rPr>
        <w:sectPr>
          <w:footerReference r:id="rId3" w:type="default"/>
          <w:footerReference r:id="rId4" w:type="even"/>
          <w:pgSz w:w="11906" w:h="16838"/>
          <w:pgMar w:top="1911" w:right="1474" w:bottom="1882" w:left="1588" w:header="851" w:footer="1531" w:gutter="0"/>
          <w:pgNumType w:fmt="numberInDash"/>
          <w:cols w:space="720" w:num="1"/>
          <w:docGrid w:type="lines" w:linePitch="312" w:charSpace="0"/>
        </w:sectPr>
      </w:pPr>
      <w:r>
        <w:rPr>
          <w:rFonts w:hint="eastAsia" w:ascii="仿宋_GB2312" w:eastAsia="仿宋_GB2312" w:cs="宋体"/>
          <w:color w:val="000000"/>
          <w:kern w:val="0"/>
          <w:sz w:val="32"/>
          <w:szCs w:val="32"/>
          <w:lang w:val="zh-CN"/>
        </w:rPr>
        <w:t>十三、项目支出绩效目标申报表</w:t>
      </w:r>
    </w:p>
    <w:p>
      <w:pPr>
        <w:spacing w:line="56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2021年北京工业大学预算情况说明</w:t>
      </w:r>
    </w:p>
    <w:p>
      <w:pPr>
        <w:spacing w:line="360" w:lineRule="auto"/>
        <w:rPr>
          <w:rFonts w:ascii="仿宋_GB2312" w:eastAsia="仿宋_GB2312"/>
          <w:color w:val="000000"/>
          <w:sz w:val="32"/>
          <w:szCs w:val="32"/>
        </w:rPr>
      </w:pP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一、单位基本情况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（一）本单位职责</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培养高等学历人才，促进科技文化发展。培养机械工程、材料科学与工程、信息科学与技术、计算机科学与技术、土建与交通工程、环境科学与工程、光学工程、管理科学与工程等学科专科、本科、硕士、博士研究生学历教育人才及进行相关非学历教育培训等。</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（二）机构设置情况</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二级教学科研机构：材料与制造学部、信息学部、城市建设学部、环境与生命学部、理学部、经济与管理学院、文法学部、马克思主义学院、艺术设计学院、国际学院、北京-都柏林国际学院等。</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二级非教学科研机构：党委办公室，校长办公室，党委组织部，党委统战部，党委教师工作部，党委学生工作部、学生处，党委研究生工作部，改革与发展规划处、一流学科建设办公室，人事处，教务处、招生办公室，研究生院等。</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（三）单位性质</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北京工业大学为公益二类事业单位。</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（四）人员构成情况</w:t>
      </w:r>
    </w:p>
    <w:p>
      <w:pPr>
        <w:spacing w:line="560" w:lineRule="exact"/>
        <w:ind w:firstLine="739" w:firstLineChars="231"/>
        <w:rPr>
          <w:rFonts w:ascii="仿宋_GB2312" w:eastAsia="仿宋_GB2312"/>
          <w:color w:val="000000"/>
          <w:sz w:val="32"/>
          <w:szCs w:val="32"/>
        </w:rPr>
      </w:pPr>
      <w:r>
        <w:rPr>
          <w:rFonts w:hint="eastAsia" w:ascii="仿宋_GB2312" w:eastAsia="仿宋_GB2312"/>
          <w:color w:val="000000"/>
          <w:sz w:val="32"/>
          <w:szCs w:val="32"/>
        </w:rPr>
        <w:t>北京工业大学事业编制内实际人数</w:t>
      </w:r>
      <w:r>
        <w:rPr>
          <w:rFonts w:ascii="仿宋_GB2312" w:eastAsia="仿宋_GB2312"/>
          <w:color w:val="000000"/>
          <w:sz w:val="32"/>
          <w:szCs w:val="32"/>
        </w:rPr>
        <w:t>3183</w:t>
      </w:r>
      <w:r>
        <w:rPr>
          <w:rFonts w:hint="eastAsia" w:ascii="仿宋_GB2312" w:eastAsia="仿宋_GB2312"/>
          <w:color w:val="000000"/>
          <w:sz w:val="32"/>
          <w:szCs w:val="32"/>
        </w:rPr>
        <w:t>人，离休</w:t>
      </w:r>
      <w:r>
        <w:rPr>
          <w:rFonts w:ascii="仿宋_GB2312" w:eastAsia="仿宋_GB2312"/>
          <w:color w:val="000000"/>
          <w:sz w:val="32"/>
          <w:szCs w:val="32"/>
        </w:rPr>
        <w:t>56</w:t>
      </w:r>
      <w:r>
        <w:rPr>
          <w:rFonts w:hint="eastAsia" w:ascii="仿宋_GB2312" w:eastAsia="仿宋_GB2312"/>
          <w:color w:val="000000"/>
          <w:sz w:val="32"/>
          <w:szCs w:val="32"/>
        </w:rPr>
        <w:t>人，退休</w:t>
      </w:r>
      <w:r>
        <w:rPr>
          <w:rFonts w:ascii="仿宋_GB2312" w:eastAsia="仿宋_GB2312"/>
          <w:color w:val="000000"/>
          <w:sz w:val="32"/>
          <w:szCs w:val="32"/>
        </w:rPr>
        <w:t>2922</w:t>
      </w:r>
      <w:r>
        <w:rPr>
          <w:rFonts w:hint="eastAsia" w:ascii="仿宋_GB2312" w:eastAsia="仿宋_GB2312"/>
          <w:color w:val="000000"/>
          <w:sz w:val="32"/>
          <w:szCs w:val="32"/>
        </w:rPr>
        <w:t>人，学生人数</w:t>
      </w:r>
      <w:r>
        <w:rPr>
          <w:rFonts w:ascii="仿宋_GB2312" w:eastAsia="仿宋_GB2312"/>
          <w:color w:val="000000"/>
          <w:sz w:val="32"/>
          <w:szCs w:val="32"/>
        </w:rPr>
        <w:t>23743</w:t>
      </w:r>
      <w:r>
        <w:rPr>
          <w:rFonts w:hint="eastAsia" w:ascii="仿宋_GB2312" w:eastAsia="仿宋_GB2312"/>
          <w:color w:val="000000"/>
          <w:sz w:val="32"/>
          <w:szCs w:val="32"/>
        </w:rPr>
        <w:t>人（包括博士研究生、硕士研究生、本科生等）。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二、2021年收入及支出总体情况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（一）收入预算说明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2021年收入预算</w:t>
      </w:r>
      <w:r>
        <w:rPr>
          <w:rFonts w:ascii="仿宋_GB2312" w:eastAsia="仿宋_GB2312"/>
          <w:color w:val="000000"/>
          <w:sz w:val="32"/>
          <w:szCs w:val="32"/>
        </w:rPr>
        <w:t>290682.75</w:t>
      </w:r>
      <w:r>
        <w:rPr>
          <w:rFonts w:hint="eastAsia" w:ascii="仿宋_GB2312" w:eastAsia="仿宋_GB2312"/>
          <w:color w:val="000000"/>
          <w:sz w:val="32"/>
          <w:szCs w:val="32"/>
        </w:rPr>
        <w:t>万元，比2020年321731.86万元减少</w:t>
      </w:r>
      <w:r>
        <w:rPr>
          <w:rFonts w:ascii="仿宋_GB2312" w:eastAsia="仿宋_GB2312"/>
          <w:color w:val="000000"/>
          <w:sz w:val="32"/>
          <w:szCs w:val="32"/>
        </w:rPr>
        <w:t>31049.11</w:t>
      </w:r>
      <w:r>
        <w:rPr>
          <w:rFonts w:hint="eastAsia" w:ascii="仿宋_GB2312" w:eastAsia="仿宋_GB2312"/>
          <w:color w:val="000000"/>
          <w:sz w:val="32"/>
          <w:szCs w:val="32"/>
        </w:rPr>
        <w:t>万元。其中：</w:t>
      </w:r>
    </w:p>
    <w:p>
      <w:pPr>
        <w:spacing w:line="560" w:lineRule="exact"/>
        <w:ind w:firstLine="640" w:firstLineChars="200"/>
        <w:rPr>
          <w:rFonts w:ascii="仿宋_GB2312" w:eastAsia="仿宋_GB2312"/>
          <w:color w:val="000000"/>
          <w:sz w:val="32"/>
          <w:szCs w:val="32"/>
        </w:rPr>
      </w:pPr>
      <w:bookmarkStart w:id="0" w:name="_Hlk65833945"/>
      <w:r>
        <w:rPr>
          <w:rFonts w:hint="eastAsia" w:ascii="仿宋_GB2312" w:eastAsia="仿宋_GB2312"/>
          <w:color w:val="000000"/>
          <w:sz w:val="32"/>
          <w:szCs w:val="32"/>
        </w:rPr>
        <w:t>财政拨款1</w:t>
      </w:r>
      <w:r>
        <w:rPr>
          <w:rFonts w:ascii="仿宋_GB2312" w:eastAsia="仿宋_GB2312"/>
          <w:color w:val="000000"/>
          <w:sz w:val="32"/>
          <w:szCs w:val="32"/>
        </w:rPr>
        <w:t>90746.81</w:t>
      </w:r>
      <w:r>
        <w:rPr>
          <w:rFonts w:hint="eastAsia" w:ascii="仿宋_GB2312" w:eastAsia="仿宋_GB2312"/>
          <w:color w:val="000000"/>
          <w:sz w:val="32"/>
          <w:szCs w:val="32"/>
        </w:rPr>
        <w:t>万元,比2020年174406.44万元增加</w:t>
      </w:r>
      <w:r>
        <w:rPr>
          <w:rFonts w:ascii="仿宋_GB2312" w:eastAsia="仿宋_GB2312"/>
          <w:color w:val="000000"/>
          <w:sz w:val="32"/>
          <w:szCs w:val="32"/>
        </w:rPr>
        <w:t>16340.37</w:t>
      </w:r>
      <w:r>
        <w:rPr>
          <w:rFonts w:hint="eastAsia" w:ascii="仿宋_GB2312" w:eastAsia="仿宋_GB2312"/>
          <w:color w:val="000000"/>
          <w:sz w:val="32"/>
          <w:szCs w:val="32"/>
        </w:rPr>
        <w:t>万元，主要原因</w:t>
      </w:r>
      <w:bookmarkEnd w:id="0"/>
      <w:bookmarkStart w:id="1" w:name="_Hlk65834178"/>
      <w:r>
        <w:rPr>
          <w:rFonts w:hint="eastAsia" w:ascii="仿宋_GB2312" w:eastAsia="仿宋_GB2312"/>
          <w:color w:val="000000"/>
          <w:sz w:val="32"/>
          <w:szCs w:val="32"/>
        </w:rPr>
        <w:t>一是由于落实人员正常调资和增加离休费等有关政策，人员经费预算有所增加；二是根据事业发展规划，调整项目</w:t>
      </w:r>
      <w:r>
        <w:rPr>
          <w:rFonts w:hint="eastAsia" w:ascii="仿宋_GB2312" w:eastAsia="仿宋_GB2312"/>
          <w:color w:val="000000"/>
          <w:sz w:val="32"/>
          <w:szCs w:val="32"/>
          <w:lang w:val="en-US" w:eastAsia="zh-CN"/>
        </w:rPr>
        <w:t>安排</w:t>
      </w:r>
      <w:bookmarkStart w:id="3" w:name="_GoBack"/>
      <w:bookmarkEnd w:id="3"/>
      <w:r>
        <w:rPr>
          <w:rFonts w:hint="eastAsia" w:ascii="仿宋_GB2312" w:eastAsia="仿宋_GB2312"/>
          <w:color w:val="000000"/>
          <w:sz w:val="32"/>
          <w:szCs w:val="32"/>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统筹使用结余资金安排预算86.92万元,比2020年47992.96万元减少47906.04万元，主要原因是我校2020年</w:t>
      </w:r>
      <w:r>
        <w:rPr>
          <w:rFonts w:ascii="仿宋_GB2312" w:eastAsia="仿宋_GB2312"/>
          <w:color w:val="000000"/>
          <w:sz w:val="32"/>
          <w:szCs w:val="32"/>
        </w:rPr>
        <w:t>使用结余资金安排了历年垫付的建设项目款</w:t>
      </w:r>
      <w:r>
        <w:rPr>
          <w:rFonts w:hint="eastAsia" w:ascii="仿宋_GB2312" w:eastAsia="仿宋_GB2312"/>
          <w:color w:val="000000"/>
          <w:sz w:val="32"/>
          <w:szCs w:val="32"/>
        </w:rPr>
        <w:t>。</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其他资金99849.02万元,比2020年99332.47万元增加516.5</w:t>
      </w:r>
      <w:r>
        <w:rPr>
          <w:rFonts w:ascii="仿宋_GB2312" w:eastAsia="仿宋_GB2312"/>
          <w:color w:val="000000"/>
          <w:sz w:val="32"/>
          <w:szCs w:val="32"/>
        </w:rPr>
        <w:t>5</w:t>
      </w:r>
      <w:r>
        <w:rPr>
          <w:rFonts w:hint="eastAsia" w:ascii="仿宋_GB2312" w:eastAsia="仿宋_GB2312"/>
          <w:color w:val="000000"/>
          <w:sz w:val="32"/>
          <w:szCs w:val="32"/>
        </w:rPr>
        <w:t>万元，主要原因是2020年</w:t>
      </w:r>
      <w:r>
        <w:rPr>
          <w:rFonts w:ascii="仿宋_GB2312" w:eastAsia="仿宋_GB2312"/>
          <w:color w:val="000000"/>
          <w:sz w:val="32"/>
          <w:szCs w:val="32"/>
        </w:rPr>
        <w:t>部分</w:t>
      </w:r>
      <w:r>
        <w:rPr>
          <w:rFonts w:hint="eastAsia" w:ascii="仿宋_GB2312" w:eastAsia="仿宋_GB2312"/>
          <w:color w:val="000000"/>
          <w:sz w:val="32"/>
          <w:szCs w:val="32"/>
        </w:rPr>
        <w:t>追加</w:t>
      </w:r>
      <w:r>
        <w:rPr>
          <w:rFonts w:ascii="仿宋_GB2312" w:eastAsia="仿宋_GB2312"/>
          <w:color w:val="000000"/>
          <w:sz w:val="32"/>
          <w:szCs w:val="32"/>
        </w:rPr>
        <w:t>项目经费在本年度</w:t>
      </w:r>
      <w:r>
        <w:rPr>
          <w:rFonts w:hint="eastAsia" w:ascii="仿宋_GB2312" w:eastAsia="仿宋_GB2312"/>
          <w:color w:val="000000"/>
          <w:sz w:val="32"/>
          <w:szCs w:val="32"/>
        </w:rPr>
        <w:t>继续使用的财政性结转资金。</w:t>
      </w:r>
    </w:p>
    <w:bookmarkEnd w:id="1"/>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（二）支出预算说明</w:t>
      </w:r>
    </w:p>
    <w:p>
      <w:pPr>
        <w:spacing w:line="60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2021年支出预算2</w:t>
      </w:r>
      <w:r>
        <w:rPr>
          <w:rFonts w:ascii="仿宋_GB2312" w:eastAsia="仿宋_GB2312"/>
          <w:color w:val="000000"/>
          <w:sz w:val="32"/>
          <w:szCs w:val="32"/>
        </w:rPr>
        <w:t>90682.75</w:t>
      </w:r>
      <w:r>
        <w:rPr>
          <w:rFonts w:hint="eastAsia" w:ascii="仿宋_GB2312" w:eastAsia="仿宋_GB2312"/>
          <w:color w:val="000000"/>
          <w:sz w:val="32"/>
          <w:szCs w:val="32"/>
        </w:rPr>
        <w:t>万元，比2020年321731.86万元减少</w:t>
      </w:r>
      <w:r>
        <w:rPr>
          <w:rFonts w:ascii="仿宋_GB2312" w:eastAsia="仿宋_GB2312"/>
          <w:color w:val="000000"/>
          <w:sz w:val="32"/>
          <w:szCs w:val="32"/>
        </w:rPr>
        <w:t>31049.11</w:t>
      </w:r>
      <w:r>
        <w:rPr>
          <w:rFonts w:hint="eastAsia" w:ascii="仿宋_GB2312" w:eastAsia="仿宋_GB2312"/>
          <w:color w:val="000000"/>
          <w:sz w:val="32"/>
          <w:szCs w:val="32"/>
        </w:rPr>
        <w:t>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基本支出预算255270.84万元，比2020年298183.27万元减少42912.43万元，主要原因是2021年统筹使用结余资金安排预算减少47906.04万元。</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项目支出预算</w:t>
      </w:r>
      <w:r>
        <w:rPr>
          <w:rFonts w:ascii="仿宋_GB2312" w:eastAsia="仿宋_GB2312"/>
          <w:color w:val="000000"/>
          <w:sz w:val="32"/>
          <w:szCs w:val="32"/>
        </w:rPr>
        <w:t>31095.57</w:t>
      </w:r>
      <w:r>
        <w:rPr>
          <w:rFonts w:hint="eastAsia" w:ascii="仿宋_GB2312" w:eastAsia="仿宋_GB2312"/>
          <w:color w:val="000000"/>
          <w:sz w:val="32"/>
          <w:szCs w:val="32"/>
        </w:rPr>
        <w:t>万元，比2020年18304.74万元增加</w:t>
      </w:r>
      <w:r>
        <w:rPr>
          <w:rFonts w:ascii="仿宋_GB2312" w:eastAsia="仿宋_GB2312"/>
          <w:color w:val="000000"/>
          <w:sz w:val="32"/>
          <w:szCs w:val="32"/>
        </w:rPr>
        <w:t>12790.83</w:t>
      </w:r>
      <w:r>
        <w:rPr>
          <w:rFonts w:hint="eastAsia" w:ascii="仿宋_GB2312" w:eastAsia="仿宋_GB2312"/>
          <w:color w:val="000000"/>
          <w:sz w:val="32"/>
          <w:szCs w:val="32"/>
        </w:rPr>
        <w:t>万元，主要原因是2020年部分项目经费结转本年度继续使用。</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事业单位经营支出4316.34万元，比2020年5243.85万元减少927.51万元，主要原因是受疫情影响经营收入预期减少。</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三、主要支出情况</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按照支出内容，项目支出主要用于我校</w:t>
      </w:r>
      <w:r>
        <w:rPr>
          <w:rFonts w:ascii="仿宋_GB2312" w:eastAsia="仿宋_GB2312"/>
          <w:color w:val="000000"/>
          <w:sz w:val="32"/>
          <w:szCs w:val="32"/>
        </w:rPr>
        <w:t>双一流建设</w:t>
      </w:r>
      <w:r>
        <w:rPr>
          <w:rFonts w:hint="eastAsia" w:ascii="仿宋_GB2312" w:eastAsia="仿宋_GB2312"/>
          <w:color w:val="000000"/>
          <w:sz w:val="32"/>
          <w:szCs w:val="32"/>
        </w:rPr>
        <w:t>、人才培养质量建设、科技创新服务能力建设、教师</w:t>
      </w:r>
      <w:r>
        <w:rPr>
          <w:rFonts w:ascii="仿宋_GB2312" w:eastAsia="仿宋_GB2312"/>
          <w:color w:val="000000"/>
          <w:sz w:val="32"/>
          <w:szCs w:val="32"/>
        </w:rPr>
        <w:t>队伍建设</w:t>
      </w:r>
      <w:r>
        <w:rPr>
          <w:rFonts w:hint="eastAsia" w:ascii="仿宋_GB2312" w:eastAsia="仿宋_GB2312"/>
          <w:color w:val="000000"/>
          <w:sz w:val="32"/>
          <w:szCs w:val="32"/>
        </w:rPr>
        <w:t>、抗震</w:t>
      </w:r>
      <w:r>
        <w:rPr>
          <w:rFonts w:ascii="仿宋_GB2312" w:eastAsia="仿宋_GB2312"/>
          <w:color w:val="000000"/>
          <w:sz w:val="32"/>
          <w:szCs w:val="32"/>
        </w:rPr>
        <w:t>加固</w:t>
      </w:r>
      <w:r>
        <w:rPr>
          <w:rFonts w:hint="eastAsia" w:ascii="仿宋_GB2312" w:eastAsia="仿宋_GB2312"/>
          <w:color w:val="000000"/>
          <w:sz w:val="32"/>
          <w:szCs w:val="32"/>
        </w:rPr>
        <w:t>、学生资助、国际合作与交流等。</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四、单位“三公”经费财政拨款预算说明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2021年“三公”经费财政拨款预算</w:t>
      </w:r>
      <w:r>
        <w:rPr>
          <w:rFonts w:ascii="仿宋_GB2312" w:eastAsia="仿宋_GB2312"/>
          <w:color w:val="000000"/>
          <w:sz w:val="32"/>
          <w:szCs w:val="32"/>
        </w:rPr>
        <w:t>69.71</w:t>
      </w:r>
      <w:r>
        <w:rPr>
          <w:rFonts w:hint="eastAsia" w:ascii="仿宋_GB2312" w:eastAsia="仿宋_GB2312"/>
          <w:color w:val="000000"/>
          <w:sz w:val="32"/>
          <w:szCs w:val="32"/>
        </w:rPr>
        <w:t>万元。其中：</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1.因公出国（境）费用。2021年预算数</w:t>
      </w:r>
      <w:r>
        <w:rPr>
          <w:rFonts w:ascii="仿宋_GB2312" w:eastAsia="仿宋_GB2312"/>
          <w:color w:val="000000"/>
          <w:sz w:val="32"/>
          <w:szCs w:val="32"/>
        </w:rPr>
        <w:t>30.00</w:t>
      </w:r>
      <w:r>
        <w:rPr>
          <w:rFonts w:hint="eastAsia" w:ascii="仿宋_GB2312" w:eastAsia="仿宋_GB2312"/>
          <w:color w:val="000000"/>
          <w:sz w:val="32"/>
          <w:szCs w:val="32"/>
        </w:rPr>
        <w:t>万元，主要用于参加国际会议、进行校际间交流等方面。</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2.公务用车购置和运行维护费。2021年预算数</w:t>
      </w:r>
      <w:r>
        <w:rPr>
          <w:rFonts w:ascii="仿宋_GB2312" w:eastAsia="仿宋_GB2312"/>
          <w:color w:val="000000"/>
          <w:sz w:val="32"/>
          <w:szCs w:val="32"/>
        </w:rPr>
        <w:t>39.71</w:t>
      </w:r>
      <w:r>
        <w:rPr>
          <w:rFonts w:hint="eastAsia" w:ascii="仿宋_GB2312" w:eastAsia="仿宋_GB2312"/>
          <w:color w:val="000000"/>
          <w:sz w:val="32"/>
          <w:szCs w:val="32"/>
        </w:rPr>
        <w:t>万元，其中，公务用车购置费2021年预算数</w:t>
      </w:r>
      <w:r>
        <w:rPr>
          <w:rFonts w:ascii="仿宋_GB2312" w:eastAsia="仿宋_GB2312"/>
          <w:color w:val="000000"/>
          <w:sz w:val="32"/>
          <w:szCs w:val="32"/>
        </w:rPr>
        <w:t>16.71</w:t>
      </w:r>
      <w:r>
        <w:rPr>
          <w:rFonts w:hint="eastAsia" w:ascii="仿宋_GB2312" w:eastAsia="仿宋_GB2312"/>
          <w:color w:val="000000"/>
          <w:sz w:val="32"/>
          <w:szCs w:val="32"/>
        </w:rPr>
        <w:t>万元，公务用车运行维护费2021年预算数</w:t>
      </w:r>
      <w:r>
        <w:rPr>
          <w:rFonts w:ascii="仿宋_GB2312" w:eastAsia="仿宋_GB2312"/>
          <w:color w:val="000000"/>
          <w:sz w:val="32"/>
          <w:szCs w:val="32"/>
        </w:rPr>
        <w:t>23.00</w:t>
      </w:r>
      <w:r>
        <w:rPr>
          <w:rFonts w:hint="eastAsia" w:ascii="仿宋_GB2312" w:eastAsia="仿宋_GB2312"/>
          <w:color w:val="000000"/>
          <w:sz w:val="32"/>
          <w:szCs w:val="32"/>
        </w:rPr>
        <w:t>万元，其中：公务用车维修</w:t>
      </w:r>
      <w:r>
        <w:rPr>
          <w:rFonts w:ascii="仿宋_GB2312" w:eastAsia="仿宋_GB2312"/>
          <w:color w:val="000000"/>
          <w:sz w:val="32"/>
          <w:szCs w:val="32"/>
        </w:rPr>
        <w:t>12.80</w:t>
      </w:r>
      <w:r>
        <w:rPr>
          <w:rFonts w:hint="eastAsia" w:ascii="仿宋_GB2312" w:eastAsia="仿宋_GB2312"/>
          <w:color w:val="000000"/>
          <w:sz w:val="32"/>
          <w:szCs w:val="32"/>
        </w:rPr>
        <w:t>万元，公务用车保险</w:t>
      </w:r>
      <w:r>
        <w:rPr>
          <w:rFonts w:ascii="仿宋_GB2312" w:eastAsia="仿宋_GB2312"/>
          <w:color w:val="000000"/>
          <w:sz w:val="32"/>
          <w:szCs w:val="32"/>
        </w:rPr>
        <w:t>8.80</w:t>
      </w:r>
      <w:r>
        <w:rPr>
          <w:rFonts w:hint="eastAsia" w:ascii="仿宋_GB2312" w:eastAsia="仿宋_GB2312"/>
          <w:color w:val="000000"/>
          <w:sz w:val="32"/>
          <w:szCs w:val="32"/>
        </w:rPr>
        <w:t>万元，其他</w:t>
      </w:r>
      <w:r>
        <w:rPr>
          <w:rFonts w:ascii="仿宋_GB2312" w:eastAsia="仿宋_GB2312"/>
          <w:color w:val="000000"/>
          <w:sz w:val="32"/>
          <w:szCs w:val="32"/>
        </w:rPr>
        <w:t>1.40</w:t>
      </w:r>
      <w:r>
        <w:rPr>
          <w:rFonts w:hint="eastAsia" w:ascii="仿宋_GB2312" w:eastAsia="仿宋_GB2312"/>
          <w:color w:val="000000"/>
          <w:sz w:val="32"/>
          <w:szCs w:val="32"/>
        </w:rPr>
        <w:t>万元。</w:t>
      </w:r>
    </w:p>
    <w:p>
      <w:pPr>
        <w:spacing w:line="560" w:lineRule="exact"/>
        <w:ind w:firstLine="640" w:firstLineChars="200"/>
        <w:rPr>
          <w:rFonts w:ascii="黑体" w:hAnsi="黑体" w:eastAsia="黑体"/>
          <w:color w:val="000000"/>
          <w:sz w:val="32"/>
          <w:szCs w:val="32"/>
        </w:rPr>
      </w:pPr>
      <w:r>
        <w:rPr>
          <w:rFonts w:hint="eastAsia" w:ascii="黑体" w:hAnsi="黑体" w:eastAsia="黑体"/>
          <w:color w:val="000000"/>
          <w:sz w:val="32"/>
          <w:szCs w:val="32"/>
        </w:rPr>
        <w:t>五、其他情况说明</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（一）政府采购预算说明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2021年北京工业大学政府采购预算总额20483.96万元，其中：政府采购货物预算</w:t>
      </w:r>
      <w:r>
        <w:rPr>
          <w:rFonts w:ascii="仿宋_GB2312" w:eastAsia="仿宋_GB2312"/>
          <w:color w:val="000000"/>
          <w:sz w:val="32"/>
          <w:szCs w:val="32"/>
        </w:rPr>
        <w:t>15508.55</w:t>
      </w:r>
      <w:r>
        <w:rPr>
          <w:rFonts w:hint="eastAsia" w:ascii="仿宋_GB2312" w:eastAsia="仿宋_GB2312"/>
          <w:color w:val="000000"/>
          <w:sz w:val="32"/>
          <w:szCs w:val="32"/>
        </w:rPr>
        <w:t>万元，政府采购工程预算</w:t>
      </w:r>
      <w:r>
        <w:rPr>
          <w:rFonts w:ascii="仿宋_GB2312" w:eastAsia="仿宋_GB2312"/>
          <w:color w:val="000000"/>
          <w:sz w:val="32"/>
          <w:szCs w:val="32"/>
        </w:rPr>
        <w:t>2139.67</w:t>
      </w:r>
      <w:r>
        <w:rPr>
          <w:rFonts w:hint="eastAsia" w:ascii="仿宋_GB2312" w:eastAsia="仿宋_GB2312"/>
          <w:color w:val="000000"/>
          <w:sz w:val="32"/>
          <w:szCs w:val="32"/>
        </w:rPr>
        <w:t>万元，政府采购服务预算</w:t>
      </w:r>
      <w:r>
        <w:rPr>
          <w:rFonts w:ascii="仿宋_GB2312" w:eastAsia="仿宋_GB2312"/>
          <w:color w:val="000000"/>
          <w:sz w:val="32"/>
          <w:szCs w:val="32"/>
        </w:rPr>
        <w:t>2835.74</w:t>
      </w:r>
      <w:r>
        <w:rPr>
          <w:rFonts w:hint="eastAsia" w:ascii="仿宋_GB2312" w:eastAsia="仿宋_GB2312"/>
          <w:color w:val="000000"/>
          <w:sz w:val="32"/>
          <w:szCs w:val="32"/>
        </w:rPr>
        <w:t>万元。</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（二）政府购买服务预算说明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本单位2021年无政府购买服务预算。</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（三）机关运行经费说明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我单位不在机关运行经费统计范围之内。</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（四）项目支出绩效目标情况说明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2021年，北京工业大学填报绩效目标的预算项目3</w:t>
      </w:r>
      <w:r>
        <w:rPr>
          <w:rFonts w:ascii="仿宋_GB2312" w:eastAsia="仿宋_GB2312"/>
          <w:color w:val="000000"/>
          <w:sz w:val="32"/>
          <w:szCs w:val="32"/>
        </w:rPr>
        <w:t>8</w:t>
      </w:r>
      <w:r>
        <w:rPr>
          <w:rFonts w:hint="eastAsia" w:ascii="仿宋_GB2312" w:eastAsia="仿宋_GB2312"/>
          <w:color w:val="000000"/>
          <w:sz w:val="32"/>
          <w:szCs w:val="32"/>
        </w:rPr>
        <w:t>个，占本单位全部预算项目3</w:t>
      </w:r>
      <w:r>
        <w:rPr>
          <w:rFonts w:ascii="仿宋_GB2312" w:eastAsia="仿宋_GB2312"/>
          <w:color w:val="000000"/>
          <w:sz w:val="32"/>
          <w:szCs w:val="32"/>
        </w:rPr>
        <w:t>8</w:t>
      </w:r>
      <w:r>
        <w:rPr>
          <w:rFonts w:hint="eastAsia" w:ascii="仿宋_GB2312" w:eastAsia="仿宋_GB2312"/>
          <w:color w:val="000000"/>
          <w:sz w:val="32"/>
          <w:szCs w:val="32"/>
        </w:rPr>
        <w:t>个的1</w:t>
      </w:r>
      <w:r>
        <w:rPr>
          <w:rFonts w:ascii="仿宋_GB2312" w:eastAsia="仿宋_GB2312"/>
          <w:color w:val="000000"/>
          <w:sz w:val="32"/>
          <w:szCs w:val="32"/>
        </w:rPr>
        <w:t>00</w:t>
      </w:r>
      <w:r>
        <w:rPr>
          <w:rFonts w:hint="eastAsia" w:ascii="仿宋_GB2312" w:eastAsia="仿宋_GB2312"/>
          <w:color w:val="000000"/>
          <w:sz w:val="32"/>
          <w:szCs w:val="32"/>
        </w:rPr>
        <w:t>%。填报绩效目标的项目支出预算</w:t>
      </w:r>
      <w:r>
        <w:rPr>
          <w:rFonts w:ascii="仿宋_GB2312" w:eastAsia="仿宋_GB2312"/>
          <w:color w:val="000000"/>
          <w:sz w:val="32"/>
          <w:szCs w:val="32"/>
        </w:rPr>
        <w:t>19200.24</w:t>
      </w:r>
      <w:r>
        <w:rPr>
          <w:rFonts w:hint="eastAsia" w:ascii="仿宋_GB2312" w:eastAsia="仿宋_GB2312"/>
          <w:color w:val="000000"/>
          <w:sz w:val="32"/>
          <w:szCs w:val="32"/>
        </w:rPr>
        <w:t>万元，占本单位年初全部项目支出预算的1</w:t>
      </w:r>
      <w:r>
        <w:rPr>
          <w:rFonts w:ascii="仿宋_GB2312" w:eastAsia="仿宋_GB2312"/>
          <w:color w:val="000000"/>
          <w:sz w:val="32"/>
          <w:szCs w:val="32"/>
        </w:rPr>
        <w:t>00</w:t>
      </w:r>
      <w:r>
        <w:rPr>
          <w:rFonts w:hint="eastAsia" w:ascii="仿宋_GB2312" w:eastAsia="仿宋_GB2312"/>
          <w:color w:val="000000"/>
          <w:sz w:val="32"/>
          <w:szCs w:val="32"/>
        </w:rPr>
        <w:t>%。</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（五）重点行政事业性收费情况说明</w:t>
      </w:r>
    </w:p>
    <w:p>
      <w:pPr>
        <w:spacing w:line="560" w:lineRule="exact"/>
        <w:ind w:firstLine="480" w:firstLineChars="150"/>
        <w:rPr>
          <w:rFonts w:ascii="仿宋_GB2312" w:eastAsia="仿宋_GB2312"/>
          <w:color w:val="000000"/>
          <w:sz w:val="32"/>
          <w:szCs w:val="32"/>
        </w:rPr>
      </w:pPr>
      <w:r>
        <w:rPr>
          <w:rFonts w:hint="eastAsia" w:ascii="仿宋_GB2312" w:eastAsia="仿宋_GB2312"/>
          <w:color w:val="000000"/>
          <w:sz w:val="32"/>
          <w:szCs w:val="32"/>
        </w:rPr>
        <w:t>本单位2021年无重点行政事业性收费。</w:t>
      </w:r>
    </w:p>
    <w:p>
      <w:pPr>
        <w:spacing w:line="560" w:lineRule="exact"/>
        <w:ind w:firstLine="480" w:firstLineChars="150"/>
        <w:rPr>
          <w:rFonts w:ascii="楷体_GB2312" w:eastAsia="楷体_GB2312"/>
          <w:color w:val="000000"/>
          <w:sz w:val="32"/>
          <w:szCs w:val="32"/>
        </w:rPr>
      </w:pPr>
      <w:r>
        <w:rPr>
          <w:rFonts w:hint="eastAsia" w:ascii="楷体_GB2312" w:eastAsia="楷体_GB2312"/>
          <w:color w:val="000000"/>
          <w:sz w:val="32"/>
          <w:szCs w:val="32"/>
        </w:rPr>
        <w:t>（六）国有资本经营预算财政拨款情况说明</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本</w:t>
      </w:r>
      <w:r>
        <w:rPr>
          <w:rFonts w:ascii="仿宋_GB2312" w:eastAsia="仿宋_GB2312"/>
          <w:color w:val="000000"/>
          <w:sz w:val="32"/>
          <w:szCs w:val="32"/>
        </w:rPr>
        <w:t>单位</w:t>
      </w:r>
      <w:r>
        <w:rPr>
          <w:rFonts w:hint="eastAsia" w:ascii="仿宋_GB2312" w:eastAsia="仿宋_GB2312"/>
          <w:color w:val="000000"/>
          <w:sz w:val="32"/>
          <w:szCs w:val="32"/>
        </w:rPr>
        <w:t>2021年无国有资本经营预算财政拨款安排的预算。</w:t>
      </w:r>
    </w:p>
    <w:p>
      <w:pPr>
        <w:spacing w:line="560" w:lineRule="exact"/>
        <w:ind w:firstLine="480" w:firstLineChars="150"/>
        <w:rPr>
          <w:rFonts w:ascii="楷体_GB2312" w:eastAsia="楷体_GB2312"/>
          <w:color w:val="000000"/>
          <w:sz w:val="32"/>
          <w:szCs w:val="32"/>
        </w:rPr>
      </w:pPr>
      <w:bookmarkStart w:id="2" w:name="_Hlk65834398"/>
      <w:r>
        <w:rPr>
          <w:rFonts w:hint="eastAsia" w:ascii="楷体_GB2312" w:eastAsia="楷体_GB2312"/>
          <w:color w:val="000000"/>
          <w:sz w:val="32"/>
          <w:szCs w:val="32"/>
        </w:rPr>
        <w:t>（七）国有资产占用情况说明</w:t>
      </w:r>
    </w:p>
    <w:bookmarkEnd w:id="2"/>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截至2020年底，北京工业大学共有车辆</w:t>
      </w:r>
      <w:r>
        <w:rPr>
          <w:rFonts w:ascii="仿宋_GB2312" w:eastAsia="仿宋_GB2312"/>
          <w:color w:val="000000"/>
          <w:sz w:val="32"/>
          <w:szCs w:val="32"/>
        </w:rPr>
        <w:t>43</w:t>
      </w:r>
      <w:r>
        <w:rPr>
          <w:rFonts w:hint="eastAsia" w:ascii="仿宋_GB2312" w:eastAsia="仿宋_GB2312"/>
          <w:color w:val="000000"/>
          <w:sz w:val="32"/>
          <w:szCs w:val="32"/>
        </w:rPr>
        <w:t>台，</w:t>
      </w:r>
      <w:r>
        <w:rPr>
          <w:rFonts w:ascii="仿宋_GB2312" w:eastAsia="仿宋_GB2312"/>
          <w:color w:val="000000"/>
          <w:sz w:val="32"/>
          <w:szCs w:val="32"/>
        </w:rPr>
        <w:t>906.43</w:t>
      </w:r>
      <w:r>
        <w:rPr>
          <w:rFonts w:hint="eastAsia" w:ascii="仿宋_GB2312" w:eastAsia="仿宋_GB2312"/>
          <w:color w:val="000000"/>
          <w:sz w:val="32"/>
          <w:szCs w:val="32"/>
        </w:rPr>
        <w:t>万元；单位价值50万元以上的通用设备</w:t>
      </w:r>
      <w:r>
        <w:rPr>
          <w:rFonts w:ascii="仿宋_GB2312" w:eastAsia="仿宋_GB2312"/>
          <w:color w:val="000000"/>
          <w:sz w:val="32"/>
          <w:szCs w:val="32"/>
        </w:rPr>
        <w:t>772</w:t>
      </w:r>
      <w:r>
        <w:rPr>
          <w:rFonts w:hint="eastAsia" w:ascii="仿宋_GB2312" w:eastAsia="仿宋_GB2312"/>
          <w:color w:val="000000"/>
          <w:sz w:val="32"/>
          <w:szCs w:val="32"/>
        </w:rPr>
        <w:t>台（套）、116617.63万元，单位价值100万元以上的专用设备</w:t>
      </w:r>
      <w:r>
        <w:rPr>
          <w:rFonts w:ascii="仿宋_GB2312" w:eastAsia="仿宋_GB2312"/>
          <w:color w:val="000000"/>
          <w:sz w:val="32"/>
          <w:szCs w:val="32"/>
        </w:rPr>
        <w:t>58</w:t>
      </w:r>
      <w:r>
        <w:rPr>
          <w:rFonts w:hint="eastAsia" w:ascii="仿宋_GB2312" w:eastAsia="仿宋_GB2312"/>
          <w:color w:val="000000"/>
          <w:sz w:val="32"/>
          <w:szCs w:val="32"/>
        </w:rPr>
        <w:t>台（套）、14566.67万元。</w:t>
      </w:r>
    </w:p>
    <w:p>
      <w:pPr>
        <w:spacing w:line="560" w:lineRule="exact"/>
        <w:ind w:firstLine="640" w:firstLineChars="200"/>
        <w:rPr>
          <w:rFonts w:ascii="仿宋_GB2312" w:eastAsia="仿宋_GB2312"/>
          <w:color w:val="000000"/>
          <w:sz w:val="32"/>
          <w:szCs w:val="32"/>
        </w:rPr>
      </w:pPr>
      <w:r>
        <w:rPr>
          <w:rFonts w:hint="eastAsia" w:ascii="楷体_GB2312" w:eastAsia="楷体_GB2312"/>
          <w:color w:val="000000"/>
          <w:sz w:val="32"/>
          <w:szCs w:val="32"/>
        </w:rPr>
        <w:t>（八）重点支出和重大投资项目情况说明</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1.立项依据</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为贯彻《国务院关于印发统筹推进世界一流大学和一流学科建设总体方案的通知》（国发〔2015〕64号）精神，落实《中共北京市委北京市人民政府〈关于统筹推进北京高等教育改革发展的若干意见〉的通知》（京发〔2018〕12号）提出的“加强高精尖学科建设，开展一流专业建设”的工作部署，市教委开展了面向在京高校的99个高精尖学科和100个一流专业建设，通过支持一批优势学科、提升一批特色学科、建设一批新兴交叉学科、繁荣一批人文社会学科，进一步推动高等学校学科建设水平提升；引导中央在京高校结合北京经济社会发展需要开展专业建设，推动市属高校整合办学资源，优化专业结构，强化优势特色，建成一批强势专业、行业急需专业、新兴交叉复合专业。</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我校纳入本年预算安排的“高精尖学科”为4个项目，每个学科500万元，共计2000.00万元。分别为：材料科学与工程学科、机械工程学科、控制科学与工程学科、光学工程学科。</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我校纳入本年预算安排的“一流专业”为4个项目，每个专业254万元，共计1016万元。分别为：机械工程专业、土木工程专业、材料科学与工程专业、电子科学与技术专业。</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2.绩效目标</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通过加大对高精尖学科带头人、教学团队、研发团队的支持，开展科研活动及学科共建；培养及引进国家级人才、优秀青年；承担国家重点研发任务（课题）及国家级、省部级科技项目；培养北京市级优秀毕业生，扩大学科专业影响力，有效提高相关学科教学水平、科研水平和整体竞争力。</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通过加大对一流专业建设的支持，进一步完善专业实践教学平台、培养高层次教学人才、提升专业实践教学改革和学生创新能力培养、支持教学研究与教学论文发表等，完善专业人才培养体系，提升办学条件、办学层次和办学水平。</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3.预算安排</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市教委会同市财政局印发了《北京高校“双一流”建设资金管理办法》（京财教育〔2018〕2201号），按照总额保障、按需申报的原则，对项目资金安排滚动管理，2021年我校预算安排3016万元，其中高精尖学科建设2000万元，一流专业1016万元。</w:t>
      </w:r>
    </w:p>
    <w:p>
      <w:pPr>
        <w:spacing w:line="560" w:lineRule="exact"/>
        <w:ind w:firstLine="640" w:firstLineChars="200"/>
        <w:rPr>
          <w:rFonts w:ascii="仿宋_GB2312" w:eastAsia="仿宋_GB2312"/>
          <w:color w:val="000000"/>
          <w:spacing w:val="-2"/>
          <w:sz w:val="32"/>
          <w:szCs w:val="32"/>
        </w:rPr>
      </w:pPr>
      <w:r>
        <w:rPr>
          <w:rFonts w:hint="eastAsia" w:ascii="黑体" w:hAnsi="黑体" w:eastAsia="黑体"/>
          <w:color w:val="000000"/>
          <w:sz w:val="32"/>
          <w:szCs w:val="32"/>
        </w:rPr>
        <w:t>六、名词解释</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“三公”经费财政拨款预算数：指本单位当年单位预算安排的因公出国（境）费用、公务接待费、公务用车购置和运行维护费预算数。</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rPr>
          <w:rFonts w:ascii="仿宋_GB2312" w:eastAsia="仿宋_GB2312"/>
          <w:color w:val="000000"/>
          <w:sz w:val="32"/>
          <w:szCs w:val="32"/>
        </w:rPr>
      </w:pPr>
    </w:p>
    <w:p>
      <w:pPr>
        <w:spacing w:line="560" w:lineRule="exact"/>
        <w:jc w:val="center"/>
        <w:rPr>
          <w:rFonts w:ascii="方正小标宋简体" w:eastAsia="方正小标宋简体"/>
          <w:color w:val="000000"/>
          <w:sz w:val="36"/>
          <w:szCs w:val="36"/>
        </w:rPr>
      </w:pPr>
      <w:r>
        <w:rPr>
          <w:rFonts w:hint="eastAsia" w:ascii="方正小标宋简体" w:eastAsia="方正小标宋简体"/>
          <w:color w:val="000000"/>
          <w:sz w:val="36"/>
          <w:szCs w:val="36"/>
        </w:rPr>
        <w:t>第二部分  2021年单位预算报表</w:t>
      </w:r>
    </w:p>
    <w:p>
      <w:pPr>
        <w:autoSpaceDE w:val="0"/>
        <w:autoSpaceDN w:val="0"/>
        <w:adjustRightInd w:val="0"/>
        <w:spacing w:line="56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附件：北京工业大学2021年度单位预算报表</w:t>
      </w:r>
      <w:r>
        <w:rPr>
          <w:rFonts w:hint="eastAsia" w:ascii="仿宋_GB2312" w:eastAsia="仿宋_GB2312" w:cs="宋体"/>
          <w:color w:val="000000"/>
          <w:kern w:val="0"/>
          <w:sz w:val="32"/>
          <w:szCs w:val="32"/>
          <w:lang w:val="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roid Sans">
    <w:altName w:val="Times New Roman"/>
    <w:panose1 w:val="00000000000000000000"/>
    <w:charset w:val="00"/>
    <w:family w:val="auto"/>
    <w:pitch w:val="default"/>
    <w:sig w:usb0="00000000" w:usb1="00000000" w:usb2="00000000" w:usb3="00000000" w:csb0="0000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6</w:t>
    </w:r>
    <w:r>
      <w:rPr>
        <w:rFonts w:ascii="宋体" w:hAnsi="宋体"/>
        <w:sz w:val="28"/>
        <w:szCs w:val="28"/>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12 -</w:t>
    </w:r>
    <w:r>
      <w:rPr>
        <w:rFonts w:ascii="宋体" w:hAnsi="宋体"/>
        <w:sz w:val="28"/>
        <w:szCs w:val="28"/>
      </w:rP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42B"/>
    <w:rsid w:val="00023DE1"/>
    <w:rsid w:val="00035812"/>
    <w:rsid w:val="0009113D"/>
    <w:rsid w:val="000F29BF"/>
    <w:rsid w:val="0014236C"/>
    <w:rsid w:val="0015457E"/>
    <w:rsid w:val="001657AE"/>
    <w:rsid w:val="0019100F"/>
    <w:rsid w:val="001D3395"/>
    <w:rsid w:val="001F5326"/>
    <w:rsid w:val="002064EE"/>
    <w:rsid w:val="00207D9A"/>
    <w:rsid w:val="002156E3"/>
    <w:rsid w:val="0027678F"/>
    <w:rsid w:val="002C1911"/>
    <w:rsid w:val="002D7827"/>
    <w:rsid w:val="00312EA7"/>
    <w:rsid w:val="00346FBE"/>
    <w:rsid w:val="00373F45"/>
    <w:rsid w:val="00374207"/>
    <w:rsid w:val="00391A4E"/>
    <w:rsid w:val="003B135F"/>
    <w:rsid w:val="003F2106"/>
    <w:rsid w:val="00401460"/>
    <w:rsid w:val="00403E32"/>
    <w:rsid w:val="004512CE"/>
    <w:rsid w:val="00471CE7"/>
    <w:rsid w:val="004943FB"/>
    <w:rsid w:val="004A1265"/>
    <w:rsid w:val="004B31A4"/>
    <w:rsid w:val="00505E41"/>
    <w:rsid w:val="00551E51"/>
    <w:rsid w:val="00554AEA"/>
    <w:rsid w:val="00590693"/>
    <w:rsid w:val="005A156F"/>
    <w:rsid w:val="005D2963"/>
    <w:rsid w:val="005D2DBD"/>
    <w:rsid w:val="005E551A"/>
    <w:rsid w:val="00654509"/>
    <w:rsid w:val="00690D77"/>
    <w:rsid w:val="00695822"/>
    <w:rsid w:val="006A6182"/>
    <w:rsid w:val="006F343A"/>
    <w:rsid w:val="0074626D"/>
    <w:rsid w:val="0075406D"/>
    <w:rsid w:val="00771B7B"/>
    <w:rsid w:val="0079211A"/>
    <w:rsid w:val="00805913"/>
    <w:rsid w:val="008136D7"/>
    <w:rsid w:val="008218E6"/>
    <w:rsid w:val="008236A1"/>
    <w:rsid w:val="0083542B"/>
    <w:rsid w:val="00850832"/>
    <w:rsid w:val="0089797D"/>
    <w:rsid w:val="008B1A46"/>
    <w:rsid w:val="00933AA9"/>
    <w:rsid w:val="00960EBA"/>
    <w:rsid w:val="009D685D"/>
    <w:rsid w:val="009E2D15"/>
    <w:rsid w:val="00A20826"/>
    <w:rsid w:val="00A637B5"/>
    <w:rsid w:val="00A7474F"/>
    <w:rsid w:val="00A867F7"/>
    <w:rsid w:val="00AA75C5"/>
    <w:rsid w:val="00B05230"/>
    <w:rsid w:val="00B750B5"/>
    <w:rsid w:val="00BC718E"/>
    <w:rsid w:val="00C162A9"/>
    <w:rsid w:val="00C56114"/>
    <w:rsid w:val="00CA7E72"/>
    <w:rsid w:val="00CB5F08"/>
    <w:rsid w:val="00CD29B6"/>
    <w:rsid w:val="00CF3FED"/>
    <w:rsid w:val="00D06CE9"/>
    <w:rsid w:val="00DB0EA4"/>
    <w:rsid w:val="00DF29BB"/>
    <w:rsid w:val="00E165B8"/>
    <w:rsid w:val="00E35892"/>
    <w:rsid w:val="00E36D60"/>
    <w:rsid w:val="00E47407"/>
    <w:rsid w:val="00E62186"/>
    <w:rsid w:val="00EA3D45"/>
    <w:rsid w:val="00F5129F"/>
    <w:rsid w:val="00F623DF"/>
    <w:rsid w:val="00FF0109"/>
    <w:rsid w:val="0D8B55A9"/>
    <w:rsid w:val="407E0A72"/>
    <w:rsid w:val="7A926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Droid Sans"/>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uiPriority w:val="99"/>
    <w:rPr>
      <w:rFonts w:ascii="Times New Roman" w:hAnsi="Times New Roman" w:eastAsia="宋体" w:cs="Droid Sans"/>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566</Words>
  <Characters>3230</Characters>
  <Lines>26</Lines>
  <Paragraphs>7</Paragraphs>
  <TotalTime>513</TotalTime>
  <ScaleCrop>false</ScaleCrop>
  <LinksUpToDate>false</LinksUpToDate>
  <CharactersWithSpaces>3789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2021-02-22T05:53:00Z</dcterms:created>
  <dc:creator>刘伟奇</dc:creator>
  <cp:lastModifiedBy>POIROT</cp:lastModifiedBy>
  <cp:lastPrinted>2021-03-05T03:11:00Z</cp:lastPrinted>
  <dcterms:modified xsi:type="dcterms:W3CDTF">2021-03-19T01:44:48Z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