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hint="eastAsia"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北京第二外国语学院202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ind w:firstLine="645"/>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645"/>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5"/>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5"/>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645"/>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645"/>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5"/>
        <w:jc w:val="left"/>
        <w:rPr>
          <w:rFonts w:ascii="仿宋_GB2312" w:eastAsia="仿宋_GB2312" w:cs="宋体"/>
          <w:color w:val="000000"/>
          <w:spacing w:val="-16"/>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第一部分  2021年北京第二外国语学院</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（一）本单位职责</w:t>
      </w:r>
    </w:p>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培养高等学历外语、经贸、旅游管理人才，促进科技文化发展。进行英语、俄语、德语、法语、西班牙语、阿拉伯语、日语、朝鲜语、汉语言文学、国家经济与贸易、金融学、旅游管理、市场营销学科专科、本科、硕士学历教育及相关科学研究、继续教育、专业培训。</w:t>
      </w:r>
    </w:p>
    <w:p>
      <w:pPr>
        <w:numPr>
          <w:ilvl w:val="0"/>
          <w:numId w:val="1"/>
        </w:num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机构设置情况</w:t>
      </w:r>
    </w:p>
    <w:p>
      <w:pPr>
        <w:spacing w:line="56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学校现设有党政办公室、党委组织人事部、党委宣传部、网络与信息中心等18个机关职能部门及教辅单位；英语学院、日语学院、高级翻译学院、旅游科学学院等17个教学单位；中国文化和旅游产业研究院、中国文化和旅游大数据研究院、二外期刊社等18个科研机构。</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北京第二外国语学院为公益二类事业单位。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 xml:space="preserve">北京第二外国语学院事业编制内实际人数939人，离休23人，退休631人，学生人数9694人（包括博士研究生、硕士研究生、本专科生等）。 </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二、2021年收入及支出总体情况（单位万元，保留两位小数）</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2021年收入预算78422.07万元，比2020年75658.79万元增加2763.28万元。其中：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财政拨款54973.52万元,比2020年48718.94万元增加6254.58万元，主要原因是2020年受疫情影响，大量财政专项年初未予以批复，2021年财政专项拨款较2020年大幅增加。</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统筹使用结余资金安排预算7000万元,比2020年12800万元减少5800万元，主要原因是学校本着节约原则，并结合疫情实际情况，进一步压缩预算支出安排。</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其他资金16448.55万元,比2020年14139.86万元增加2308.69万元，主要原因是继续使用的财政性结转资金比2020年大幅增加，2020年受疫情影响，大量财政专项年初未予以批复、于年中追加并予以结转至2021年。</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w:t>
      </w:r>
      <w:r>
        <w:rPr>
          <w:rFonts w:ascii="仿宋_GB2312" w:eastAsia="仿宋_GB2312"/>
          <w:color w:val="000000"/>
          <w:sz w:val="32"/>
          <w:szCs w:val="32"/>
        </w:rPr>
        <w:t>78422.07</w:t>
      </w:r>
      <w:r>
        <w:rPr>
          <w:rFonts w:hint="eastAsia" w:ascii="仿宋_GB2312" w:eastAsia="仿宋_GB2312"/>
          <w:color w:val="000000"/>
          <w:sz w:val="32"/>
          <w:szCs w:val="32"/>
        </w:rPr>
        <w:t>万元，比2020年</w:t>
      </w:r>
      <w:r>
        <w:rPr>
          <w:rFonts w:ascii="仿宋_GB2312" w:eastAsia="仿宋_GB2312"/>
          <w:color w:val="000000"/>
          <w:sz w:val="32"/>
          <w:szCs w:val="32"/>
        </w:rPr>
        <w:t>75658.79</w:t>
      </w:r>
      <w:r>
        <w:rPr>
          <w:rFonts w:hint="eastAsia" w:ascii="仿宋_GB2312" w:eastAsia="仿宋_GB2312"/>
          <w:color w:val="000000"/>
          <w:sz w:val="32"/>
          <w:szCs w:val="32"/>
        </w:rPr>
        <w:t>万元增加</w:t>
      </w:r>
      <w:r>
        <w:rPr>
          <w:rFonts w:ascii="仿宋_GB2312" w:eastAsia="仿宋_GB2312"/>
          <w:color w:val="000000"/>
          <w:sz w:val="32"/>
          <w:szCs w:val="32"/>
        </w:rPr>
        <w:t>2763.2</w:t>
      </w:r>
      <w:r>
        <w:rPr>
          <w:rFonts w:hint="eastAsia" w:ascii="仿宋_GB2312" w:eastAsia="仿宋_GB2312"/>
          <w:color w:val="000000"/>
          <w:sz w:val="32"/>
          <w:szCs w:val="32"/>
        </w:rPr>
        <w:t>8万元。其中：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w:t>
      </w:r>
      <w:r>
        <w:rPr>
          <w:rFonts w:ascii="仿宋_GB2312" w:eastAsia="仿宋_GB2312"/>
          <w:color w:val="000000"/>
          <w:sz w:val="32"/>
          <w:szCs w:val="32"/>
        </w:rPr>
        <w:t>68958.94</w:t>
      </w:r>
      <w:r>
        <w:rPr>
          <w:rFonts w:hint="eastAsia" w:ascii="仿宋_GB2312" w:eastAsia="仿宋_GB2312"/>
          <w:color w:val="000000"/>
          <w:sz w:val="32"/>
          <w:szCs w:val="32"/>
        </w:rPr>
        <w:t>万元，比2020年</w:t>
      </w:r>
      <w:r>
        <w:rPr>
          <w:rFonts w:ascii="仿宋_GB2312" w:eastAsia="仿宋_GB2312"/>
          <w:color w:val="000000"/>
          <w:sz w:val="32"/>
          <w:szCs w:val="32"/>
        </w:rPr>
        <w:t>72561.4</w:t>
      </w:r>
      <w:r>
        <w:rPr>
          <w:rFonts w:hint="eastAsia" w:ascii="仿宋_GB2312" w:eastAsia="仿宋_GB2312"/>
          <w:color w:val="000000"/>
          <w:sz w:val="32"/>
          <w:szCs w:val="32"/>
        </w:rPr>
        <w:t>8万元或减少</w:t>
      </w:r>
      <w:r>
        <w:rPr>
          <w:rFonts w:ascii="仿宋_GB2312" w:eastAsia="仿宋_GB2312"/>
          <w:color w:val="000000"/>
          <w:sz w:val="32"/>
          <w:szCs w:val="32"/>
        </w:rPr>
        <w:t>3602.54</w:t>
      </w:r>
      <w:r>
        <w:rPr>
          <w:rFonts w:hint="eastAsia" w:ascii="仿宋_GB2312" w:eastAsia="仿宋_GB2312"/>
          <w:color w:val="000000"/>
          <w:sz w:val="32"/>
          <w:szCs w:val="32"/>
        </w:rPr>
        <w:t>万元，主要原因是本着节约原则，压缩了</w:t>
      </w:r>
      <w:r>
        <w:rPr>
          <w:rFonts w:ascii="仿宋_GB2312" w:eastAsia="仿宋_GB2312"/>
          <w:color w:val="000000"/>
          <w:sz w:val="32"/>
          <w:szCs w:val="32"/>
        </w:rPr>
        <w:t>公用经费。</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w:t>
      </w:r>
      <w:r>
        <w:rPr>
          <w:rFonts w:ascii="仿宋_GB2312" w:eastAsia="仿宋_GB2312"/>
          <w:color w:val="000000"/>
          <w:sz w:val="32"/>
          <w:szCs w:val="32"/>
        </w:rPr>
        <w:t>8510.03</w:t>
      </w:r>
      <w:r>
        <w:rPr>
          <w:rFonts w:hint="eastAsia" w:ascii="仿宋_GB2312" w:eastAsia="仿宋_GB2312"/>
          <w:color w:val="000000"/>
          <w:sz w:val="32"/>
          <w:szCs w:val="32"/>
        </w:rPr>
        <w:t>万元，比2020年</w:t>
      </w:r>
      <w:r>
        <w:rPr>
          <w:rFonts w:ascii="仿宋_GB2312" w:eastAsia="仿宋_GB2312"/>
          <w:color w:val="000000"/>
          <w:sz w:val="32"/>
          <w:szCs w:val="32"/>
        </w:rPr>
        <w:t>2068.81</w:t>
      </w:r>
      <w:r>
        <w:rPr>
          <w:rFonts w:hint="eastAsia" w:ascii="仿宋_GB2312" w:eastAsia="仿宋_GB2312"/>
          <w:color w:val="000000"/>
          <w:sz w:val="32"/>
          <w:szCs w:val="32"/>
        </w:rPr>
        <w:t>万元增加</w:t>
      </w:r>
      <w:r>
        <w:rPr>
          <w:rFonts w:ascii="仿宋_GB2312" w:eastAsia="仿宋_GB2312"/>
          <w:color w:val="000000"/>
          <w:sz w:val="32"/>
          <w:szCs w:val="32"/>
        </w:rPr>
        <w:t>6441.22</w:t>
      </w:r>
      <w:r>
        <w:rPr>
          <w:rFonts w:hint="eastAsia" w:ascii="仿宋_GB2312" w:eastAsia="仿宋_GB2312"/>
          <w:color w:val="000000"/>
          <w:sz w:val="32"/>
          <w:szCs w:val="32"/>
        </w:rPr>
        <w:t>万元，主要原因是2020年受疫情影响，大量财政专项年初未予以批复，并且2021年项目支出预算包含了2020年年中追加予以结转的项目支出</w:t>
      </w:r>
      <w:r>
        <w:rPr>
          <w:rFonts w:ascii="仿宋_GB2312" w:eastAsia="仿宋_GB2312"/>
          <w:color w:val="000000"/>
          <w:sz w:val="32"/>
          <w:szCs w:val="32"/>
        </w:rPr>
        <w:t>3142.15</w:t>
      </w:r>
      <w:r>
        <w:rPr>
          <w:rFonts w:hint="eastAsia" w:ascii="仿宋_GB2312" w:eastAsia="仿宋_GB2312"/>
          <w:color w:val="000000"/>
          <w:sz w:val="32"/>
          <w:szCs w:val="32"/>
        </w:rPr>
        <w:t>万元。</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w:t>
      </w:r>
      <w:r>
        <w:rPr>
          <w:rFonts w:ascii="仿宋_GB2312" w:eastAsia="仿宋_GB2312"/>
          <w:color w:val="000000"/>
          <w:sz w:val="32"/>
          <w:szCs w:val="32"/>
        </w:rPr>
        <w:t>953.1</w:t>
      </w:r>
      <w:r>
        <w:rPr>
          <w:rFonts w:hint="eastAsia" w:ascii="仿宋_GB2312" w:eastAsia="仿宋_GB2312"/>
          <w:color w:val="000000"/>
          <w:sz w:val="32"/>
          <w:szCs w:val="32"/>
        </w:rPr>
        <w:t>万元，比2020年减少</w:t>
      </w:r>
      <w:r>
        <w:rPr>
          <w:rFonts w:ascii="仿宋_GB2312" w:eastAsia="仿宋_GB2312"/>
          <w:color w:val="000000"/>
          <w:sz w:val="32"/>
          <w:szCs w:val="32"/>
        </w:rPr>
        <w:t>75.4</w:t>
      </w:r>
      <w:r>
        <w:rPr>
          <w:rFonts w:hint="eastAsia" w:ascii="仿宋_GB2312" w:eastAsia="仿宋_GB2312"/>
          <w:color w:val="000000"/>
          <w:sz w:val="32"/>
          <w:szCs w:val="32"/>
        </w:rPr>
        <w:t>万元，主要原因是受新冠疫情</w:t>
      </w:r>
      <w:r>
        <w:rPr>
          <w:rFonts w:ascii="仿宋_GB2312" w:eastAsia="仿宋_GB2312"/>
          <w:color w:val="000000"/>
          <w:sz w:val="32"/>
          <w:szCs w:val="32"/>
        </w:rPr>
        <w:t>影响，经营</w:t>
      </w:r>
      <w:r>
        <w:rPr>
          <w:rFonts w:hint="eastAsia" w:ascii="仿宋_GB2312" w:eastAsia="仿宋_GB2312"/>
          <w:color w:val="000000"/>
          <w:sz w:val="32"/>
          <w:szCs w:val="32"/>
        </w:rPr>
        <w:t>收入</w:t>
      </w:r>
      <w:r>
        <w:rPr>
          <w:rFonts w:ascii="仿宋_GB2312" w:eastAsia="仿宋_GB2312"/>
          <w:color w:val="000000"/>
          <w:sz w:val="32"/>
          <w:szCs w:val="32"/>
        </w:rPr>
        <w:t>减少，支出</w:t>
      </w:r>
      <w:r>
        <w:rPr>
          <w:rFonts w:hint="eastAsia" w:ascii="仿宋_GB2312" w:eastAsia="仿宋_GB2312"/>
          <w:color w:val="000000"/>
          <w:sz w:val="32"/>
          <w:szCs w:val="32"/>
        </w:rPr>
        <w:t>预计</w:t>
      </w:r>
      <w:r>
        <w:rPr>
          <w:rFonts w:ascii="仿宋_GB2312" w:eastAsia="仿宋_GB2312"/>
          <w:color w:val="000000"/>
          <w:sz w:val="32"/>
          <w:szCs w:val="32"/>
        </w:rPr>
        <w:t>随之减少。</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按照支出内容，项目支出主要用于人才培养质量建设、高水平人才交叉培养计划、科技创新服务能力建设、职业教育创新发展、国际合作与交流、学生资助等。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2021年“三公”经费财政拨款预算105.42万元。其中：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1.因公出国（境）费用。2021年预算数87.75万元，主要用于进行学术交流、促进学者国际化、学科国际化、学术国际化的发展等方面。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2.公务接待费。2021年预算数5万元，主要用于学术专家和国际高校交流接待等。</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3.公务用车购置和运行维护费。2021年预算数12.67万元，其中，公务用车运行维护费2021年预算12.67万元，其中：公务用车燃油8.2万元，公务用车维修1.2万元，公务用车保险3.13万元，其他0.14万元。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2021年北京第二外国语学院政府采购预算总额</w:t>
      </w:r>
      <w:r>
        <w:rPr>
          <w:rFonts w:ascii="仿宋_GB2312" w:eastAsia="仿宋_GB2312"/>
          <w:color w:val="000000"/>
          <w:sz w:val="32"/>
          <w:szCs w:val="32"/>
        </w:rPr>
        <w:t>4053.9</w:t>
      </w:r>
      <w:r>
        <w:rPr>
          <w:rFonts w:hint="eastAsia" w:ascii="仿宋_GB2312" w:eastAsia="仿宋_GB2312"/>
          <w:color w:val="000000"/>
          <w:sz w:val="32"/>
          <w:szCs w:val="32"/>
        </w:rPr>
        <w:t>万元，其中：政府采购货物预算</w:t>
      </w:r>
      <w:r>
        <w:rPr>
          <w:rFonts w:ascii="仿宋_GB2312" w:eastAsia="仿宋_GB2312"/>
          <w:color w:val="000000"/>
          <w:sz w:val="32"/>
          <w:szCs w:val="32"/>
        </w:rPr>
        <w:t>1300</w:t>
      </w:r>
      <w:r>
        <w:rPr>
          <w:rFonts w:hint="eastAsia" w:ascii="仿宋_GB2312" w:eastAsia="仿宋_GB2312"/>
          <w:color w:val="000000"/>
          <w:sz w:val="32"/>
          <w:szCs w:val="32"/>
        </w:rPr>
        <w:t>万元，政府采购服务预算</w:t>
      </w:r>
      <w:r>
        <w:rPr>
          <w:rFonts w:ascii="仿宋_GB2312" w:eastAsia="仿宋_GB2312"/>
          <w:color w:val="000000"/>
          <w:sz w:val="32"/>
          <w:szCs w:val="32"/>
        </w:rPr>
        <w:t>2753.9</w:t>
      </w:r>
      <w:r>
        <w:rPr>
          <w:rFonts w:hint="eastAsia" w:ascii="仿宋_GB2312" w:eastAsia="仿宋_GB2312"/>
          <w:color w:val="000000"/>
          <w:sz w:val="32"/>
          <w:szCs w:val="32"/>
        </w:rPr>
        <w:t>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spacing w:line="560" w:lineRule="exact"/>
        <w:ind w:firstLine="480" w:firstLineChars="150"/>
        <w:rPr>
          <w:rFonts w:ascii="楷体_GB2312" w:eastAsia="楷体_GB2312"/>
          <w:b/>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2021年，北京第二外国语学院填报绩效目标的预算项目13个，占本单位全部预算项目13个的100%。填报绩效目标的项目支出预算</w:t>
      </w:r>
      <w:r>
        <w:rPr>
          <w:rFonts w:ascii="仿宋_GB2312" w:eastAsia="仿宋_GB2312"/>
          <w:color w:val="000000"/>
          <w:sz w:val="32"/>
          <w:szCs w:val="32"/>
        </w:rPr>
        <w:t>5367.8</w:t>
      </w:r>
      <w:r>
        <w:rPr>
          <w:rFonts w:hint="eastAsia" w:ascii="仿宋_GB2312" w:eastAsia="仿宋_GB2312"/>
          <w:color w:val="000000"/>
          <w:sz w:val="32"/>
          <w:szCs w:val="32"/>
        </w:rPr>
        <w:t>8万元，占本单位年初全部项目支出预算的100%。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截至2020年底，北京第二外国语学院共有车辆24台，549.41万元；单位价值50万元以上的通用设备19台（套）、</w:t>
      </w:r>
      <w:r>
        <w:rPr>
          <w:rFonts w:ascii="仿宋_GB2312" w:eastAsia="仿宋_GB2312"/>
          <w:color w:val="000000"/>
          <w:sz w:val="32"/>
          <w:szCs w:val="32"/>
        </w:rPr>
        <w:t>1356.12</w:t>
      </w:r>
      <w:r>
        <w:rPr>
          <w:rFonts w:hint="eastAsia" w:ascii="仿宋_GB2312" w:eastAsia="仿宋_GB2312"/>
          <w:color w:val="000000"/>
          <w:sz w:val="32"/>
          <w:szCs w:val="32"/>
        </w:rPr>
        <w:t>万元，单位价值100万元以上的专用设备1台、156万元。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1.立项依据</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市教委开展了面向在京高校的99个高精尖学科和100个一流专业建设，通过支持一批优势学科、提升一批特色学科、建设一批新兴交叉学科、繁荣一批人文社会学科，进一步推动高等学校学科建设水平提升；引导中央在京高校结合北京经济社会发展需要开展专业建设，推动市属高校整合办学资源，优化专业结构，强化优势特色，建成一批强势专业、行业急需专业、新兴交叉复合专业。</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2.绩效目标</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通过高精尖学科建设，鼓励和引导高校优化学科布局结构，加强合作共建，瞄准学科发展前沿，创新学科组织模式，加强学科间交叉、渗透、融合，不断培育新的学科增长点，开展交叉学科人才培养，打造学术研究高地、技术创新平台和成果转化基地，提升北京高校学科建设、科学研究、人才培养和社会服务的能力与水平，持续为北京“四个中心”建设提供有力的科技和人才支撑。</w:t>
      </w:r>
    </w:p>
    <w:p>
      <w:pPr>
        <w:spacing w:line="600" w:lineRule="exact"/>
        <w:ind w:firstLine="640" w:firstLineChars="200"/>
        <w:rPr>
          <w:rFonts w:ascii="仿宋_GB2312" w:eastAsia="仿宋_GB2312"/>
          <w:color w:val="000000"/>
          <w:sz w:val="32"/>
          <w:szCs w:val="32"/>
          <w:highlight w:val="yellow"/>
        </w:rPr>
      </w:pPr>
      <w:r>
        <w:rPr>
          <w:rFonts w:hint="eastAsia" w:ascii="仿宋_GB2312" w:eastAsia="仿宋_GB2312"/>
          <w:color w:val="000000"/>
          <w:sz w:val="32"/>
          <w:szCs w:val="32"/>
        </w:rPr>
        <w:t>通过一流专业建设，提高专业建设水平、提升人才培养质量，支持北京“四个中心”建设、提升“四个服务”水平，助力北京经济社会发展和十大高精尖产业建设。同时，发挥入选专业辐射带动作用，带动北京地区高校相同相近专业发展，形成高校专业合作建设长效机制，增强北京高等教育国际竞争力和影响力。</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3.预算安排</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市教委会同市财政局印发了《北京高校“双一流”建设资金管理办法》（京财教育〔2018〕2201号），按照总额保障、按需申报的原则，对项目资金安排滚动管理，2021年预算安排</w:t>
      </w:r>
      <w:r>
        <w:rPr>
          <w:rFonts w:ascii="仿宋_GB2312" w:eastAsia="仿宋_GB2312"/>
          <w:color w:val="000000"/>
          <w:sz w:val="32"/>
          <w:szCs w:val="32"/>
        </w:rPr>
        <w:t>5</w:t>
      </w:r>
      <w:r>
        <w:rPr>
          <w:rFonts w:hint="eastAsia" w:ascii="仿宋_GB2312" w:eastAsia="仿宋_GB2312"/>
          <w:color w:val="000000"/>
          <w:sz w:val="32"/>
          <w:szCs w:val="32"/>
        </w:rPr>
        <w:t>50万元，其中高精尖学科建设400万元，一流专业</w:t>
      </w:r>
      <w:r>
        <w:rPr>
          <w:rFonts w:ascii="仿宋_GB2312" w:eastAsia="仿宋_GB2312"/>
          <w:color w:val="000000"/>
          <w:sz w:val="32"/>
          <w:szCs w:val="32"/>
        </w:rPr>
        <w:t>150</w:t>
      </w:r>
      <w:r>
        <w:rPr>
          <w:rFonts w:hint="eastAsia" w:ascii="仿宋_GB2312" w:eastAsia="仿宋_GB2312"/>
          <w:color w:val="000000"/>
          <w:sz w:val="32"/>
          <w:szCs w:val="32"/>
        </w:rPr>
        <w:t>万元。</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本单位纳入本年预算安排的“高精尖学科”为2个项目，共计400万元，分别为“旅游管理”学科建设项目200万元、“外国语言文学”学科建设项目200万元。通过高精尖学科建设，有助于强化相关学科的学科实力，扩大学科社会影响力和服务能力，取得很好的社会经济效益，在人才培养、科学研究、社会服务、师资建设及国际交流等方面取得新的突破，以求更好的服务于国家和服务于社会，助力北京“国际交往中心”的建设。</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本单位纳入本年预算安排的“一流专业”为1个项目，共计150万元。通过一流专业项目建设，进一步提炼翻译专</w:t>
      </w:r>
      <w:bookmarkStart w:id="0" w:name="_GoBack"/>
      <w:bookmarkEnd w:id="0"/>
      <w:r>
        <w:rPr>
          <w:rFonts w:hint="eastAsia" w:ascii="仿宋_GB2312" w:eastAsia="仿宋_GB2312"/>
          <w:color w:val="000000"/>
          <w:sz w:val="32"/>
          <w:szCs w:val="32"/>
        </w:rPr>
        <w:t>业的人才培养模式，凝练一流专业发展理念，以语言服务研究与公共政策翻译为人才培养和科学研究方向，支持精品在线课程建设。建设的在线课程将覆盖多语种本科翻译方向学生，突出课程思政导向，并为培育国家级精品课程做准备。</w:t>
      </w:r>
    </w:p>
    <w:p>
      <w:pPr>
        <w:spacing w:line="560" w:lineRule="exact"/>
        <w:ind w:firstLine="640" w:firstLineChars="200"/>
        <w:rPr>
          <w:rFonts w:ascii="仿宋_GB2312" w:eastAsia="仿宋_GB2312"/>
          <w:color w:val="000000"/>
          <w:sz w:val="32"/>
          <w:szCs w:val="32"/>
        </w:rPr>
      </w:pP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附件：北京第二外国语学院2021年度单位预算报表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方正舒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1DB0F7"/>
    <w:multiLevelType w:val="singleLevel"/>
    <w:tmpl w:val="D41DB0F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542B"/>
    <w:rsid w:val="00001230"/>
    <w:rsid w:val="00023DE1"/>
    <w:rsid w:val="00033060"/>
    <w:rsid w:val="00035812"/>
    <w:rsid w:val="000655DD"/>
    <w:rsid w:val="00091469"/>
    <w:rsid w:val="000A76C4"/>
    <w:rsid w:val="0014236C"/>
    <w:rsid w:val="0015457E"/>
    <w:rsid w:val="001907B3"/>
    <w:rsid w:val="001E7E5F"/>
    <w:rsid w:val="001F1073"/>
    <w:rsid w:val="0027678F"/>
    <w:rsid w:val="002928D2"/>
    <w:rsid w:val="00320EB0"/>
    <w:rsid w:val="00334D46"/>
    <w:rsid w:val="00336729"/>
    <w:rsid w:val="00346FBE"/>
    <w:rsid w:val="00373F45"/>
    <w:rsid w:val="00374207"/>
    <w:rsid w:val="003754B1"/>
    <w:rsid w:val="003B42EC"/>
    <w:rsid w:val="00401AB8"/>
    <w:rsid w:val="00404FE0"/>
    <w:rsid w:val="00450857"/>
    <w:rsid w:val="004512CE"/>
    <w:rsid w:val="00471CE7"/>
    <w:rsid w:val="004833E3"/>
    <w:rsid w:val="004A1265"/>
    <w:rsid w:val="00531395"/>
    <w:rsid w:val="00553BD4"/>
    <w:rsid w:val="00583532"/>
    <w:rsid w:val="00590693"/>
    <w:rsid w:val="005D2DBD"/>
    <w:rsid w:val="005E1A80"/>
    <w:rsid w:val="00607637"/>
    <w:rsid w:val="006360AC"/>
    <w:rsid w:val="00654509"/>
    <w:rsid w:val="006844FC"/>
    <w:rsid w:val="006A655A"/>
    <w:rsid w:val="006B4C11"/>
    <w:rsid w:val="006D601F"/>
    <w:rsid w:val="006F20CE"/>
    <w:rsid w:val="006F343A"/>
    <w:rsid w:val="007353E1"/>
    <w:rsid w:val="00744839"/>
    <w:rsid w:val="00746F77"/>
    <w:rsid w:val="00757216"/>
    <w:rsid w:val="0079211A"/>
    <w:rsid w:val="0079591C"/>
    <w:rsid w:val="007C31C8"/>
    <w:rsid w:val="007D46B7"/>
    <w:rsid w:val="007D7A62"/>
    <w:rsid w:val="008136D7"/>
    <w:rsid w:val="008154D4"/>
    <w:rsid w:val="008236A1"/>
    <w:rsid w:val="00834D23"/>
    <w:rsid w:val="0083542B"/>
    <w:rsid w:val="00870859"/>
    <w:rsid w:val="0089797D"/>
    <w:rsid w:val="008A5951"/>
    <w:rsid w:val="008B05B2"/>
    <w:rsid w:val="00914C67"/>
    <w:rsid w:val="00925593"/>
    <w:rsid w:val="009542CA"/>
    <w:rsid w:val="0096010D"/>
    <w:rsid w:val="009D4E7D"/>
    <w:rsid w:val="009E1008"/>
    <w:rsid w:val="009E2D15"/>
    <w:rsid w:val="00A701E0"/>
    <w:rsid w:val="00A7474F"/>
    <w:rsid w:val="00A82E97"/>
    <w:rsid w:val="00A867F7"/>
    <w:rsid w:val="00AA760E"/>
    <w:rsid w:val="00AC302E"/>
    <w:rsid w:val="00B1375F"/>
    <w:rsid w:val="00B67272"/>
    <w:rsid w:val="00B750B5"/>
    <w:rsid w:val="00BA0AF8"/>
    <w:rsid w:val="00BC354F"/>
    <w:rsid w:val="00BE24F2"/>
    <w:rsid w:val="00BF07FB"/>
    <w:rsid w:val="00C35CE6"/>
    <w:rsid w:val="00C711A8"/>
    <w:rsid w:val="00CA767A"/>
    <w:rsid w:val="00CB5F08"/>
    <w:rsid w:val="00CF3FED"/>
    <w:rsid w:val="00D06CE9"/>
    <w:rsid w:val="00D6443B"/>
    <w:rsid w:val="00D95FC3"/>
    <w:rsid w:val="00DB0EA4"/>
    <w:rsid w:val="00E165B8"/>
    <w:rsid w:val="00E35892"/>
    <w:rsid w:val="00E36D60"/>
    <w:rsid w:val="00EA3D45"/>
    <w:rsid w:val="00EB47FF"/>
    <w:rsid w:val="00ED20CF"/>
    <w:rsid w:val="00F056C0"/>
    <w:rsid w:val="00F60A10"/>
    <w:rsid w:val="00F623DF"/>
    <w:rsid w:val="00FF0109"/>
    <w:rsid w:val="01FB06D0"/>
    <w:rsid w:val="05F3140C"/>
    <w:rsid w:val="05F70E94"/>
    <w:rsid w:val="21020E10"/>
    <w:rsid w:val="22FD1837"/>
    <w:rsid w:val="25725483"/>
    <w:rsid w:val="2B903D55"/>
    <w:rsid w:val="2E083D1D"/>
    <w:rsid w:val="36A572E4"/>
    <w:rsid w:val="3B921DF5"/>
    <w:rsid w:val="3EBB166B"/>
    <w:rsid w:val="4D80309D"/>
    <w:rsid w:val="54C32486"/>
    <w:rsid w:val="63B123D5"/>
    <w:rsid w:val="64B56DE3"/>
    <w:rsid w:val="758C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546</Words>
  <Characters>3115</Characters>
  <Lines>25</Lines>
  <Paragraphs>7</Paragraphs>
  <TotalTime>241</TotalTime>
  <ScaleCrop>false</ScaleCrop>
  <LinksUpToDate>false</LinksUpToDate>
  <CharactersWithSpaces>3654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POIROT</cp:lastModifiedBy>
  <cp:lastPrinted>2021-03-03T07:42:00Z</cp:lastPrinted>
  <dcterms:modified xsi:type="dcterms:W3CDTF">2021-03-18T13:36:25Z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