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4" w:type="dxa"/>
        <w:tblLook w:val="04A0" w:firstRow="1" w:lastRow="0" w:firstColumn="1" w:lastColumn="0" w:noHBand="0" w:noVBand="1"/>
      </w:tblPr>
      <w:tblGrid>
        <w:gridCol w:w="356"/>
        <w:gridCol w:w="495"/>
        <w:gridCol w:w="619"/>
        <w:gridCol w:w="1651"/>
        <w:gridCol w:w="968"/>
        <w:gridCol w:w="1241"/>
        <w:gridCol w:w="1874"/>
        <w:gridCol w:w="553"/>
        <w:gridCol w:w="566"/>
        <w:gridCol w:w="1531"/>
      </w:tblGrid>
      <w:tr w:rsidR="003F788F" w:rsidRPr="003F788F" w14:paraId="371C8786" w14:textId="77777777" w:rsidTr="003F788F">
        <w:trPr>
          <w:trHeight w:val="315"/>
        </w:trPr>
        <w:tc>
          <w:tcPr>
            <w:tcW w:w="9854" w:type="dxa"/>
            <w:gridSpan w:val="10"/>
            <w:tcBorders>
              <w:top w:val="nil"/>
              <w:left w:val="nil"/>
              <w:bottom w:val="nil"/>
              <w:right w:val="nil"/>
            </w:tcBorders>
            <w:shd w:val="clear" w:color="auto" w:fill="auto"/>
            <w:vAlign w:val="center"/>
            <w:hideMark/>
          </w:tcPr>
          <w:p w14:paraId="613E890C" w14:textId="77777777" w:rsidR="003F788F" w:rsidRPr="003F788F" w:rsidRDefault="003F788F" w:rsidP="003F788F">
            <w:pPr>
              <w:widowControl/>
              <w:rPr>
                <w:rFonts w:ascii="仿宋_GB2312" w:eastAsia="仿宋_GB2312" w:hAnsi="宋体" w:cs="宋体"/>
                <w:color w:val="000000"/>
                <w:kern w:val="0"/>
                <w:sz w:val="24"/>
                <w:szCs w:val="24"/>
              </w:rPr>
            </w:pPr>
            <w:r w:rsidRPr="003F788F">
              <w:rPr>
                <w:rFonts w:ascii="仿宋_GB2312" w:eastAsia="仿宋_GB2312" w:hAnsi="宋体" w:cs="宋体" w:hint="eastAsia"/>
                <w:color w:val="000000"/>
                <w:kern w:val="0"/>
                <w:sz w:val="24"/>
                <w:szCs w:val="24"/>
              </w:rPr>
              <w:t>附件</w:t>
            </w:r>
          </w:p>
        </w:tc>
      </w:tr>
      <w:tr w:rsidR="003F788F" w:rsidRPr="003F788F" w14:paraId="644EB996" w14:textId="77777777" w:rsidTr="003F788F">
        <w:trPr>
          <w:trHeight w:val="315"/>
        </w:trPr>
        <w:tc>
          <w:tcPr>
            <w:tcW w:w="9854" w:type="dxa"/>
            <w:gridSpan w:val="10"/>
            <w:tcBorders>
              <w:top w:val="nil"/>
              <w:left w:val="nil"/>
              <w:bottom w:val="nil"/>
              <w:right w:val="nil"/>
            </w:tcBorders>
            <w:shd w:val="clear" w:color="auto" w:fill="auto"/>
            <w:vAlign w:val="center"/>
            <w:hideMark/>
          </w:tcPr>
          <w:p w14:paraId="5C87E450" w14:textId="77777777" w:rsidR="003F788F" w:rsidRPr="003F788F" w:rsidRDefault="003F788F" w:rsidP="003F788F">
            <w:pPr>
              <w:widowControl/>
              <w:jc w:val="center"/>
              <w:rPr>
                <w:rFonts w:ascii="仿宋_GB2312" w:eastAsia="仿宋_GB2312" w:hAnsi="宋体" w:cs="宋体"/>
                <w:color w:val="000000"/>
                <w:kern w:val="0"/>
                <w:sz w:val="24"/>
                <w:szCs w:val="24"/>
              </w:rPr>
            </w:pPr>
            <w:r w:rsidRPr="003F788F">
              <w:rPr>
                <w:rFonts w:ascii="仿宋_GB2312" w:eastAsia="仿宋_GB2312" w:hAnsi="宋体" w:cs="宋体" w:hint="eastAsia"/>
                <w:color w:val="000000"/>
                <w:kern w:val="0"/>
                <w:sz w:val="24"/>
                <w:szCs w:val="24"/>
              </w:rPr>
              <w:t xml:space="preserve"> </w:t>
            </w:r>
            <w:r w:rsidRPr="003F788F">
              <w:rPr>
                <w:rFonts w:ascii="仿宋_GB2312" w:eastAsia="仿宋_GB2312" w:hAnsi="宋体" w:cs="宋体"/>
                <w:b/>
                <w:bCs/>
                <w:color w:val="000000"/>
                <w:kern w:val="0"/>
                <w:sz w:val="24"/>
                <w:szCs w:val="24"/>
              </w:rPr>
              <w:t>项目支出绩效自评表</w:t>
            </w:r>
            <w:r w:rsidRPr="003F788F">
              <w:rPr>
                <w:rFonts w:ascii="仿宋_GB2312" w:eastAsia="仿宋_GB2312" w:hAnsi="宋体" w:cs="宋体"/>
                <w:color w:val="000000"/>
                <w:kern w:val="0"/>
                <w:sz w:val="24"/>
                <w:szCs w:val="24"/>
              </w:rPr>
              <w:t xml:space="preserve"> </w:t>
            </w:r>
          </w:p>
        </w:tc>
      </w:tr>
      <w:tr w:rsidR="003F788F" w:rsidRPr="003F788F" w14:paraId="1F0759D1" w14:textId="77777777" w:rsidTr="003F788F">
        <w:trPr>
          <w:trHeight w:val="255"/>
        </w:trPr>
        <w:tc>
          <w:tcPr>
            <w:tcW w:w="9854" w:type="dxa"/>
            <w:gridSpan w:val="10"/>
            <w:tcBorders>
              <w:top w:val="nil"/>
              <w:left w:val="nil"/>
              <w:bottom w:val="nil"/>
              <w:right w:val="nil"/>
            </w:tcBorders>
            <w:shd w:val="clear" w:color="auto" w:fill="auto"/>
            <w:vAlign w:val="center"/>
            <w:hideMark/>
          </w:tcPr>
          <w:p w14:paraId="3B32983E" w14:textId="77777777" w:rsidR="003F788F" w:rsidRPr="003F788F" w:rsidRDefault="003F788F" w:rsidP="003F788F">
            <w:pPr>
              <w:widowControl/>
              <w:jc w:val="center"/>
              <w:rPr>
                <w:rFonts w:ascii="仿宋_GB2312" w:eastAsia="仿宋_GB2312" w:hAnsi="宋体" w:cs="宋体"/>
                <w:color w:val="000000"/>
                <w:kern w:val="0"/>
                <w:sz w:val="22"/>
              </w:rPr>
            </w:pPr>
            <w:r w:rsidRPr="003F788F">
              <w:rPr>
                <w:rFonts w:ascii="仿宋_GB2312" w:eastAsia="仿宋_GB2312" w:hAnsi="宋体" w:cs="宋体" w:hint="eastAsia"/>
                <w:color w:val="000000"/>
                <w:kern w:val="0"/>
                <w:sz w:val="22"/>
              </w:rPr>
              <w:t>（</w:t>
            </w:r>
            <w:r w:rsidRPr="003F788F">
              <w:rPr>
                <w:rFonts w:ascii="宋体" w:eastAsia="宋体" w:hAnsi="宋体" w:cs="宋体"/>
                <w:color w:val="000000"/>
                <w:kern w:val="0"/>
                <w:sz w:val="22"/>
              </w:rPr>
              <w:t>2020</w:t>
            </w:r>
            <w:r w:rsidRPr="003F788F">
              <w:rPr>
                <w:rFonts w:ascii="仿宋_GB2312" w:eastAsia="仿宋_GB2312" w:hAnsi="宋体" w:cs="宋体"/>
                <w:color w:val="000000"/>
                <w:kern w:val="0"/>
                <w:sz w:val="22"/>
              </w:rPr>
              <w:t>年度）</w:t>
            </w:r>
          </w:p>
        </w:tc>
      </w:tr>
      <w:tr w:rsidR="003F788F" w:rsidRPr="003F788F" w14:paraId="3DFF0A99" w14:textId="77777777" w:rsidTr="003F788F">
        <w:trPr>
          <w:trHeight w:val="195"/>
        </w:trPr>
        <w:tc>
          <w:tcPr>
            <w:tcW w:w="145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80D71DA"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项目名称</w:t>
            </w:r>
          </w:p>
        </w:tc>
        <w:tc>
          <w:tcPr>
            <w:tcW w:w="8402"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6D5AA9D" w14:textId="77777777" w:rsidR="003F788F" w:rsidRPr="003F788F" w:rsidRDefault="003F788F" w:rsidP="003F788F">
            <w:pPr>
              <w:widowControl/>
              <w:jc w:val="center"/>
              <w:rPr>
                <w:rFonts w:ascii="仿宋_GB2312" w:eastAsia="仿宋_GB2312" w:hAnsi="宋体" w:cs="宋体"/>
                <w:color w:val="000000"/>
                <w:kern w:val="0"/>
                <w:sz w:val="16"/>
                <w:szCs w:val="16"/>
              </w:rPr>
            </w:pPr>
            <w:r w:rsidRPr="003F788F">
              <w:rPr>
                <w:rFonts w:ascii="仿宋_GB2312" w:eastAsia="仿宋_GB2312" w:hAnsi="宋体" w:cs="宋体" w:hint="eastAsia"/>
                <w:color w:val="000000"/>
                <w:kern w:val="0"/>
                <w:sz w:val="16"/>
                <w:szCs w:val="16"/>
              </w:rPr>
              <w:t>大学生就业创业——2020年首都高校大学生常设市场租赁费（理工连廊）</w:t>
            </w:r>
          </w:p>
        </w:tc>
      </w:tr>
      <w:tr w:rsidR="003F788F" w:rsidRPr="003F788F" w14:paraId="01457A96" w14:textId="77777777" w:rsidTr="003F788F">
        <w:trPr>
          <w:trHeight w:val="195"/>
        </w:trPr>
        <w:tc>
          <w:tcPr>
            <w:tcW w:w="145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4666F2"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主管部门</w:t>
            </w:r>
          </w:p>
        </w:tc>
        <w:tc>
          <w:tcPr>
            <w:tcW w:w="38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3E84A2D"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北京市教育委员会</w:t>
            </w:r>
          </w:p>
        </w:tc>
        <w:tc>
          <w:tcPr>
            <w:tcW w:w="187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172685A"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实施单位</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1A33E3" w14:textId="1F737F42"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北京市教育系统人才交流服务中心</w:t>
            </w:r>
          </w:p>
        </w:tc>
      </w:tr>
      <w:tr w:rsidR="003F788F" w:rsidRPr="003F788F" w14:paraId="638B9FEB" w14:textId="77777777" w:rsidTr="003F788F">
        <w:trPr>
          <w:trHeight w:val="195"/>
        </w:trPr>
        <w:tc>
          <w:tcPr>
            <w:tcW w:w="1452" w:type="dxa"/>
            <w:gridSpan w:val="3"/>
            <w:tcBorders>
              <w:top w:val="single" w:sz="4" w:space="0" w:color="000000"/>
              <w:left w:val="single" w:sz="4" w:space="0" w:color="000000"/>
              <w:bottom w:val="nil"/>
              <w:right w:val="single" w:sz="4" w:space="0" w:color="000000"/>
            </w:tcBorders>
            <w:shd w:val="clear" w:color="auto" w:fill="auto"/>
            <w:noWrap/>
            <w:vAlign w:val="center"/>
            <w:hideMark/>
          </w:tcPr>
          <w:p w14:paraId="617C8E47"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项目负责人</w:t>
            </w:r>
          </w:p>
        </w:tc>
        <w:tc>
          <w:tcPr>
            <w:tcW w:w="38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26B2612"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朱况</w:t>
            </w:r>
          </w:p>
        </w:tc>
        <w:tc>
          <w:tcPr>
            <w:tcW w:w="187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3A02B2C"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联系电话</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A51E64"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60910209</w:t>
            </w:r>
          </w:p>
        </w:tc>
      </w:tr>
      <w:tr w:rsidR="003F788F" w:rsidRPr="003F788F" w14:paraId="0A7A81C2" w14:textId="77777777" w:rsidTr="003F788F">
        <w:trPr>
          <w:trHeight w:val="195"/>
        </w:trPr>
        <w:tc>
          <w:tcPr>
            <w:tcW w:w="145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82E00C"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项目资金（万元）</w:t>
            </w:r>
          </w:p>
        </w:tc>
        <w:tc>
          <w:tcPr>
            <w:tcW w:w="165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DDA18DA" w14:textId="77777777" w:rsidR="003F788F" w:rsidRPr="003F788F" w:rsidRDefault="003F788F" w:rsidP="003F788F">
            <w:pPr>
              <w:widowControl/>
              <w:jc w:val="left"/>
              <w:rPr>
                <w:rFonts w:ascii="宋体" w:eastAsia="宋体" w:hAnsi="宋体" w:cs="宋体"/>
                <w:color w:val="000000"/>
                <w:kern w:val="0"/>
                <w:sz w:val="14"/>
                <w:szCs w:val="14"/>
              </w:rPr>
            </w:pPr>
          </w:p>
        </w:tc>
        <w:tc>
          <w:tcPr>
            <w:tcW w:w="97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2F86400"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年初预算数</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2110C3"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全年预算数</w:t>
            </w:r>
            <w:r w:rsidRPr="003F788F">
              <w:rPr>
                <w:rFonts w:ascii="宋体" w:eastAsia="宋体" w:hAnsi="宋体" w:cs="宋体"/>
                <w:color w:val="000000"/>
                <w:kern w:val="0"/>
                <w:sz w:val="14"/>
                <w:szCs w:val="14"/>
              </w:rPr>
              <w:t xml:space="preserve">    </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8D14F4"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全年执行数</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69C842"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分值</w:t>
            </w:r>
            <w:r w:rsidRPr="003F788F">
              <w:rPr>
                <w:rFonts w:ascii="宋体" w:eastAsia="宋体" w:hAnsi="宋体" w:cs="宋体"/>
                <w:color w:val="000000"/>
                <w:kern w:val="0"/>
                <w:sz w:val="14"/>
                <w:szCs w:val="14"/>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3449DF"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执行率</w:t>
            </w:r>
          </w:p>
        </w:tc>
        <w:tc>
          <w:tcPr>
            <w:tcW w:w="153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202A4D7"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得分</w:t>
            </w:r>
          </w:p>
        </w:tc>
      </w:tr>
      <w:tr w:rsidR="003F788F" w:rsidRPr="003F788F" w14:paraId="7308926B" w14:textId="77777777" w:rsidTr="003F788F">
        <w:trPr>
          <w:trHeight w:val="195"/>
        </w:trPr>
        <w:tc>
          <w:tcPr>
            <w:tcW w:w="1452" w:type="dxa"/>
            <w:gridSpan w:val="3"/>
            <w:vMerge/>
            <w:tcBorders>
              <w:top w:val="single" w:sz="4" w:space="0" w:color="000000"/>
              <w:left w:val="single" w:sz="4" w:space="0" w:color="000000"/>
              <w:bottom w:val="single" w:sz="4" w:space="0" w:color="000000"/>
              <w:right w:val="single" w:sz="4" w:space="0" w:color="000000"/>
            </w:tcBorders>
            <w:vAlign w:val="center"/>
            <w:hideMark/>
          </w:tcPr>
          <w:p w14:paraId="18D0A50E"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758B8B2" w14:textId="77777777" w:rsidR="003F788F" w:rsidRPr="003F788F" w:rsidRDefault="003F788F" w:rsidP="003F788F">
            <w:pPr>
              <w:widowControl/>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年度资金总额</w:t>
            </w:r>
          </w:p>
        </w:tc>
        <w:tc>
          <w:tcPr>
            <w:tcW w:w="97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1B23764"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625.280040 </w:t>
            </w: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D03D00A"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625.280040 </w:t>
            </w:r>
          </w:p>
        </w:tc>
        <w:tc>
          <w:tcPr>
            <w:tcW w:w="187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651123C"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625.280040 </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F35525A"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BA51645"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100</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542B28"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10</w:t>
            </w:r>
          </w:p>
        </w:tc>
      </w:tr>
      <w:tr w:rsidR="003F788F" w:rsidRPr="003F788F" w14:paraId="79BF74A5" w14:textId="77777777" w:rsidTr="003F788F">
        <w:trPr>
          <w:trHeight w:val="195"/>
        </w:trPr>
        <w:tc>
          <w:tcPr>
            <w:tcW w:w="1452" w:type="dxa"/>
            <w:gridSpan w:val="3"/>
            <w:vMerge/>
            <w:tcBorders>
              <w:top w:val="single" w:sz="4" w:space="0" w:color="000000"/>
              <w:left w:val="single" w:sz="4" w:space="0" w:color="000000"/>
              <w:bottom w:val="single" w:sz="4" w:space="0" w:color="000000"/>
              <w:right w:val="single" w:sz="4" w:space="0" w:color="000000"/>
            </w:tcBorders>
            <w:vAlign w:val="center"/>
            <w:hideMark/>
          </w:tcPr>
          <w:p w14:paraId="2AE5FA80"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3C7BC11" w14:textId="77777777" w:rsidR="003F788F" w:rsidRPr="003F788F" w:rsidRDefault="003F788F" w:rsidP="003F788F">
            <w:pPr>
              <w:widowControl/>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其中：当年财政拨款</w:t>
            </w:r>
          </w:p>
        </w:tc>
        <w:tc>
          <w:tcPr>
            <w:tcW w:w="97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086C187"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625.280040 </w:t>
            </w: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CBB1A5B"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625.280040 </w:t>
            </w:r>
          </w:p>
        </w:tc>
        <w:tc>
          <w:tcPr>
            <w:tcW w:w="187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EEE561"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625.280040 </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7E2AFA7"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E79656B" w14:textId="77777777" w:rsidR="003F788F" w:rsidRPr="003F788F" w:rsidRDefault="003F788F" w:rsidP="003F788F">
            <w:pPr>
              <w:widowControl/>
              <w:jc w:val="center"/>
              <w:rPr>
                <w:rFonts w:ascii="仿宋_GB2312" w:eastAsia="仿宋_GB2312" w:hAnsi="宋体" w:cs="宋体"/>
                <w:color w:val="000000"/>
                <w:kern w:val="0"/>
                <w:sz w:val="14"/>
                <w:szCs w:val="14"/>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234AC36"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 —</w:t>
            </w:r>
          </w:p>
        </w:tc>
      </w:tr>
      <w:tr w:rsidR="003F788F" w:rsidRPr="003F788F" w14:paraId="192DB02F" w14:textId="77777777" w:rsidTr="003F788F">
        <w:trPr>
          <w:trHeight w:val="195"/>
        </w:trPr>
        <w:tc>
          <w:tcPr>
            <w:tcW w:w="1452" w:type="dxa"/>
            <w:gridSpan w:val="3"/>
            <w:vMerge/>
            <w:tcBorders>
              <w:top w:val="single" w:sz="4" w:space="0" w:color="000000"/>
              <w:left w:val="single" w:sz="4" w:space="0" w:color="000000"/>
              <w:bottom w:val="single" w:sz="4" w:space="0" w:color="000000"/>
              <w:right w:val="single" w:sz="4" w:space="0" w:color="000000"/>
            </w:tcBorders>
            <w:vAlign w:val="center"/>
            <w:hideMark/>
          </w:tcPr>
          <w:p w14:paraId="40EAE6C3"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EA39465" w14:textId="77777777" w:rsidR="003F788F" w:rsidRPr="003F788F" w:rsidRDefault="003F788F" w:rsidP="003F788F">
            <w:pPr>
              <w:widowControl/>
              <w:jc w:val="left"/>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上年结转资金</w:t>
            </w:r>
          </w:p>
        </w:tc>
        <w:tc>
          <w:tcPr>
            <w:tcW w:w="97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809A18"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4A4556C"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6DEDBE" w14:textId="77777777" w:rsidR="003F788F" w:rsidRPr="003F788F" w:rsidRDefault="003F788F" w:rsidP="003F788F">
            <w:pPr>
              <w:widowControl/>
              <w:jc w:val="center"/>
              <w:rPr>
                <w:rFonts w:ascii="仿宋_GB2312" w:eastAsia="仿宋_GB2312" w:hAnsi="宋体" w:cs="宋体"/>
                <w:color w:val="000000"/>
                <w:kern w:val="0"/>
                <w:sz w:val="14"/>
                <w:szCs w:val="14"/>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746863C"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798A183" w14:textId="77777777" w:rsidR="003F788F" w:rsidRPr="003F788F" w:rsidRDefault="003F788F" w:rsidP="003F788F">
            <w:pPr>
              <w:widowControl/>
              <w:jc w:val="center"/>
              <w:rPr>
                <w:rFonts w:ascii="仿宋_GB2312" w:eastAsia="仿宋_GB2312" w:hAnsi="宋体" w:cs="宋体"/>
                <w:color w:val="000000"/>
                <w:kern w:val="0"/>
                <w:sz w:val="14"/>
                <w:szCs w:val="14"/>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578DFC7"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 —</w:t>
            </w:r>
          </w:p>
        </w:tc>
      </w:tr>
      <w:tr w:rsidR="003F788F" w:rsidRPr="003F788F" w14:paraId="016436F0" w14:textId="77777777" w:rsidTr="003F788F">
        <w:trPr>
          <w:trHeight w:val="195"/>
        </w:trPr>
        <w:tc>
          <w:tcPr>
            <w:tcW w:w="1452" w:type="dxa"/>
            <w:gridSpan w:val="3"/>
            <w:vMerge/>
            <w:tcBorders>
              <w:top w:val="single" w:sz="4" w:space="0" w:color="000000"/>
              <w:left w:val="single" w:sz="4" w:space="0" w:color="000000"/>
              <w:bottom w:val="single" w:sz="4" w:space="0" w:color="000000"/>
              <w:right w:val="single" w:sz="4" w:space="0" w:color="000000"/>
            </w:tcBorders>
            <w:vAlign w:val="center"/>
            <w:hideMark/>
          </w:tcPr>
          <w:p w14:paraId="08CCBB37"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655" w:type="dxa"/>
            <w:tcBorders>
              <w:top w:val="single" w:sz="4" w:space="0" w:color="000000"/>
              <w:left w:val="single" w:sz="4" w:space="0" w:color="000000"/>
              <w:bottom w:val="nil"/>
              <w:right w:val="single" w:sz="4" w:space="0" w:color="000000"/>
            </w:tcBorders>
            <w:shd w:val="clear" w:color="auto" w:fill="auto"/>
            <w:noWrap/>
            <w:vAlign w:val="center"/>
            <w:hideMark/>
          </w:tcPr>
          <w:p w14:paraId="3136F30A" w14:textId="77777777" w:rsidR="003F788F" w:rsidRPr="003F788F" w:rsidRDefault="003F788F" w:rsidP="003F788F">
            <w:pPr>
              <w:widowControl/>
              <w:jc w:val="left"/>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其他资金</w:t>
            </w:r>
          </w:p>
        </w:tc>
        <w:tc>
          <w:tcPr>
            <w:tcW w:w="970" w:type="dxa"/>
            <w:tcBorders>
              <w:top w:val="single" w:sz="4" w:space="0" w:color="000000"/>
              <w:left w:val="single" w:sz="4" w:space="0" w:color="000000"/>
              <w:bottom w:val="nil"/>
              <w:right w:val="single" w:sz="4" w:space="0" w:color="000000"/>
            </w:tcBorders>
            <w:shd w:val="clear" w:color="auto" w:fill="auto"/>
            <w:noWrap/>
            <w:vAlign w:val="center"/>
            <w:hideMark/>
          </w:tcPr>
          <w:p w14:paraId="24169A1B"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244" w:type="dxa"/>
            <w:tcBorders>
              <w:top w:val="single" w:sz="4" w:space="0" w:color="000000"/>
              <w:left w:val="single" w:sz="4" w:space="0" w:color="000000"/>
              <w:bottom w:val="nil"/>
              <w:right w:val="single" w:sz="4" w:space="0" w:color="000000"/>
            </w:tcBorders>
            <w:shd w:val="clear" w:color="auto" w:fill="auto"/>
            <w:noWrap/>
            <w:vAlign w:val="center"/>
            <w:hideMark/>
          </w:tcPr>
          <w:p w14:paraId="1222BEA0"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9F7B82C" w14:textId="77777777" w:rsidR="003F788F" w:rsidRPr="003F788F" w:rsidRDefault="003F788F" w:rsidP="003F788F">
            <w:pPr>
              <w:widowControl/>
              <w:jc w:val="center"/>
              <w:rPr>
                <w:rFonts w:ascii="仿宋_GB2312" w:eastAsia="仿宋_GB2312" w:hAnsi="宋体" w:cs="宋体"/>
                <w:color w:val="000000"/>
                <w:kern w:val="0"/>
                <w:sz w:val="14"/>
                <w:szCs w:val="14"/>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6144BB"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1967E1F"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 </w:t>
            </w:r>
          </w:p>
        </w:tc>
        <w:tc>
          <w:tcPr>
            <w:tcW w:w="153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57129FB"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 xml:space="preserve"> —</w:t>
            </w:r>
          </w:p>
        </w:tc>
      </w:tr>
      <w:tr w:rsidR="003F788F" w:rsidRPr="003F788F" w14:paraId="68C41606" w14:textId="77777777" w:rsidTr="003F788F">
        <w:trPr>
          <w:trHeight w:val="195"/>
        </w:trPr>
        <w:tc>
          <w:tcPr>
            <w:tcW w:w="3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9C43DD"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年度总体目标</w:t>
            </w:r>
          </w:p>
        </w:tc>
        <w:tc>
          <w:tcPr>
            <w:tcW w:w="5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E47BB6"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预期目标</w:t>
            </w:r>
          </w:p>
        </w:tc>
        <w:tc>
          <w:tcPr>
            <w:tcW w:w="4533"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56AAEE4"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实际完成情况</w:t>
            </w:r>
          </w:p>
        </w:tc>
      </w:tr>
      <w:tr w:rsidR="003F788F" w:rsidRPr="003F788F" w14:paraId="25C79DF1" w14:textId="77777777" w:rsidTr="003F788F">
        <w:trPr>
          <w:trHeight w:val="990"/>
        </w:trPr>
        <w:tc>
          <w:tcPr>
            <w:tcW w:w="315" w:type="dxa"/>
            <w:vMerge/>
            <w:tcBorders>
              <w:top w:val="single" w:sz="4" w:space="0" w:color="000000"/>
              <w:left w:val="single" w:sz="4" w:space="0" w:color="000000"/>
              <w:bottom w:val="single" w:sz="4" w:space="0" w:color="000000"/>
              <w:right w:val="single" w:sz="4" w:space="0" w:color="000000"/>
            </w:tcBorders>
            <w:vAlign w:val="center"/>
            <w:hideMark/>
          </w:tcPr>
          <w:p w14:paraId="458DE309"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4B9799"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租用北京理工大学国防科技园1、2号楼连廊一层(以下简称“连廊”)，作为常设市场，举办毕业生招聘会。</w:t>
            </w:r>
          </w:p>
        </w:tc>
        <w:tc>
          <w:tcPr>
            <w:tcW w:w="45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03C5CA"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租用北京理工大学国防科技园1、2号楼连廊一层作为北京高校毕业生招聘会常设市场，定期举办各类型毕业生招聘会。</w:t>
            </w:r>
          </w:p>
        </w:tc>
      </w:tr>
      <w:tr w:rsidR="003F788F" w:rsidRPr="003F788F" w14:paraId="3D685C02" w14:textId="77777777" w:rsidTr="003F788F">
        <w:trPr>
          <w:trHeight w:val="285"/>
        </w:trPr>
        <w:tc>
          <w:tcPr>
            <w:tcW w:w="315" w:type="dxa"/>
            <w:vMerge w:val="restart"/>
            <w:tcBorders>
              <w:top w:val="single" w:sz="4" w:space="0" w:color="000000"/>
              <w:left w:val="single" w:sz="4" w:space="0" w:color="000000"/>
              <w:bottom w:val="nil"/>
              <w:right w:val="single" w:sz="4" w:space="0" w:color="000000"/>
            </w:tcBorders>
            <w:shd w:val="clear" w:color="auto" w:fill="auto"/>
            <w:vAlign w:val="center"/>
            <w:hideMark/>
          </w:tcPr>
          <w:p w14:paraId="7602EBEE"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绩效指标</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22114E"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一级指标</w:t>
            </w:r>
          </w:p>
        </w:tc>
        <w:tc>
          <w:tcPr>
            <w:tcW w:w="6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AFEC350"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二级指标</w:t>
            </w:r>
          </w:p>
        </w:tc>
        <w:tc>
          <w:tcPr>
            <w:tcW w:w="165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A97B611"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三级指标</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309A7F"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年度指标值</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A3B867"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实际完成值</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E61F15"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分值</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435666"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得分</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5664DD"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偏差原因分析及改进措施</w:t>
            </w:r>
          </w:p>
        </w:tc>
      </w:tr>
      <w:tr w:rsidR="003F788F" w:rsidRPr="003F788F" w14:paraId="3A0E65BD" w14:textId="77777777" w:rsidTr="003F788F">
        <w:trPr>
          <w:trHeight w:val="1900"/>
        </w:trPr>
        <w:tc>
          <w:tcPr>
            <w:tcW w:w="315" w:type="dxa"/>
            <w:vMerge/>
            <w:tcBorders>
              <w:top w:val="single" w:sz="4" w:space="0" w:color="000000"/>
              <w:left w:val="single" w:sz="4" w:space="0" w:color="000000"/>
              <w:bottom w:val="nil"/>
              <w:right w:val="single" w:sz="4" w:space="0" w:color="000000"/>
            </w:tcBorders>
            <w:vAlign w:val="center"/>
            <w:hideMark/>
          </w:tcPr>
          <w:p w14:paraId="679E9DF4"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1E82B1"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产出指标（50分）</w:t>
            </w:r>
          </w:p>
        </w:tc>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888D1A"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数量指标</w:t>
            </w:r>
          </w:p>
        </w:tc>
        <w:tc>
          <w:tcPr>
            <w:tcW w:w="16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99FF41"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1.举办场地双选会 </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E22E2A"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举办各类双选招聘会50场以上，参会单位4000家以上，提供就业机会10万个以上，服务毕业生5万人次。</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11DB06"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举办各类双选招聘会40场，参会单位2178家，提供就业机会16万余个，服务毕业生1.8万余人次。</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0C3FE2"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BFB9E9C"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4.00 </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00BAE2"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由于疫情原因，按照北京市规定，上半年场地双选会全部暂停举办。且用人单位受经济环境影响，招聘需求减少。同时按照疫情防控要求，每场双选会严格控制入场人数，造成毕业生参会数量减少。今后我们会继续挖掘招聘单位用人需求，通过完善服务吸引更多用人单位招聘，吸引更多毕业生求职。</w:t>
            </w:r>
          </w:p>
        </w:tc>
      </w:tr>
      <w:tr w:rsidR="003F788F" w:rsidRPr="003F788F" w14:paraId="3A315EF7" w14:textId="77777777" w:rsidTr="003F788F">
        <w:trPr>
          <w:trHeight w:val="840"/>
        </w:trPr>
        <w:tc>
          <w:tcPr>
            <w:tcW w:w="315" w:type="dxa"/>
            <w:vMerge/>
            <w:tcBorders>
              <w:top w:val="single" w:sz="4" w:space="0" w:color="000000"/>
              <w:left w:val="single" w:sz="4" w:space="0" w:color="000000"/>
              <w:bottom w:val="nil"/>
              <w:right w:val="single" w:sz="4" w:space="0" w:color="000000"/>
            </w:tcBorders>
            <w:vAlign w:val="center"/>
            <w:hideMark/>
          </w:tcPr>
          <w:p w14:paraId="5561E43E"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vMerge/>
            <w:tcBorders>
              <w:top w:val="single" w:sz="4" w:space="0" w:color="000000"/>
              <w:left w:val="single" w:sz="4" w:space="0" w:color="000000"/>
              <w:bottom w:val="single" w:sz="4" w:space="0" w:color="000000"/>
              <w:right w:val="single" w:sz="4" w:space="0" w:color="000000"/>
            </w:tcBorders>
            <w:vAlign w:val="center"/>
            <w:hideMark/>
          </w:tcPr>
          <w:p w14:paraId="277DFD89"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620" w:type="dxa"/>
            <w:vMerge/>
            <w:tcBorders>
              <w:top w:val="single" w:sz="4" w:space="0" w:color="000000"/>
              <w:left w:val="single" w:sz="4" w:space="0" w:color="000000"/>
              <w:bottom w:val="single" w:sz="4" w:space="0" w:color="000000"/>
              <w:right w:val="single" w:sz="4" w:space="0" w:color="000000"/>
            </w:tcBorders>
            <w:vAlign w:val="center"/>
            <w:hideMark/>
          </w:tcPr>
          <w:p w14:paraId="27743089"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76C15A"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2.完成毕业生的日常求职登记、个性化推荐。举办教师双选会，满足教育系统用人单位的招聘需求；</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E45B67"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招聘会举办时采取网络收集参会学生简历方式，预计收集3000份；并将部分简历推荐给有需求的用人单位；举办7-8场教师双选会。</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938A16"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收集4000余份；举办7场教育专场双选会。</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2537A5"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1D4A3FC"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7.00 </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A3DBBB" w14:textId="77777777" w:rsidR="003F788F" w:rsidRPr="003F788F" w:rsidRDefault="003F788F" w:rsidP="003F788F">
            <w:pPr>
              <w:widowControl/>
              <w:jc w:val="center"/>
              <w:rPr>
                <w:rFonts w:ascii="宋体" w:eastAsia="宋体" w:hAnsi="宋体" w:cs="宋体"/>
                <w:color w:val="000000"/>
                <w:kern w:val="0"/>
                <w:sz w:val="14"/>
                <w:szCs w:val="14"/>
              </w:rPr>
            </w:pPr>
          </w:p>
        </w:tc>
      </w:tr>
      <w:tr w:rsidR="003F788F" w:rsidRPr="003F788F" w14:paraId="2DE5F029" w14:textId="77777777" w:rsidTr="003F788F">
        <w:trPr>
          <w:trHeight w:val="1360"/>
        </w:trPr>
        <w:tc>
          <w:tcPr>
            <w:tcW w:w="315" w:type="dxa"/>
            <w:vMerge/>
            <w:tcBorders>
              <w:top w:val="single" w:sz="4" w:space="0" w:color="000000"/>
              <w:left w:val="single" w:sz="4" w:space="0" w:color="000000"/>
              <w:bottom w:val="nil"/>
              <w:right w:val="single" w:sz="4" w:space="0" w:color="000000"/>
            </w:tcBorders>
            <w:vAlign w:val="center"/>
            <w:hideMark/>
          </w:tcPr>
          <w:p w14:paraId="1314EEE4"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vMerge/>
            <w:tcBorders>
              <w:top w:val="single" w:sz="4" w:space="0" w:color="000000"/>
              <w:left w:val="single" w:sz="4" w:space="0" w:color="000000"/>
              <w:bottom w:val="single" w:sz="4" w:space="0" w:color="000000"/>
              <w:right w:val="single" w:sz="4" w:space="0" w:color="000000"/>
            </w:tcBorders>
            <w:vAlign w:val="center"/>
            <w:hideMark/>
          </w:tcPr>
          <w:p w14:paraId="251D6D68"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620" w:type="dxa"/>
            <w:vMerge/>
            <w:tcBorders>
              <w:top w:val="single" w:sz="4" w:space="0" w:color="000000"/>
              <w:left w:val="single" w:sz="4" w:space="0" w:color="000000"/>
              <w:bottom w:val="single" w:sz="4" w:space="0" w:color="000000"/>
              <w:right w:val="single" w:sz="4" w:space="0" w:color="000000"/>
            </w:tcBorders>
            <w:vAlign w:val="center"/>
            <w:hideMark/>
          </w:tcPr>
          <w:p w14:paraId="74FAFAAE"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6FE57D"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3.面向高校毕业生开展专家职业指导咨询服务 </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C3C50C"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根据对毕业生需求调研情况，在重要场次、参会人员较多的情况下安排2名或2名以上具有丰富理论和实践经验的就业指导专家在招聘会期间开展就业咨询服务，计划安排不低于100人次以上。</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6B58FD"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安排专家71人次</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41D707"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4E2D759"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6.00 </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6C46D4"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由于疫情原因，按照北京市规定，上半年场地双选会全部暂停举办。场次数量减少，造成专家聘请的数量减少。待疫情好转及主管部门允许后，继续加强双选会举办场次，为毕业生提供更多的就业机会。</w:t>
            </w:r>
          </w:p>
        </w:tc>
      </w:tr>
      <w:tr w:rsidR="003F788F" w:rsidRPr="003F788F" w14:paraId="17684863" w14:textId="77777777" w:rsidTr="003F788F">
        <w:trPr>
          <w:trHeight w:val="600"/>
        </w:trPr>
        <w:tc>
          <w:tcPr>
            <w:tcW w:w="315" w:type="dxa"/>
            <w:vMerge/>
            <w:tcBorders>
              <w:top w:val="single" w:sz="4" w:space="0" w:color="000000"/>
              <w:left w:val="single" w:sz="4" w:space="0" w:color="000000"/>
              <w:bottom w:val="nil"/>
              <w:right w:val="single" w:sz="4" w:space="0" w:color="000000"/>
            </w:tcBorders>
            <w:vAlign w:val="center"/>
            <w:hideMark/>
          </w:tcPr>
          <w:p w14:paraId="693B10C3"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vMerge/>
            <w:tcBorders>
              <w:top w:val="single" w:sz="4" w:space="0" w:color="000000"/>
              <w:left w:val="single" w:sz="4" w:space="0" w:color="000000"/>
              <w:bottom w:val="single" w:sz="4" w:space="0" w:color="000000"/>
              <w:right w:val="single" w:sz="4" w:space="0" w:color="000000"/>
            </w:tcBorders>
            <w:vAlign w:val="center"/>
            <w:hideMark/>
          </w:tcPr>
          <w:p w14:paraId="19FEE7B4"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0B9637"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质量指标</w:t>
            </w:r>
          </w:p>
        </w:tc>
        <w:tc>
          <w:tcPr>
            <w:tcW w:w="16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8EB42A"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1. 贯彻落实国家文件精神，为高校毕业生提供直接及间接服务</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A29695"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通过举办定期化的招聘会，切实为毕业生提供直接就业机会，与用人单位建立长期的用人招聘机制，积极促进毕业生就业工作的长远发展。</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77BE7A"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与4977家用人单位建立联系，参与双选会。</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D31AD2"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B8D595"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7.00 </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E6B986" w14:textId="77777777" w:rsidR="003F788F" w:rsidRPr="003F788F" w:rsidRDefault="003F788F" w:rsidP="003F788F">
            <w:pPr>
              <w:widowControl/>
              <w:jc w:val="center"/>
              <w:rPr>
                <w:rFonts w:ascii="宋体" w:eastAsia="宋体" w:hAnsi="宋体" w:cs="宋体"/>
                <w:color w:val="000000"/>
                <w:kern w:val="0"/>
                <w:sz w:val="14"/>
                <w:szCs w:val="14"/>
              </w:rPr>
            </w:pPr>
          </w:p>
        </w:tc>
      </w:tr>
      <w:tr w:rsidR="003F788F" w:rsidRPr="003F788F" w14:paraId="7493F6E2" w14:textId="77777777" w:rsidTr="003F788F">
        <w:trPr>
          <w:trHeight w:val="1800"/>
        </w:trPr>
        <w:tc>
          <w:tcPr>
            <w:tcW w:w="315" w:type="dxa"/>
            <w:vMerge/>
            <w:tcBorders>
              <w:top w:val="single" w:sz="4" w:space="0" w:color="000000"/>
              <w:left w:val="single" w:sz="4" w:space="0" w:color="000000"/>
              <w:bottom w:val="nil"/>
              <w:right w:val="single" w:sz="4" w:space="0" w:color="000000"/>
            </w:tcBorders>
            <w:vAlign w:val="center"/>
            <w:hideMark/>
          </w:tcPr>
          <w:p w14:paraId="16ADB770"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vMerge/>
            <w:tcBorders>
              <w:top w:val="single" w:sz="4" w:space="0" w:color="000000"/>
              <w:left w:val="single" w:sz="4" w:space="0" w:color="000000"/>
              <w:bottom w:val="single" w:sz="4" w:space="0" w:color="000000"/>
              <w:right w:val="single" w:sz="4" w:space="0" w:color="000000"/>
            </w:tcBorders>
            <w:vAlign w:val="center"/>
            <w:hideMark/>
          </w:tcPr>
          <w:p w14:paraId="21630361"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620" w:type="dxa"/>
            <w:vMerge/>
            <w:tcBorders>
              <w:top w:val="single" w:sz="4" w:space="0" w:color="000000"/>
              <w:left w:val="single" w:sz="4" w:space="0" w:color="000000"/>
              <w:bottom w:val="single" w:sz="4" w:space="0" w:color="000000"/>
              <w:right w:val="single" w:sz="4" w:space="0" w:color="000000"/>
            </w:tcBorders>
            <w:vAlign w:val="center"/>
            <w:hideMark/>
          </w:tcPr>
          <w:p w14:paraId="6E8562D9"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2E0B08"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2.为高校毕业生提供需求岗位</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69F079"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积极建立、发展、完善和创新市教委领导下的北京地区高校毕业生就业机制和就业模式，促进高校毕业生就业服务体系建设，引导毕业生面向基层、西部及国家重点行业领域及京外地区就业；提高北京高校就业指导工作人员的就业指导和服务工作水平，更好的服务于毕业生和大学生，为北京高校毕业生初次就业率不低于95%提供支持和保障；力求每年为毕业生提供10万个需求岗位，减轻政府负担和社会压力，维护首都社会稳定，推动首都社会发展。</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3B1F22"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全年为毕业生提供就业岗位16万余个。</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2638A3"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657A487"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7.00 </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4F8451" w14:textId="77777777" w:rsidR="003F788F" w:rsidRPr="003F788F" w:rsidRDefault="003F788F" w:rsidP="003F788F">
            <w:pPr>
              <w:widowControl/>
              <w:jc w:val="center"/>
              <w:rPr>
                <w:rFonts w:ascii="宋体" w:eastAsia="宋体" w:hAnsi="宋体" w:cs="宋体"/>
                <w:color w:val="000000"/>
                <w:kern w:val="0"/>
                <w:sz w:val="14"/>
                <w:szCs w:val="14"/>
              </w:rPr>
            </w:pPr>
          </w:p>
        </w:tc>
      </w:tr>
      <w:tr w:rsidR="003F788F" w:rsidRPr="003F788F" w14:paraId="572C71E8" w14:textId="77777777" w:rsidTr="003F788F">
        <w:trPr>
          <w:trHeight w:val="800"/>
        </w:trPr>
        <w:tc>
          <w:tcPr>
            <w:tcW w:w="315" w:type="dxa"/>
            <w:vMerge/>
            <w:tcBorders>
              <w:top w:val="single" w:sz="4" w:space="0" w:color="000000"/>
              <w:left w:val="single" w:sz="4" w:space="0" w:color="000000"/>
              <w:bottom w:val="nil"/>
              <w:right w:val="single" w:sz="4" w:space="0" w:color="000000"/>
            </w:tcBorders>
            <w:vAlign w:val="center"/>
            <w:hideMark/>
          </w:tcPr>
          <w:p w14:paraId="6B7325AC"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vMerge/>
            <w:tcBorders>
              <w:top w:val="single" w:sz="4" w:space="0" w:color="000000"/>
              <w:left w:val="single" w:sz="4" w:space="0" w:color="000000"/>
              <w:bottom w:val="single" w:sz="4" w:space="0" w:color="000000"/>
              <w:right w:val="single" w:sz="4" w:space="0" w:color="000000"/>
            </w:tcBorders>
            <w:vAlign w:val="center"/>
            <w:hideMark/>
          </w:tcPr>
          <w:p w14:paraId="3B793524"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F87115"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时效指标</w:t>
            </w:r>
          </w:p>
        </w:tc>
        <w:tc>
          <w:tcPr>
            <w:tcW w:w="16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1705A6"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项目完成进度</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409508"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1.财政资金到位后付款；2.招聘会分上、下半年按期举办，同时在招聘会举办期间安排专家现场咨询。</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A24B0A"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按计划时间付款；招聘会上半年暂停举办，下半年按计划进行并安排71人次专家现场咨询。</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25B77E"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5FD3617"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7.00 </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10D79D" w14:textId="77777777" w:rsidR="003F788F" w:rsidRPr="003F788F" w:rsidRDefault="003F788F" w:rsidP="003F788F">
            <w:pPr>
              <w:widowControl/>
              <w:jc w:val="center"/>
              <w:rPr>
                <w:rFonts w:ascii="宋体" w:eastAsia="宋体" w:hAnsi="宋体" w:cs="宋体"/>
                <w:color w:val="000000"/>
                <w:kern w:val="0"/>
                <w:sz w:val="14"/>
                <w:szCs w:val="14"/>
              </w:rPr>
            </w:pPr>
          </w:p>
        </w:tc>
      </w:tr>
      <w:tr w:rsidR="003F788F" w:rsidRPr="003F788F" w14:paraId="26CA7BE6" w14:textId="77777777" w:rsidTr="003F788F">
        <w:trPr>
          <w:trHeight w:val="210"/>
        </w:trPr>
        <w:tc>
          <w:tcPr>
            <w:tcW w:w="315" w:type="dxa"/>
            <w:vMerge/>
            <w:tcBorders>
              <w:top w:val="single" w:sz="4" w:space="0" w:color="000000"/>
              <w:left w:val="single" w:sz="4" w:space="0" w:color="000000"/>
              <w:bottom w:val="nil"/>
              <w:right w:val="single" w:sz="4" w:space="0" w:color="000000"/>
            </w:tcBorders>
            <w:vAlign w:val="center"/>
            <w:hideMark/>
          </w:tcPr>
          <w:p w14:paraId="5F1AC33F"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vMerge/>
            <w:tcBorders>
              <w:top w:val="single" w:sz="4" w:space="0" w:color="000000"/>
              <w:left w:val="single" w:sz="4" w:space="0" w:color="000000"/>
              <w:bottom w:val="single" w:sz="4" w:space="0" w:color="000000"/>
              <w:right w:val="single" w:sz="4" w:space="0" w:color="000000"/>
            </w:tcBorders>
            <w:vAlign w:val="center"/>
            <w:hideMark/>
          </w:tcPr>
          <w:p w14:paraId="20C12C4B"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CCFC02"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成本指标</w:t>
            </w:r>
          </w:p>
        </w:tc>
        <w:tc>
          <w:tcPr>
            <w:tcW w:w="16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ECAC7F"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招聘会场地租赁费</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1A260D3"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625.280040万元</w:t>
            </w:r>
          </w:p>
        </w:tc>
        <w:tc>
          <w:tcPr>
            <w:tcW w:w="187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D694C94"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625.280040万元</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ABA003"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2264930"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7.00 </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D295D3" w14:textId="77777777" w:rsidR="003F788F" w:rsidRPr="003F788F" w:rsidRDefault="003F788F" w:rsidP="003F788F">
            <w:pPr>
              <w:widowControl/>
              <w:jc w:val="center"/>
              <w:rPr>
                <w:rFonts w:ascii="宋体" w:eastAsia="宋体" w:hAnsi="宋体" w:cs="宋体"/>
                <w:color w:val="000000"/>
                <w:kern w:val="0"/>
                <w:sz w:val="14"/>
                <w:szCs w:val="14"/>
              </w:rPr>
            </w:pPr>
          </w:p>
        </w:tc>
      </w:tr>
      <w:tr w:rsidR="003F788F" w:rsidRPr="003F788F" w14:paraId="4E048417" w14:textId="77777777" w:rsidTr="003F788F">
        <w:trPr>
          <w:trHeight w:val="855"/>
        </w:trPr>
        <w:tc>
          <w:tcPr>
            <w:tcW w:w="315" w:type="dxa"/>
            <w:vMerge/>
            <w:tcBorders>
              <w:top w:val="single" w:sz="4" w:space="0" w:color="000000"/>
              <w:left w:val="single" w:sz="4" w:space="0" w:color="000000"/>
              <w:bottom w:val="nil"/>
              <w:right w:val="single" w:sz="4" w:space="0" w:color="000000"/>
            </w:tcBorders>
            <w:vAlign w:val="center"/>
            <w:hideMark/>
          </w:tcPr>
          <w:p w14:paraId="40FFDB87"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95B3FE"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效益指标（30</w:t>
            </w:r>
            <w:r w:rsidRPr="003F788F">
              <w:rPr>
                <w:rFonts w:ascii="仿宋_GB2312" w:eastAsia="仿宋_GB2312" w:hAnsi="宋体" w:cs="宋体" w:hint="eastAsia"/>
                <w:color w:val="000000"/>
                <w:kern w:val="0"/>
                <w:sz w:val="14"/>
                <w:szCs w:val="14"/>
              </w:rPr>
              <w:lastRenderedPageBreak/>
              <w:t>分）</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26EAF8"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lastRenderedPageBreak/>
              <w:t>经济效益指标</w:t>
            </w:r>
          </w:p>
        </w:tc>
        <w:tc>
          <w:tcPr>
            <w:tcW w:w="1655" w:type="dxa"/>
            <w:tcBorders>
              <w:top w:val="single" w:sz="4" w:space="0" w:color="000000"/>
              <w:left w:val="single" w:sz="4" w:space="0" w:color="000000"/>
              <w:bottom w:val="nil"/>
              <w:right w:val="single" w:sz="4" w:space="0" w:color="000000"/>
            </w:tcBorders>
            <w:shd w:val="clear" w:color="auto" w:fill="auto"/>
            <w:vAlign w:val="center"/>
            <w:hideMark/>
          </w:tcPr>
          <w:p w14:paraId="541101D0"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经济性</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7F5A9C"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项目以公益服务为主要工作任务，紧紧围绕服务首都高校大学生就业、提高高校就业工作者服务水平为主要工作内容，在本场地内举办各类招聘会，为毕业生提供就业岗位。 </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C3E88A"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举办各类双选招聘会40场，参会单位2178家，提供就业机会16万余个，服务毕业生1.8万余人次。</w:t>
            </w:r>
          </w:p>
        </w:tc>
        <w:tc>
          <w:tcPr>
            <w:tcW w:w="554" w:type="dxa"/>
            <w:tcBorders>
              <w:top w:val="single" w:sz="4" w:space="0" w:color="000000"/>
              <w:left w:val="single" w:sz="4" w:space="0" w:color="000000"/>
              <w:bottom w:val="nil"/>
              <w:right w:val="single" w:sz="4" w:space="0" w:color="000000"/>
            </w:tcBorders>
            <w:shd w:val="clear" w:color="auto" w:fill="auto"/>
            <w:vAlign w:val="center"/>
            <w:hideMark/>
          </w:tcPr>
          <w:p w14:paraId="29BCD61E"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15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C6F0A86"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15.00 </w:t>
            </w:r>
          </w:p>
        </w:tc>
        <w:tc>
          <w:tcPr>
            <w:tcW w:w="1534" w:type="dxa"/>
            <w:tcBorders>
              <w:top w:val="single" w:sz="4" w:space="0" w:color="000000"/>
              <w:left w:val="single" w:sz="4" w:space="0" w:color="000000"/>
              <w:bottom w:val="nil"/>
              <w:right w:val="single" w:sz="4" w:space="0" w:color="000000"/>
            </w:tcBorders>
            <w:shd w:val="clear" w:color="auto" w:fill="auto"/>
            <w:vAlign w:val="center"/>
            <w:hideMark/>
          </w:tcPr>
          <w:p w14:paraId="5AF39769" w14:textId="77777777" w:rsidR="003F788F" w:rsidRPr="003F788F" w:rsidRDefault="003F788F" w:rsidP="003F788F">
            <w:pPr>
              <w:widowControl/>
              <w:jc w:val="center"/>
              <w:rPr>
                <w:rFonts w:ascii="宋体" w:eastAsia="宋体" w:hAnsi="宋体" w:cs="宋体"/>
                <w:color w:val="000000"/>
                <w:kern w:val="0"/>
                <w:sz w:val="14"/>
                <w:szCs w:val="14"/>
              </w:rPr>
            </w:pPr>
          </w:p>
        </w:tc>
      </w:tr>
      <w:tr w:rsidR="003F788F" w:rsidRPr="003F788F" w14:paraId="3E5DC170" w14:textId="77777777" w:rsidTr="003F788F">
        <w:trPr>
          <w:trHeight w:val="1500"/>
        </w:trPr>
        <w:tc>
          <w:tcPr>
            <w:tcW w:w="315" w:type="dxa"/>
            <w:vMerge/>
            <w:tcBorders>
              <w:top w:val="single" w:sz="4" w:space="0" w:color="000000"/>
              <w:left w:val="single" w:sz="4" w:space="0" w:color="000000"/>
              <w:bottom w:val="nil"/>
              <w:right w:val="single" w:sz="4" w:space="0" w:color="000000"/>
            </w:tcBorders>
            <w:vAlign w:val="center"/>
            <w:hideMark/>
          </w:tcPr>
          <w:p w14:paraId="1E4C443E"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vMerge/>
            <w:tcBorders>
              <w:top w:val="single" w:sz="4" w:space="0" w:color="000000"/>
              <w:left w:val="single" w:sz="4" w:space="0" w:color="000000"/>
              <w:bottom w:val="single" w:sz="4" w:space="0" w:color="000000"/>
              <w:right w:val="single" w:sz="4" w:space="0" w:color="000000"/>
            </w:tcBorders>
            <w:vAlign w:val="center"/>
            <w:hideMark/>
          </w:tcPr>
          <w:p w14:paraId="6EE2C8DA"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40343B"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社会效益指标</w:t>
            </w:r>
          </w:p>
        </w:tc>
        <w:tc>
          <w:tcPr>
            <w:tcW w:w="1655" w:type="dxa"/>
            <w:tcBorders>
              <w:top w:val="single" w:sz="4" w:space="0" w:color="000000"/>
              <w:left w:val="single" w:sz="4" w:space="0" w:color="000000"/>
              <w:bottom w:val="nil"/>
              <w:right w:val="single" w:sz="4" w:space="0" w:color="000000"/>
            </w:tcBorders>
            <w:shd w:val="clear" w:color="auto" w:fill="auto"/>
            <w:vAlign w:val="center"/>
            <w:hideMark/>
          </w:tcPr>
          <w:p w14:paraId="73207799"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社会影响力</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992351"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通过举办定期化的招聘会，切实为毕业生提供直接就业机会，与用人单位建立长期的用人招聘机制，积极促进毕业生就业工作的长远发展。</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ECA248"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深入贯彻落实中央“六稳六保”决策部署，通过举办公益性专场招聘会，切实为毕业生提供直接就业机会，与用人单位建立长期的用人招聘机制，积极促进毕业生更加高质量就业，获得良好的社会效益。与4977家用人单位建立联系，参与双选会，为毕业生提供就业岗位16万余个</w:t>
            </w:r>
          </w:p>
        </w:tc>
        <w:tc>
          <w:tcPr>
            <w:tcW w:w="554" w:type="dxa"/>
            <w:tcBorders>
              <w:top w:val="single" w:sz="4" w:space="0" w:color="000000"/>
              <w:left w:val="single" w:sz="4" w:space="0" w:color="000000"/>
              <w:bottom w:val="nil"/>
              <w:right w:val="single" w:sz="4" w:space="0" w:color="000000"/>
            </w:tcBorders>
            <w:shd w:val="clear" w:color="auto" w:fill="auto"/>
            <w:vAlign w:val="center"/>
            <w:hideMark/>
          </w:tcPr>
          <w:p w14:paraId="411A856A"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15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17D04A8"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15.00 </w:t>
            </w:r>
          </w:p>
        </w:tc>
        <w:tc>
          <w:tcPr>
            <w:tcW w:w="1534" w:type="dxa"/>
            <w:tcBorders>
              <w:top w:val="single" w:sz="4" w:space="0" w:color="000000"/>
              <w:left w:val="single" w:sz="4" w:space="0" w:color="000000"/>
              <w:bottom w:val="nil"/>
              <w:right w:val="single" w:sz="4" w:space="0" w:color="000000"/>
            </w:tcBorders>
            <w:shd w:val="clear" w:color="auto" w:fill="auto"/>
            <w:vAlign w:val="center"/>
            <w:hideMark/>
          </w:tcPr>
          <w:p w14:paraId="24287002" w14:textId="77777777" w:rsidR="003F788F" w:rsidRPr="003F788F" w:rsidRDefault="003F788F" w:rsidP="003F788F">
            <w:pPr>
              <w:widowControl/>
              <w:jc w:val="center"/>
              <w:rPr>
                <w:rFonts w:ascii="宋体" w:eastAsia="宋体" w:hAnsi="宋体" w:cs="宋体"/>
                <w:color w:val="000000"/>
                <w:kern w:val="0"/>
                <w:sz w:val="14"/>
                <w:szCs w:val="14"/>
              </w:rPr>
            </w:pPr>
          </w:p>
        </w:tc>
      </w:tr>
      <w:tr w:rsidR="003F788F" w:rsidRPr="003F788F" w14:paraId="3EE0B75C" w14:textId="77777777" w:rsidTr="003F788F">
        <w:trPr>
          <w:trHeight w:val="660"/>
        </w:trPr>
        <w:tc>
          <w:tcPr>
            <w:tcW w:w="315" w:type="dxa"/>
            <w:vMerge/>
            <w:tcBorders>
              <w:top w:val="single" w:sz="4" w:space="0" w:color="000000"/>
              <w:left w:val="single" w:sz="4" w:space="0" w:color="000000"/>
              <w:bottom w:val="nil"/>
              <w:right w:val="single" w:sz="4" w:space="0" w:color="000000"/>
            </w:tcBorders>
            <w:vAlign w:val="center"/>
            <w:hideMark/>
          </w:tcPr>
          <w:p w14:paraId="2DD2AED2" w14:textId="77777777" w:rsidR="003F788F" w:rsidRPr="003F788F" w:rsidRDefault="003F788F" w:rsidP="003F788F">
            <w:pPr>
              <w:widowControl/>
              <w:jc w:val="left"/>
              <w:rPr>
                <w:rFonts w:ascii="仿宋_GB2312" w:eastAsia="仿宋_GB2312" w:hAnsi="宋体" w:cs="宋体"/>
                <w:color w:val="000000"/>
                <w:kern w:val="0"/>
                <w:sz w:val="14"/>
                <w:szCs w:val="14"/>
              </w:rPr>
            </w:pPr>
          </w:p>
        </w:tc>
        <w:tc>
          <w:tcPr>
            <w:tcW w:w="517" w:type="dxa"/>
            <w:tcBorders>
              <w:top w:val="nil"/>
              <w:left w:val="single" w:sz="4" w:space="0" w:color="000000"/>
              <w:bottom w:val="nil"/>
              <w:right w:val="single" w:sz="4" w:space="0" w:color="000000"/>
            </w:tcBorders>
            <w:shd w:val="clear" w:color="auto" w:fill="auto"/>
            <w:vAlign w:val="center"/>
            <w:hideMark/>
          </w:tcPr>
          <w:p w14:paraId="06896C8F"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满意度指标（10分）</w:t>
            </w:r>
          </w:p>
        </w:tc>
        <w:tc>
          <w:tcPr>
            <w:tcW w:w="620" w:type="dxa"/>
            <w:tcBorders>
              <w:top w:val="single" w:sz="4" w:space="0" w:color="000000"/>
              <w:left w:val="single" w:sz="4" w:space="0" w:color="000000"/>
              <w:bottom w:val="nil"/>
              <w:right w:val="single" w:sz="4" w:space="0" w:color="000000"/>
            </w:tcBorders>
            <w:shd w:val="clear" w:color="auto" w:fill="auto"/>
            <w:vAlign w:val="center"/>
            <w:hideMark/>
          </w:tcPr>
          <w:p w14:paraId="61165B40"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服务对象满意度指标</w:t>
            </w:r>
          </w:p>
        </w:tc>
        <w:tc>
          <w:tcPr>
            <w:tcW w:w="1655" w:type="dxa"/>
            <w:tcBorders>
              <w:top w:val="single" w:sz="4" w:space="0" w:color="000000"/>
              <w:left w:val="single" w:sz="4" w:space="0" w:color="000000"/>
              <w:bottom w:val="single" w:sz="4" w:space="0" w:color="000000"/>
              <w:right w:val="nil"/>
            </w:tcBorders>
            <w:shd w:val="clear" w:color="auto" w:fill="auto"/>
            <w:vAlign w:val="center"/>
            <w:hideMark/>
          </w:tcPr>
          <w:p w14:paraId="31B79405" w14:textId="77777777" w:rsidR="003F788F" w:rsidRPr="003F788F" w:rsidRDefault="003F788F" w:rsidP="003F788F">
            <w:pPr>
              <w:widowControl/>
              <w:jc w:val="left"/>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相应满意度指标</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661A0"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≥80%</w:t>
            </w:r>
          </w:p>
        </w:tc>
        <w:tc>
          <w:tcPr>
            <w:tcW w:w="1878" w:type="dxa"/>
            <w:tcBorders>
              <w:top w:val="single" w:sz="4" w:space="0" w:color="000000"/>
              <w:left w:val="single" w:sz="4" w:space="0" w:color="000000"/>
              <w:bottom w:val="nil"/>
              <w:right w:val="single" w:sz="4" w:space="0" w:color="000000"/>
            </w:tcBorders>
            <w:shd w:val="clear" w:color="auto" w:fill="auto"/>
            <w:noWrap/>
            <w:vAlign w:val="center"/>
            <w:hideMark/>
          </w:tcPr>
          <w:p w14:paraId="71CC20D9"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98.60%</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1509FC"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52CEAC8"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10.00 </w:t>
            </w:r>
          </w:p>
        </w:tc>
        <w:tc>
          <w:tcPr>
            <w:tcW w:w="1534" w:type="dxa"/>
            <w:tcBorders>
              <w:top w:val="single" w:sz="4" w:space="0" w:color="000000"/>
              <w:left w:val="single" w:sz="4" w:space="0" w:color="000000"/>
              <w:bottom w:val="nil"/>
              <w:right w:val="single" w:sz="4" w:space="0" w:color="000000"/>
            </w:tcBorders>
            <w:shd w:val="clear" w:color="auto" w:fill="auto"/>
            <w:vAlign w:val="center"/>
            <w:hideMark/>
          </w:tcPr>
          <w:p w14:paraId="4737B327" w14:textId="77777777" w:rsidR="003F788F" w:rsidRPr="003F788F" w:rsidRDefault="003F788F" w:rsidP="003F788F">
            <w:pPr>
              <w:widowControl/>
              <w:jc w:val="center"/>
              <w:rPr>
                <w:rFonts w:ascii="宋体" w:eastAsia="宋体" w:hAnsi="宋体" w:cs="宋体"/>
                <w:color w:val="000000"/>
                <w:kern w:val="0"/>
                <w:sz w:val="14"/>
                <w:szCs w:val="14"/>
              </w:rPr>
            </w:pPr>
          </w:p>
        </w:tc>
      </w:tr>
      <w:tr w:rsidR="003F788F" w:rsidRPr="003F788F" w14:paraId="23D6F3FE" w14:textId="77777777" w:rsidTr="003F788F">
        <w:trPr>
          <w:trHeight w:val="225"/>
        </w:trPr>
        <w:tc>
          <w:tcPr>
            <w:tcW w:w="7199"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DE7163E" w14:textId="77777777" w:rsidR="003F788F" w:rsidRPr="003F788F" w:rsidRDefault="003F788F" w:rsidP="003F788F">
            <w:pPr>
              <w:widowControl/>
              <w:jc w:val="center"/>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总分</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4D2FDA"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100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D31842D" w14:textId="77777777" w:rsidR="003F788F" w:rsidRPr="003F788F" w:rsidRDefault="003F788F" w:rsidP="003F788F">
            <w:pPr>
              <w:widowControl/>
              <w:jc w:val="center"/>
              <w:rPr>
                <w:rFonts w:ascii="宋体" w:eastAsia="宋体" w:hAnsi="宋体" w:cs="宋体"/>
                <w:color w:val="000000"/>
                <w:kern w:val="0"/>
                <w:sz w:val="14"/>
                <w:szCs w:val="14"/>
              </w:rPr>
            </w:pPr>
            <w:r w:rsidRPr="003F788F">
              <w:rPr>
                <w:rFonts w:ascii="宋体" w:eastAsia="宋体" w:hAnsi="宋体" w:cs="宋体" w:hint="eastAsia"/>
                <w:color w:val="000000"/>
                <w:kern w:val="0"/>
                <w:sz w:val="14"/>
                <w:szCs w:val="14"/>
              </w:rPr>
              <w:t xml:space="preserve">95.00 </w:t>
            </w:r>
          </w:p>
        </w:tc>
        <w:tc>
          <w:tcPr>
            <w:tcW w:w="1534" w:type="dxa"/>
            <w:tcBorders>
              <w:top w:val="single" w:sz="4" w:space="0" w:color="000000"/>
              <w:left w:val="nil"/>
              <w:bottom w:val="single" w:sz="4" w:space="0" w:color="000000"/>
              <w:right w:val="single" w:sz="4" w:space="0" w:color="000000"/>
            </w:tcBorders>
            <w:shd w:val="clear" w:color="auto" w:fill="auto"/>
            <w:noWrap/>
            <w:vAlign w:val="center"/>
            <w:hideMark/>
          </w:tcPr>
          <w:p w14:paraId="1FA8A537" w14:textId="77777777" w:rsidR="003F788F" w:rsidRPr="003F788F" w:rsidRDefault="003F788F" w:rsidP="003F788F">
            <w:pPr>
              <w:widowControl/>
              <w:jc w:val="left"/>
              <w:rPr>
                <w:rFonts w:ascii="仿宋_GB2312" w:eastAsia="仿宋_GB2312" w:hAnsi="宋体" w:cs="宋体"/>
                <w:color w:val="000000"/>
                <w:kern w:val="0"/>
                <w:sz w:val="14"/>
                <w:szCs w:val="14"/>
              </w:rPr>
            </w:pPr>
          </w:p>
        </w:tc>
      </w:tr>
      <w:tr w:rsidR="003F788F" w:rsidRPr="003F788F" w14:paraId="29648627" w14:textId="77777777" w:rsidTr="003F788F">
        <w:trPr>
          <w:trHeight w:val="195"/>
        </w:trPr>
        <w:tc>
          <w:tcPr>
            <w:tcW w:w="9854" w:type="dxa"/>
            <w:gridSpan w:val="10"/>
            <w:tcBorders>
              <w:top w:val="nil"/>
              <w:left w:val="nil"/>
              <w:bottom w:val="nil"/>
              <w:right w:val="nil"/>
            </w:tcBorders>
            <w:shd w:val="clear" w:color="auto" w:fill="auto"/>
            <w:noWrap/>
            <w:vAlign w:val="center"/>
            <w:hideMark/>
          </w:tcPr>
          <w:p w14:paraId="085B15EB" w14:textId="77777777" w:rsidR="003F788F" w:rsidRPr="003F788F" w:rsidRDefault="003F788F" w:rsidP="003F788F">
            <w:pPr>
              <w:widowControl/>
              <w:jc w:val="left"/>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填报注意事项：</w:t>
            </w:r>
          </w:p>
        </w:tc>
      </w:tr>
      <w:tr w:rsidR="003F788F" w:rsidRPr="003F788F" w14:paraId="68051F8F" w14:textId="77777777" w:rsidTr="003F788F">
        <w:trPr>
          <w:trHeight w:val="195"/>
        </w:trPr>
        <w:tc>
          <w:tcPr>
            <w:tcW w:w="9854" w:type="dxa"/>
            <w:gridSpan w:val="10"/>
            <w:tcBorders>
              <w:top w:val="nil"/>
              <w:left w:val="nil"/>
              <w:bottom w:val="nil"/>
              <w:right w:val="nil"/>
            </w:tcBorders>
            <w:shd w:val="clear" w:color="auto" w:fill="auto"/>
            <w:noWrap/>
            <w:vAlign w:val="center"/>
            <w:hideMark/>
          </w:tcPr>
          <w:p w14:paraId="107B5F56" w14:textId="77777777" w:rsidR="003F788F" w:rsidRPr="003F788F" w:rsidRDefault="003F788F" w:rsidP="003F788F">
            <w:pPr>
              <w:widowControl/>
              <w:jc w:val="left"/>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1.得分一档最高不能超过该指标分值上限。</w:t>
            </w:r>
          </w:p>
        </w:tc>
      </w:tr>
      <w:tr w:rsidR="003F788F" w:rsidRPr="003F788F" w14:paraId="278ED9D1" w14:textId="77777777" w:rsidTr="003F788F">
        <w:trPr>
          <w:trHeight w:val="660"/>
        </w:trPr>
        <w:tc>
          <w:tcPr>
            <w:tcW w:w="9854" w:type="dxa"/>
            <w:gridSpan w:val="10"/>
            <w:tcBorders>
              <w:top w:val="nil"/>
              <w:left w:val="nil"/>
              <w:bottom w:val="nil"/>
              <w:right w:val="nil"/>
            </w:tcBorders>
            <w:shd w:val="clear" w:color="auto" w:fill="auto"/>
            <w:vAlign w:val="center"/>
            <w:hideMark/>
          </w:tcPr>
          <w:p w14:paraId="2798AF6E" w14:textId="77777777" w:rsidR="003F788F" w:rsidRPr="003F788F" w:rsidRDefault="003F788F" w:rsidP="003F788F">
            <w:pPr>
              <w:widowControl/>
              <w:jc w:val="left"/>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3F788F" w:rsidRPr="003F788F" w14:paraId="2B30470D" w14:textId="77777777" w:rsidTr="003F788F">
        <w:trPr>
          <w:trHeight w:val="195"/>
        </w:trPr>
        <w:tc>
          <w:tcPr>
            <w:tcW w:w="8320" w:type="dxa"/>
            <w:gridSpan w:val="9"/>
            <w:tcBorders>
              <w:top w:val="nil"/>
              <w:left w:val="nil"/>
              <w:bottom w:val="nil"/>
              <w:right w:val="nil"/>
            </w:tcBorders>
            <w:shd w:val="clear" w:color="auto" w:fill="auto"/>
            <w:noWrap/>
            <w:vAlign w:val="center"/>
            <w:hideMark/>
          </w:tcPr>
          <w:p w14:paraId="2E46EC03" w14:textId="77777777" w:rsidR="003F788F" w:rsidRPr="003F788F" w:rsidRDefault="003F788F" w:rsidP="003F788F">
            <w:pPr>
              <w:widowControl/>
              <w:jc w:val="left"/>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3.请在“偏差原因分析及改进措施”中说明偏离目标、不能完成目标的原因及拟采取的措施。</w:t>
            </w:r>
          </w:p>
        </w:tc>
        <w:tc>
          <w:tcPr>
            <w:tcW w:w="1534" w:type="dxa"/>
            <w:tcBorders>
              <w:top w:val="nil"/>
              <w:left w:val="nil"/>
              <w:bottom w:val="nil"/>
              <w:right w:val="nil"/>
            </w:tcBorders>
            <w:shd w:val="clear" w:color="auto" w:fill="auto"/>
            <w:noWrap/>
            <w:vAlign w:val="center"/>
            <w:hideMark/>
          </w:tcPr>
          <w:p w14:paraId="71D8F4B2" w14:textId="77777777" w:rsidR="003F788F" w:rsidRPr="003F788F" w:rsidRDefault="003F788F" w:rsidP="003F788F">
            <w:pPr>
              <w:widowControl/>
              <w:jc w:val="left"/>
              <w:rPr>
                <w:rFonts w:ascii="宋体" w:eastAsia="宋体" w:hAnsi="宋体" w:cs="宋体"/>
                <w:color w:val="000000"/>
                <w:kern w:val="0"/>
                <w:sz w:val="14"/>
                <w:szCs w:val="14"/>
              </w:rPr>
            </w:pPr>
          </w:p>
        </w:tc>
      </w:tr>
      <w:tr w:rsidR="003F788F" w:rsidRPr="003F788F" w14:paraId="4C393586" w14:textId="77777777" w:rsidTr="003F788F">
        <w:trPr>
          <w:trHeight w:val="195"/>
        </w:trPr>
        <w:tc>
          <w:tcPr>
            <w:tcW w:w="8320" w:type="dxa"/>
            <w:gridSpan w:val="9"/>
            <w:tcBorders>
              <w:top w:val="nil"/>
              <w:left w:val="nil"/>
              <w:bottom w:val="nil"/>
              <w:right w:val="nil"/>
            </w:tcBorders>
            <w:shd w:val="clear" w:color="auto" w:fill="auto"/>
            <w:noWrap/>
            <w:vAlign w:val="center"/>
            <w:hideMark/>
          </w:tcPr>
          <w:p w14:paraId="76229742" w14:textId="77777777" w:rsidR="003F788F" w:rsidRPr="003F788F" w:rsidRDefault="003F788F" w:rsidP="003F788F">
            <w:pPr>
              <w:widowControl/>
              <w:jc w:val="left"/>
              <w:rPr>
                <w:rFonts w:ascii="仿宋_GB2312" w:eastAsia="仿宋_GB2312" w:hAnsi="宋体" w:cs="宋体"/>
                <w:color w:val="000000"/>
                <w:kern w:val="0"/>
                <w:sz w:val="14"/>
                <w:szCs w:val="14"/>
              </w:rPr>
            </w:pPr>
            <w:r w:rsidRPr="003F788F">
              <w:rPr>
                <w:rFonts w:ascii="仿宋_GB2312" w:eastAsia="仿宋_GB2312" w:hAnsi="宋体" w:cs="宋体" w:hint="eastAsia"/>
                <w:color w:val="000000"/>
                <w:kern w:val="0"/>
                <w:sz w:val="14"/>
                <w:szCs w:val="14"/>
              </w:rPr>
              <w:t>4.90（含）-100分为优、80（含）-90分为良、60（含）-80分为中、60分以下为差。</w:t>
            </w:r>
          </w:p>
        </w:tc>
        <w:tc>
          <w:tcPr>
            <w:tcW w:w="1534" w:type="dxa"/>
            <w:tcBorders>
              <w:top w:val="nil"/>
              <w:left w:val="nil"/>
              <w:bottom w:val="nil"/>
              <w:right w:val="nil"/>
            </w:tcBorders>
            <w:shd w:val="clear" w:color="auto" w:fill="auto"/>
            <w:noWrap/>
            <w:vAlign w:val="center"/>
            <w:hideMark/>
          </w:tcPr>
          <w:p w14:paraId="2811C181" w14:textId="77777777" w:rsidR="003F788F" w:rsidRPr="003F788F" w:rsidRDefault="003F788F" w:rsidP="003F788F">
            <w:pPr>
              <w:widowControl/>
              <w:jc w:val="left"/>
              <w:rPr>
                <w:rFonts w:ascii="宋体" w:eastAsia="宋体" w:hAnsi="宋体" w:cs="宋体"/>
                <w:color w:val="000000"/>
                <w:kern w:val="0"/>
                <w:sz w:val="14"/>
                <w:szCs w:val="14"/>
              </w:rPr>
            </w:pPr>
          </w:p>
        </w:tc>
      </w:tr>
    </w:tbl>
    <w:p w14:paraId="49C73058" w14:textId="77777777" w:rsidR="0030742C" w:rsidRPr="003F788F" w:rsidRDefault="0065164C"/>
    <w:sectPr w:rsidR="0030742C" w:rsidRPr="003F788F" w:rsidSect="003F788F">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88F"/>
    <w:rsid w:val="003F788F"/>
    <w:rsid w:val="0065164C"/>
    <w:rsid w:val="00837B15"/>
    <w:rsid w:val="00F76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9A19"/>
  <w15:docId w15:val="{9ED70839-9CFE-4B86-9835-3F6643E5F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91">
    <w:name w:val="font91"/>
    <w:basedOn w:val="a0"/>
    <w:rsid w:val="003F788F"/>
    <w:rPr>
      <w:rFonts w:ascii="仿宋_GB2312" w:eastAsia="仿宋_GB2312" w:hint="eastAsia"/>
      <w:b/>
      <w:bCs/>
      <w:i w:val="0"/>
      <w:iCs w:val="0"/>
      <w:strike w:val="0"/>
      <w:dstrike w:val="0"/>
      <w:color w:val="000000"/>
      <w:sz w:val="24"/>
      <w:szCs w:val="24"/>
      <w:u w:val="none"/>
      <w:effect w:val="none"/>
    </w:rPr>
  </w:style>
  <w:style w:type="character" w:customStyle="1" w:styleId="font121">
    <w:name w:val="font121"/>
    <w:basedOn w:val="a0"/>
    <w:rsid w:val="003F788F"/>
    <w:rPr>
      <w:rFonts w:ascii="仿宋_GB2312" w:eastAsia="仿宋_GB2312" w:hint="eastAsia"/>
      <w:b w:val="0"/>
      <w:bCs w:val="0"/>
      <w:i w:val="0"/>
      <w:iCs w:val="0"/>
      <w:strike w:val="0"/>
      <w:dstrike w:val="0"/>
      <w:color w:val="000000"/>
      <w:sz w:val="24"/>
      <w:szCs w:val="24"/>
      <w:u w:val="none"/>
      <w:effect w:val="none"/>
    </w:rPr>
  </w:style>
  <w:style w:type="character" w:customStyle="1" w:styleId="font21">
    <w:name w:val="font21"/>
    <w:basedOn w:val="a0"/>
    <w:rsid w:val="003F788F"/>
    <w:rPr>
      <w:rFonts w:ascii="宋体" w:eastAsia="宋体" w:hAnsi="宋体" w:hint="eastAsia"/>
      <w:b w:val="0"/>
      <w:bCs w:val="0"/>
      <w:i w:val="0"/>
      <w:iCs w:val="0"/>
      <w:strike w:val="0"/>
      <w:dstrike w:val="0"/>
      <w:color w:val="000000"/>
      <w:sz w:val="22"/>
      <w:szCs w:val="22"/>
      <w:u w:val="none"/>
      <w:effect w:val="none"/>
    </w:rPr>
  </w:style>
  <w:style w:type="character" w:customStyle="1" w:styleId="font101">
    <w:name w:val="font101"/>
    <w:basedOn w:val="a0"/>
    <w:rsid w:val="003F788F"/>
    <w:rPr>
      <w:rFonts w:ascii="仿宋_GB2312" w:eastAsia="仿宋_GB2312" w:hint="eastAsia"/>
      <w:b w:val="0"/>
      <w:bCs w:val="0"/>
      <w:i w:val="0"/>
      <w:iCs w:val="0"/>
      <w:strike w:val="0"/>
      <w:dstrike w:val="0"/>
      <w:color w:val="000000"/>
      <w:sz w:val="22"/>
      <w:szCs w:val="22"/>
      <w:u w:val="none"/>
      <w:effect w:val="none"/>
    </w:rPr>
  </w:style>
  <w:style w:type="character" w:customStyle="1" w:styleId="font41">
    <w:name w:val="font41"/>
    <w:basedOn w:val="a0"/>
    <w:rsid w:val="003F788F"/>
    <w:rPr>
      <w:rFonts w:ascii="宋体" w:eastAsia="宋体" w:hAnsi="宋体" w:hint="eastAsia"/>
      <w:b w:val="0"/>
      <w:bCs w:val="0"/>
      <w:i w:val="0"/>
      <w:iCs w:val="0"/>
      <w:strike w:val="0"/>
      <w:dstrike w:val="0"/>
      <w:color w:val="000000"/>
      <w:sz w:val="14"/>
      <w:szCs w:val="1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88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c:creator>
  <cp:lastModifiedBy>Administrator</cp:lastModifiedBy>
  <cp:revision>2</cp:revision>
  <dcterms:created xsi:type="dcterms:W3CDTF">2021-05-21T08:58:00Z</dcterms:created>
  <dcterms:modified xsi:type="dcterms:W3CDTF">2021-05-25T07:34:00Z</dcterms:modified>
</cp:coreProperties>
</file>