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3D5" w:rsidRDefault="005A7BCB">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8923D5" w:rsidRDefault="005A7BCB">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p w:rsidR="008923D5" w:rsidRDefault="008923D5">
      <w:pPr>
        <w:spacing w:line="240" w:lineRule="exact"/>
        <w:rPr>
          <w:rFonts w:ascii="仿宋_GB2312" w:eastAsia="仿宋_GB2312" w:hAnsi="宋体"/>
          <w:sz w:val="30"/>
          <w:szCs w:val="30"/>
        </w:rPr>
      </w:pPr>
    </w:p>
    <w:p w:rsidR="008923D5" w:rsidRDefault="008923D5">
      <w:pPr>
        <w:rPr>
          <w:rFonts w:ascii="仿宋_GB2312" w:eastAsia="仿宋_GB2312"/>
          <w:vanish/>
          <w:sz w:val="32"/>
          <w:szCs w:val="32"/>
        </w:rPr>
      </w:pPr>
    </w:p>
    <w:tbl>
      <w:tblPr>
        <w:tblW w:w="10360" w:type="dxa"/>
        <w:tblInd w:w="96" w:type="dxa"/>
        <w:tblLayout w:type="fixed"/>
        <w:tblLook w:val="04A0" w:firstRow="1" w:lastRow="0" w:firstColumn="1" w:lastColumn="0" w:noHBand="0" w:noVBand="1"/>
      </w:tblPr>
      <w:tblGrid>
        <w:gridCol w:w="515"/>
        <w:gridCol w:w="631"/>
        <w:gridCol w:w="866"/>
        <w:gridCol w:w="1544"/>
        <w:gridCol w:w="1276"/>
        <w:gridCol w:w="1276"/>
        <w:gridCol w:w="1275"/>
        <w:gridCol w:w="1276"/>
        <w:gridCol w:w="425"/>
        <w:gridCol w:w="709"/>
        <w:gridCol w:w="567"/>
      </w:tblGrid>
      <w:tr w:rsidR="008923D5" w:rsidTr="00F16F15">
        <w:trPr>
          <w:trHeight w:val="288"/>
        </w:trPr>
        <w:tc>
          <w:tcPr>
            <w:tcW w:w="201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348"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人才培养质量建设-一流专业建设（年初）</w:t>
            </w:r>
          </w:p>
        </w:tc>
      </w:tr>
      <w:tr w:rsidR="008923D5" w:rsidTr="00F16F15">
        <w:trPr>
          <w:trHeight w:val="288"/>
        </w:trPr>
        <w:tc>
          <w:tcPr>
            <w:tcW w:w="201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409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2977" w:type="dxa"/>
            <w:gridSpan w:val="4"/>
            <w:tcBorders>
              <w:top w:val="single" w:sz="4" w:space="0" w:color="000000"/>
              <w:left w:val="nil"/>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8923D5" w:rsidTr="00F16F15">
        <w:trPr>
          <w:trHeight w:val="288"/>
        </w:trPr>
        <w:tc>
          <w:tcPr>
            <w:tcW w:w="201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409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董明利</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2977"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13911808601</w:t>
            </w:r>
          </w:p>
        </w:tc>
      </w:tr>
      <w:tr w:rsidR="008923D5" w:rsidTr="00F16F15">
        <w:trPr>
          <w:trHeight w:val="520"/>
        </w:trPr>
        <w:tc>
          <w:tcPr>
            <w:tcW w:w="201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282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8923D5">
            <w:pPr>
              <w:jc w:val="center"/>
              <w:rPr>
                <w:rFonts w:ascii="宋体" w:eastAsia="宋体" w:hAnsi="宋体" w:cs="宋体"/>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8923D5" w:rsidTr="00F16F15">
        <w:trPr>
          <w:trHeight w:val="290"/>
        </w:trPr>
        <w:tc>
          <w:tcPr>
            <w:tcW w:w="20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282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198.549925</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198.549925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190.861250</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96.13%</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9.61 </w:t>
            </w:r>
          </w:p>
        </w:tc>
      </w:tr>
      <w:tr w:rsidR="008923D5" w:rsidTr="00F16F15">
        <w:trPr>
          <w:trHeight w:val="288"/>
        </w:trPr>
        <w:tc>
          <w:tcPr>
            <w:tcW w:w="20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282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198.549925</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198.549925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190.861250</w:t>
            </w: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8923D5">
            <w:pPr>
              <w:jc w:val="center"/>
              <w:rPr>
                <w:rFonts w:ascii="宋体" w:eastAsia="宋体" w:hAnsi="宋体" w:cs="宋体"/>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8923D5" w:rsidTr="00F16F15">
        <w:trPr>
          <w:trHeight w:val="288"/>
        </w:trPr>
        <w:tc>
          <w:tcPr>
            <w:tcW w:w="20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282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8923D5">
            <w:pPr>
              <w:jc w:val="center"/>
              <w:rPr>
                <w:rFonts w:ascii="宋体" w:eastAsia="宋体" w:hAnsi="宋体" w:cs="宋体"/>
                <w:color w:val="00000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8923D5">
            <w:pPr>
              <w:jc w:val="center"/>
              <w:rPr>
                <w:rFonts w:ascii="宋体" w:eastAsia="宋体" w:hAnsi="宋体" w:cs="宋体"/>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8923D5">
            <w:pPr>
              <w:jc w:val="center"/>
              <w:rPr>
                <w:rFonts w:ascii="宋体" w:eastAsia="宋体" w:hAnsi="宋体" w:cs="宋体"/>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8923D5">
            <w:pPr>
              <w:jc w:val="center"/>
              <w:rPr>
                <w:rFonts w:ascii="宋体" w:eastAsia="宋体" w:hAnsi="宋体" w:cs="宋体"/>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8923D5" w:rsidTr="00F16F15">
        <w:trPr>
          <w:trHeight w:val="328"/>
        </w:trPr>
        <w:tc>
          <w:tcPr>
            <w:tcW w:w="20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282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8923D5">
            <w:pPr>
              <w:jc w:val="center"/>
              <w:rPr>
                <w:rFonts w:ascii="宋体" w:eastAsia="宋体" w:hAnsi="宋体" w:cs="宋体"/>
                <w:color w:val="00000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8923D5">
            <w:pPr>
              <w:jc w:val="center"/>
              <w:rPr>
                <w:rFonts w:ascii="宋体" w:eastAsia="宋体" w:hAnsi="宋体" w:cs="宋体"/>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8923D5">
            <w:pPr>
              <w:jc w:val="center"/>
              <w:rPr>
                <w:rFonts w:ascii="宋体" w:eastAsia="宋体" w:hAnsi="宋体" w:cs="宋体"/>
                <w:color w:val="000000"/>
                <w:sz w:val="20"/>
                <w:szCs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8923D5">
            <w:pPr>
              <w:jc w:val="center"/>
              <w:rPr>
                <w:rFonts w:ascii="宋体" w:eastAsia="宋体" w:hAnsi="宋体" w:cs="宋体"/>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8923D5" w:rsidTr="00F16F15">
        <w:trPr>
          <w:trHeight w:val="560"/>
        </w:trPr>
        <w:tc>
          <w:tcPr>
            <w:tcW w:w="515"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559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4252"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8923D5" w:rsidTr="00F16F15">
        <w:trPr>
          <w:trHeight w:val="553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559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2020年度目标：</w:t>
            </w:r>
            <w:r>
              <w:rPr>
                <w:rFonts w:ascii="宋体" w:eastAsia="宋体" w:hAnsi="宋体" w:cs="宋体" w:hint="eastAsia"/>
                <w:color w:val="000000"/>
                <w:kern w:val="0"/>
                <w:sz w:val="20"/>
                <w:szCs w:val="20"/>
                <w:lang w:bidi="ar"/>
              </w:rPr>
              <w:br/>
              <w:t>① 完成2020版测控专业人才培养方案修订；</w:t>
            </w:r>
            <w:r>
              <w:rPr>
                <w:rFonts w:ascii="宋体" w:eastAsia="宋体" w:hAnsi="宋体" w:cs="宋体" w:hint="eastAsia"/>
                <w:color w:val="000000"/>
                <w:kern w:val="0"/>
                <w:sz w:val="20"/>
                <w:szCs w:val="20"/>
                <w:lang w:bidi="ar"/>
              </w:rPr>
              <w:br/>
              <w:t>② 加强师资队伍建设，通过工程实践培训、学科合作共建、虚拟教研团队建设等方式提升教师的教学、科研、工程实践水平；</w:t>
            </w:r>
            <w:r>
              <w:rPr>
                <w:rFonts w:ascii="宋体" w:eastAsia="宋体" w:hAnsi="宋体" w:cs="宋体" w:hint="eastAsia"/>
                <w:color w:val="000000"/>
                <w:kern w:val="0"/>
                <w:sz w:val="20"/>
                <w:szCs w:val="20"/>
                <w:lang w:bidi="ar"/>
              </w:rPr>
              <w:br/>
              <w:t>③ 开展5门次的专业核心课程建设，实现课程的教学方法和内容改革，建设优质课程资源；</w:t>
            </w:r>
            <w:r>
              <w:rPr>
                <w:rFonts w:ascii="宋体" w:eastAsia="宋体" w:hAnsi="宋体" w:cs="宋体" w:hint="eastAsia"/>
                <w:color w:val="000000"/>
                <w:kern w:val="0"/>
                <w:sz w:val="20"/>
                <w:szCs w:val="20"/>
                <w:lang w:bidi="ar"/>
              </w:rPr>
              <w:br/>
              <w:t>④ 建设与优化实践教学平台，采购6类42台</w:t>
            </w:r>
            <w:proofErr w:type="gramStart"/>
            <w:r>
              <w:rPr>
                <w:rFonts w:ascii="宋体" w:eastAsia="宋体" w:hAnsi="宋体" w:cs="宋体" w:hint="eastAsia"/>
                <w:color w:val="000000"/>
                <w:kern w:val="0"/>
                <w:sz w:val="20"/>
                <w:szCs w:val="20"/>
                <w:lang w:bidi="ar"/>
              </w:rPr>
              <w:t>套教学</w:t>
            </w:r>
            <w:proofErr w:type="gramEnd"/>
            <w:r>
              <w:rPr>
                <w:rFonts w:ascii="宋体" w:eastAsia="宋体" w:hAnsi="宋体" w:cs="宋体" w:hint="eastAsia"/>
                <w:color w:val="000000"/>
                <w:kern w:val="0"/>
                <w:sz w:val="20"/>
                <w:szCs w:val="20"/>
                <w:lang w:bidi="ar"/>
              </w:rPr>
              <w:t>设备，建立多层次、全面支持学生实践活动的教学训练平台；</w:t>
            </w:r>
            <w:r>
              <w:rPr>
                <w:rFonts w:ascii="宋体" w:eastAsia="宋体" w:hAnsi="宋体" w:cs="宋体" w:hint="eastAsia"/>
                <w:color w:val="000000"/>
                <w:kern w:val="0"/>
                <w:sz w:val="20"/>
                <w:szCs w:val="20"/>
                <w:lang w:bidi="ar"/>
              </w:rPr>
              <w:br/>
              <w:t>⑤ 支持学生开展学科竞赛和创新实践活动，各级竞赛获奖15人次；</w:t>
            </w:r>
            <w:r>
              <w:rPr>
                <w:rFonts w:ascii="宋体" w:eastAsia="宋体" w:hAnsi="宋体" w:cs="宋体" w:hint="eastAsia"/>
                <w:color w:val="000000"/>
                <w:kern w:val="0"/>
                <w:sz w:val="20"/>
                <w:szCs w:val="20"/>
                <w:lang w:bidi="ar"/>
              </w:rPr>
              <w:br/>
              <w:t>⑥ 通过用人单位、毕业校友、第三方调查公司开展专业数据采集和分析，形成专业发展调研报告2份;</w:t>
            </w:r>
            <w:r>
              <w:rPr>
                <w:rFonts w:ascii="宋体" w:eastAsia="宋体" w:hAnsi="宋体" w:cs="宋体" w:hint="eastAsia"/>
                <w:color w:val="000000"/>
                <w:kern w:val="0"/>
                <w:sz w:val="20"/>
                <w:szCs w:val="20"/>
                <w:lang w:bidi="ar"/>
              </w:rPr>
              <w:br/>
              <w:t>⑦ 制作虚拟仿真实践项目资源 1套，专业宣传视频1部。</w:t>
            </w:r>
          </w:p>
        </w:tc>
        <w:tc>
          <w:tcPr>
            <w:tcW w:w="425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通过本项目的建设，对于推动测控技术与仪器专业在人才培养方案修订、师资队伍建设、核心课程建设、实践条件建设等方面的工作发挥了重要作用。</w:t>
            </w:r>
            <w:r>
              <w:rPr>
                <w:rFonts w:ascii="宋体" w:eastAsia="宋体" w:hAnsi="宋体" w:cs="宋体" w:hint="eastAsia"/>
                <w:color w:val="000000"/>
                <w:kern w:val="0"/>
                <w:sz w:val="20"/>
                <w:szCs w:val="20"/>
                <w:lang w:bidi="ar"/>
              </w:rPr>
              <w:br/>
              <w:t>①完成了2020版测控专业、智能感知工程专业培养方案的修订和论证工作，梳理优化了课程体系，并完成了相关专业课程大纲的修订工作。</w:t>
            </w:r>
            <w:r>
              <w:rPr>
                <w:rFonts w:ascii="宋体" w:eastAsia="宋体" w:hAnsi="宋体" w:cs="宋体" w:hint="eastAsia"/>
                <w:color w:val="000000"/>
                <w:kern w:val="0"/>
                <w:sz w:val="20"/>
                <w:szCs w:val="20"/>
                <w:lang w:bidi="ar"/>
              </w:rPr>
              <w:br/>
              <w:t>②加强师资队伍建设，师资队伍水平、规模得到显著提升，队伍结构得到优化。1名教师获得北京市先进工作者荣誉称号；1人入选国家级人才；引入海外高层次人才1人；1人获评北京高校优秀共产党员；3人入选北京市级人才；3人入选中国科协青年托举人才；1人获评2019年度优秀主讲教师；1人获得第十二届青年教师学基本功比赛二等奖；2人获得第十二届青年教师学基本功比赛三等奖；2人获得第十二届青年教师学基本功比赛单项奖。</w:t>
            </w:r>
            <w:r>
              <w:rPr>
                <w:rFonts w:ascii="宋体" w:eastAsia="宋体" w:hAnsi="宋体" w:cs="宋体" w:hint="eastAsia"/>
                <w:color w:val="000000"/>
                <w:kern w:val="0"/>
                <w:sz w:val="20"/>
                <w:szCs w:val="20"/>
                <w:lang w:bidi="ar"/>
              </w:rPr>
              <w:br/>
              <w:t>③积极推进专业核心课程建设与改革。重点建设了5门专业核心课程，包括《智能信息新技术导论》《机器视觉(双语)》《深度学习》《检测技术》等4门新增专业核心课和《测控仪器设计》1门已有核心课，形成教学大纲。教师发表教改论文5篇，学生发表论文10篇，申请软件著作权2项。</w:t>
            </w:r>
            <w:r>
              <w:rPr>
                <w:rFonts w:ascii="宋体" w:eastAsia="宋体" w:hAnsi="宋体" w:cs="宋体" w:hint="eastAsia"/>
                <w:color w:val="000000"/>
                <w:kern w:val="0"/>
                <w:sz w:val="20"/>
                <w:szCs w:val="20"/>
                <w:lang w:bidi="ar"/>
              </w:rPr>
              <w:br/>
              <w:t>④建设与优化了专业实践教学平台，，升级完善北京市级实验教学示范中心“仪器与光电工程实验教学中心”，对专业建设与改革、培养面向新经济的专业人才发挥了重要支持作用。共完成了智能传感器实验装置等8类共79台套设备的招标采购，支撑了《传感器原理及应用》《PLC及应用》《深度学习》等课程的实践条件以及机器人大赛等学科竞赛活动，目前，所有设备均已完成验收，在资产处登记备案，并</w:t>
            </w:r>
            <w:r>
              <w:rPr>
                <w:rFonts w:ascii="宋体" w:eastAsia="宋体" w:hAnsi="宋体" w:cs="宋体" w:hint="eastAsia"/>
                <w:color w:val="000000"/>
                <w:kern w:val="0"/>
                <w:sz w:val="20"/>
                <w:szCs w:val="20"/>
                <w:lang w:bidi="ar"/>
              </w:rPr>
              <w:lastRenderedPageBreak/>
              <w:t>正常使用。</w:t>
            </w:r>
            <w:r>
              <w:rPr>
                <w:rFonts w:ascii="宋体" w:eastAsia="宋体" w:hAnsi="宋体" w:cs="宋体" w:hint="eastAsia"/>
                <w:color w:val="000000"/>
                <w:kern w:val="0"/>
                <w:sz w:val="20"/>
                <w:szCs w:val="20"/>
                <w:lang w:bidi="ar"/>
              </w:rPr>
              <w:br/>
              <w:t>⑤充分支持学生开展学科竞赛和创新实践活动。学生参加各级各类学科竞赛获奖71人次。</w:t>
            </w:r>
            <w:r>
              <w:rPr>
                <w:rFonts w:ascii="宋体" w:eastAsia="宋体" w:hAnsi="宋体" w:cs="宋体" w:hint="eastAsia"/>
                <w:color w:val="000000"/>
                <w:kern w:val="0"/>
                <w:sz w:val="20"/>
                <w:szCs w:val="20"/>
                <w:lang w:bidi="ar"/>
              </w:rPr>
              <w:br/>
              <w:t>⑥ 通过用人单位、毕业校友、第三方调查公司开展专业数据采集和分析，形成专业发展调研报告2份，对于专业确定发展方向和目标、开展专业建设起到指导作用。通过第三方（北京纳人网络科技有限公司）开展专业调查与评价，形成了《北京信息科技大学测控技术与仪器专业评估分析报告（2020）》；仪器科学与光电工程学院在数据调查分析的基础上，形成了《2020届毕业生就业分析报告》。</w:t>
            </w:r>
            <w:r>
              <w:rPr>
                <w:rFonts w:ascii="宋体" w:eastAsia="宋体" w:hAnsi="宋体" w:cs="宋体" w:hint="eastAsia"/>
                <w:color w:val="000000"/>
                <w:kern w:val="0"/>
                <w:sz w:val="20"/>
                <w:szCs w:val="20"/>
                <w:lang w:bidi="ar"/>
              </w:rPr>
              <w:br/>
              <w:t>⑦ 支持开展虚拟仿真实践资源建设和推广，并制作专业宣传材料，利用网络等手段扩大专业影响力。完成了教育部高等学校仪器类专业国家示范性虚拟仿真实验教学项目《微纳传感器加工与测试系列实验》的虚拟仿真实践资源建设，并在北京信息科技大学、清华大学、中科院微电子所等高校和研究院所推广应用。制作高校专业30秒、专业的秘密等测控专业宣传视频2部；制作新版招生宣传材料1份；专业负责人</w:t>
            </w:r>
            <w:proofErr w:type="gramStart"/>
            <w:r>
              <w:rPr>
                <w:rFonts w:ascii="宋体" w:eastAsia="宋体" w:hAnsi="宋体" w:cs="宋体" w:hint="eastAsia"/>
                <w:color w:val="000000"/>
                <w:kern w:val="0"/>
                <w:sz w:val="20"/>
                <w:szCs w:val="20"/>
                <w:lang w:bidi="ar"/>
              </w:rPr>
              <w:t>通过腾讯等</w:t>
            </w:r>
            <w:proofErr w:type="gramEnd"/>
            <w:r>
              <w:rPr>
                <w:rFonts w:ascii="宋体" w:eastAsia="宋体" w:hAnsi="宋体" w:cs="宋体" w:hint="eastAsia"/>
                <w:color w:val="000000"/>
                <w:kern w:val="0"/>
                <w:sz w:val="20"/>
                <w:szCs w:val="20"/>
                <w:lang w:bidi="ar"/>
              </w:rPr>
              <w:t>平台开展《教授讲专业》《王牌专业展播》等在线宣传2次。</w:t>
            </w:r>
            <w:r>
              <w:rPr>
                <w:rFonts w:ascii="宋体" w:eastAsia="宋体" w:hAnsi="宋体" w:cs="宋体" w:hint="eastAsia"/>
                <w:color w:val="000000"/>
                <w:kern w:val="0"/>
                <w:sz w:val="20"/>
                <w:szCs w:val="20"/>
                <w:lang w:bidi="ar"/>
              </w:rPr>
              <w:br/>
              <w:t>⑧ 积极推进实践教学改革。在往年合作的基础上，继续支持与天津大学联合开展《测控专业综合实践》活动。测控专业43名学生与天津大学联合开展了为期6周的《测控专业综合实践》教学环节。两校学生混合编组开展实践活动，同时派出五名教师与天津大学教师组成联合指导小组。实践活动以基于CDIO方式（构思Conceive、设计Design、实现Implement和运作Operate），让学生以主动的、实践的、课程之间有机联系的方式学习工程。该实践项目的实施，对提高学生实践创新能力、终身学习的意愿与能力，提高教师的科研以及教学水平、推动科研成果向本科教学转化均有比较好的效果。新增《机器视觉(双语)》《深度学习》等课程内实验项目5项，新增《传感与信号处理实践》《视觉感知工程实践》等独立实践环节2门。新增开放性实验项目10项。</w:t>
            </w:r>
          </w:p>
        </w:tc>
      </w:tr>
      <w:tr w:rsidR="008923D5" w:rsidTr="00F16F15">
        <w:trPr>
          <w:trHeight w:val="450"/>
        </w:trPr>
        <w:tc>
          <w:tcPr>
            <w:tcW w:w="515"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绩效指标</w:t>
            </w:r>
          </w:p>
        </w:tc>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15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8923D5" w:rsidTr="00F16F15">
        <w:trPr>
          <w:trHeight w:val="41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8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购置教学设备</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6类42台套</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8类共79台</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731BE3">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41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学生学科竞赛等获奖</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15人次</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71人次</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B70E6D">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1.5</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41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专业核心课程建设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5门</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5门</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633"/>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新增、修订课程实验项目</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41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新增开放性实验项目</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10项</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B70E6D">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1.5</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41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形成专业数据调查分析报告</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2份</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2份</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41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虚拟仿真实践项目资源</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1套</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1套</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41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专业宣传视频</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1部</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2部</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41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形成新版培养方案</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1份</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1份</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44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val="restart"/>
            <w:tcBorders>
              <w:top w:val="nil"/>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教学设备</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100%正常使用</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100%正常使用</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53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tcBorders>
              <w:top w:val="nil"/>
              <w:left w:val="single" w:sz="4" w:space="0" w:color="000000"/>
              <w:bottom w:val="single" w:sz="4" w:space="0" w:color="000000"/>
              <w:right w:val="single" w:sz="4" w:space="0" w:color="000000"/>
            </w:tcBorders>
            <w:shd w:val="clear" w:color="auto" w:fill="auto"/>
            <w:noWrap/>
            <w:vAlign w:val="center"/>
          </w:tcPr>
          <w:p w:rsidR="008923D5" w:rsidRDefault="008923D5">
            <w:pPr>
              <w:jc w:val="center"/>
              <w:rPr>
                <w:rFonts w:ascii="宋体" w:eastAsia="宋体" w:hAnsi="宋体" w:cs="宋体"/>
                <w:color w:val="000000"/>
                <w:sz w:val="20"/>
                <w:szCs w:val="20"/>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核心课程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制定新版教学大纲，修订教学内容、实验项目</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完成了核心课程教学大纲的修订，包括教学目标、教学内容和实验项目等。</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53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tcBorders>
              <w:top w:val="nil"/>
              <w:left w:val="single" w:sz="4" w:space="0" w:color="000000"/>
              <w:bottom w:val="single" w:sz="4" w:space="0" w:color="000000"/>
              <w:right w:val="single" w:sz="4" w:space="0" w:color="000000"/>
            </w:tcBorders>
            <w:shd w:val="clear" w:color="auto" w:fill="auto"/>
            <w:noWrap/>
            <w:vAlign w:val="center"/>
          </w:tcPr>
          <w:p w:rsidR="008923D5" w:rsidRDefault="008923D5">
            <w:pPr>
              <w:jc w:val="center"/>
              <w:rPr>
                <w:rFonts w:ascii="宋体" w:eastAsia="宋体" w:hAnsi="宋体" w:cs="宋体"/>
                <w:color w:val="000000"/>
                <w:sz w:val="20"/>
                <w:szCs w:val="20"/>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师资队伍水平提升</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晋升职称、入选人才计划或者获得教学名师称号等</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名教师获得北京市先进工作者荣誉称号；1人入选国家级人才；引入海外高层次人才1人；1人获评北京高校优秀共产党员；3人入选北京市级人才；3人入选中国科协青年托举人才；1人获评2019年度优秀主讲教师；1人获得第十二届青年教师学基本功比赛二等奖；2人获得第十二届青年教师学基本功比赛三等奖；2人获</w:t>
            </w:r>
            <w:r>
              <w:rPr>
                <w:rFonts w:ascii="宋体" w:eastAsia="宋体" w:hAnsi="宋体" w:cs="宋体" w:hint="eastAsia"/>
                <w:color w:val="000000"/>
                <w:kern w:val="0"/>
                <w:sz w:val="20"/>
                <w:szCs w:val="20"/>
                <w:lang w:bidi="ar"/>
              </w:rPr>
              <w:lastRenderedPageBreak/>
              <w:t>得第十二届青年教师学基本功比赛单项奖。</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44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各类项目完成进度</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严格按照计划执行</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截至2021年3月底，各类项目均按照进度计划正常完成。</w:t>
            </w:r>
          </w:p>
        </w:tc>
        <w:tc>
          <w:tcPr>
            <w:tcW w:w="1275" w:type="dxa"/>
            <w:tcBorders>
              <w:top w:val="single" w:sz="4" w:space="0" w:color="000000"/>
              <w:left w:val="single" w:sz="4" w:space="0" w:color="000000"/>
              <w:bottom w:val="nil"/>
              <w:right w:val="nil"/>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44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项目控制预算数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198.549925万元</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190.86125万元</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44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设备费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≤93.6986万元</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Style w:val="font01"/>
                <w:rFonts w:hint="default"/>
                <w:lang w:bidi="ar"/>
              </w:rPr>
              <w:t>93.455万元</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50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val="restart"/>
            <w:tcBorders>
              <w:top w:val="single" w:sz="4" w:space="0" w:color="000000"/>
              <w:left w:val="single" w:sz="4" w:space="0" w:color="000000"/>
              <w:bottom w:val="nil"/>
              <w:right w:val="single" w:sz="4" w:space="0" w:color="000000"/>
            </w:tcBorders>
            <w:shd w:val="clear" w:color="auto" w:fill="auto"/>
            <w:textDirection w:val="tbRlV"/>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w:t>
            </w: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为区域社会经济发展提供智力支撑，促进测控等专业水平提升，为首都信息处理行业、光机电一体化行业发展、京津冀协同发展提供人才、技术支持。进一步普及先进教育理念，贯彻工程教育思想，促进新时期北京教育教学改革的研究与实践，提升专业建设水平，促进北京高校学生培养水平和能力的提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达到预期目标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923D5" w:rsidRDefault="00025F61">
            <w:pPr>
              <w:widowControl/>
              <w:jc w:val="center"/>
              <w:textAlignment w:val="center"/>
              <w:rPr>
                <w:rFonts w:ascii="宋体" w:eastAsia="宋体" w:hAnsi="宋体" w:cs="宋体"/>
                <w:color w:val="000000"/>
                <w:sz w:val="20"/>
                <w:szCs w:val="20"/>
              </w:rPr>
            </w:pPr>
            <w:r w:rsidRPr="00025F61">
              <w:rPr>
                <w:rFonts w:ascii="宋体" w:eastAsia="宋体" w:hAnsi="宋体" w:cs="宋体" w:hint="eastAsia"/>
                <w:color w:val="000000"/>
                <w:kern w:val="0"/>
                <w:sz w:val="20"/>
                <w:szCs w:val="20"/>
                <w:lang w:bidi="ar"/>
              </w:rPr>
              <w:t>实现了测控专业人才培养方案、课程教学体系、实践教学体系、课程教学内容、教师队伍建设等方面的改革与建设，对于建设一流教</w:t>
            </w:r>
            <w:r>
              <w:rPr>
                <w:rFonts w:ascii="宋体" w:eastAsia="宋体" w:hAnsi="宋体" w:cs="宋体" w:hint="eastAsia"/>
                <w:color w:val="000000"/>
                <w:kern w:val="0"/>
                <w:sz w:val="20"/>
                <w:szCs w:val="20"/>
                <w:lang w:bidi="ar"/>
              </w:rPr>
              <w:t>学理念、一流师资队伍、一流毕业生的一流专业起到了重要的推动作用。</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50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可持续影响</w:t>
            </w:r>
          </w:p>
        </w:tc>
        <w:tc>
          <w:tcPr>
            <w:tcW w:w="1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可持续影响</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可持续影响</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923D5" w:rsidRDefault="00025F61">
            <w:pPr>
              <w:widowControl/>
              <w:jc w:val="center"/>
              <w:textAlignment w:val="center"/>
              <w:rPr>
                <w:rFonts w:ascii="宋体" w:eastAsia="宋体" w:hAnsi="宋体" w:cs="宋体"/>
                <w:color w:val="000000"/>
                <w:sz w:val="20"/>
                <w:szCs w:val="20"/>
              </w:rPr>
            </w:pPr>
            <w:r w:rsidRPr="00025F61">
              <w:rPr>
                <w:rFonts w:ascii="宋体" w:eastAsia="宋体" w:hAnsi="宋体" w:cs="宋体" w:hint="eastAsia"/>
                <w:color w:val="000000"/>
                <w:kern w:val="0"/>
                <w:sz w:val="20"/>
                <w:szCs w:val="20"/>
                <w:lang w:bidi="ar"/>
              </w:rPr>
              <w:t>项目建设内容将使测控专业以及智能感知工程专业学生受益，并对未来</w:t>
            </w:r>
            <w:r w:rsidRPr="00025F61">
              <w:rPr>
                <w:rFonts w:ascii="宋体" w:eastAsia="宋体" w:hAnsi="宋体" w:cs="宋体"/>
                <w:color w:val="000000"/>
                <w:kern w:val="0"/>
                <w:sz w:val="20"/>
                <w:szCs w:val="20"/>
                <w:lang w:bidi="ar"/>
              </w:rPr>
              <w:t>5-8年的专业建设和人才培养产生积极影响。</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50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8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服务对象满意度指标</w:t>
            </w:r>
          </w:p>
        </w:tc>
        <w:tc>
          <w:tcPr>
            <w:tcW w:w="1544" w:type="dxa"/>
            <w:tcBorders>
              <w:top w:val="single" w:sz="4" w:space="0" w:color="000000"/>
              <w:left w:val="single" w:sz="4" w:space="0" w:color="000000"/>
              <w:bottom w:val="nil"/>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专业教师满意度</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923D5" w:rsidRDefault="00B70E6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未进行书面满意度调查，</w:t>
            </w:r>
            <w:r w:rsidR="00731BE3">
              <w:rPr>
                <w:rFonts w:ascii="宋体" w:eastAsia="宋体" w:hAnsi="宋体" w:cs="宋体" w:hint="eastAsia"/>
                <w:color w:val="000000"/>
                <w:kern w:val="0"/>
                <w:sz w:val="20"/>
                <w:szCs w:val="20"/>
                <w:lang w:bidi="ar"/>
              </w:rPr>
              <w:t>经询问均满意</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731BE3">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3</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500"/>
        </w:trPr>
        <w:tc>
          <w:tcPr>
            <w:tcW w:w="51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23D5" w:rsidRDefault="008923D5">
            <w:pPr>
              <w:jc w:val="center"/>
              <w:rPr>
                <w:rFonts w:ascii="宋体" w:eastAsia="宋体" w:hAnsi="宋体" w:cs="宋体"/>
                <w:color w:val="000000"/>
                <w:sz w:val="20"/>
                <w:szCs w:val="20"/>
              </w:rPr>
            </w:pPr>
          </w:p>
        </w:tc>
        <w:tc>
          <w:tcPr>
            <w:tcW w:w="631"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23D5" w:rsidRDefault="008923D5">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c>
          <w:tcPr>
            <w:tcW w:w="1544" w:type="dxa"/>
            <w:tcBorders>
              <w:top w:val="single" w:sz="4" w:space="0" w:color="000000"/>
              <w:left w:val="single" w:sz="4" w:space="0" w:color="000000"/>
              <w:bottom w:val="nil"/>
              <w:right w:val="single" w:sz="4" w:space="0" w:color="000000"/>
            </w:tcBorders>
            <w:shd w:val="clear" w:color="auto" w:fill="auto"/>
            <w:vAlign w:val="center"/>
          </w:tcPr>
          <w:p w:rsidR="008923D5" w:rsidRDefault="005A7BCB">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专业学生满意度</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923D5" w:rsidRDefault="00731BE3">
            <w:pPr>
              <w:widowControl/>
              <w:jc w:val="center"/>
              <w:textAlignment w:val="center"/>
              <w:rPr>
                <w:rFonts w:ascii="宋体" w:eastAsia="宋体" w:hAnsi="宋体" w:cs="宋体"/>
                <w:color w:val="000000"/>
                <w:sz w:val="20"/>
                <w:szCs w:val="20"/>
              </w:rPr>
            </w:pPr>
            <w:r w:rsidRPr="00731BE3">
              <w:rPr>
                <w:rFonts w:ascii="宋体" w:eastAsia="宋体" w:hAnsi="宋体" w:cs="宋体" w:hint="eastAsia"/>
                <w:color w:val="000000"/>
                <w:kern w:val="0"/>
                <w:sz w:val="20"/>
                <w:szCs w:val="20"/>
                <w:lang w:bidi="ar"/>
              </w:rPr>
              <w:t>未进行书面满意度调查，经询问均满意</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731BE3">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3</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23D5" w:rsidRDefault="008923D5">
            <w:pPr>
              <w:jc w:val="center"/>
              <w:rPr>
                <w:rFonts w:ascii="宋体" w:eastAsia="宋体" w:hAnsi="宋体" w:cs="宋体"/>
                <w:color w:val="000000"/>
                <w:sz w:val="20"/>
                <w:szCs w:val="20"/>
              </w:rPr>
            </w:pPr>
          </w:p>
        </w:tc>
      </w:tr>
      <w:tr w:rsidR="008923D5" w:rsidTr="00F16F15">
        <w:trPr>
          <w:trHeight w:val="500"/>
        </w:trPr>
        <w:tc>
          <w:tcPr>
            <w:tcW w:w="6108"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总分</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5A7BCB">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B70E6D" w:rsidP="00B70E6D">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8</w:t>
            </w:r>
            <w:r w:rsidR="00731BE3">
              <w:rPr>
                <w:rFonts w:ascii="宋体" w:eastAsia="宋体" w:hAnsi="宋体" w:cs="宋体"/>
                <w:b/>
                <w:bCs/>
                <w:color w:val="000000"/>
                <w:kern w:val="0"/>
                <w:sz w:val="20"/>
                <w:szCs w:val="20"/>
                <w:lang w:bidi="ar"/>
              </w:rPr>
              <w:t>4</w:t>
            </w:r>
            <w:bookmarkStart w:id="0" w:name="_GoBack"/>
            <w:bookmarkEnd w:id="0"/>
            <w:r w:rsidR="005A7BCB">
              <w:rPr>
                <w:rFonts w:ascii="宋体" w:eastAsia="宋体" w:hAnsi="宋体" w:cs="宋体" w:hint="eastAsia"/>
                <w:b/>
                <w:bCs/>
                <w:color w:val="000000"/>
                <w:kern w:val="0"/>
                <w:sz w:val="20"/>
                <w:szCs w:val="20"/>
                <w:lang w:bidi="ar"/>
              </w:rPr>
              <w:t>.</w:t>
            </w:r>
            <w:r w:rsidR="00731BE3">
              <w:rPr>
                <w:rFonts w:ascii="宋体" w:eastAsia="宋体" w:hAnsi="宋体" w:cs="宋体"/>
                <w:b/>
                <w:bCs/>
                <w:color w:val="000000"/>
                <w:kern w:val="0"/>
                <w:sz w:val="20"/>
                <w:szCs w:val="20"/>
                <w:lang w:bidi="ar"/>
              </w:rPr>
              <w:t>6</w:t>
            </w:r>
            <w:r w:rsidR="005A7BCB">
              <w:rPr>
                <w:rFonts w:ascii="宋体" w:eastAsia="宋体" w:hAnsi="宋体" w:cs="宋体" w:hint="eastAsia"/>
                <w:b/>
                <w:bCs/>
                <w:color w:val="000000"/>
                <w:kern w:val="0"/>
                <w:sz w:val="20"/>
                <w:szCs w:val="20"/>
                <w:lang w:bidi="ar"/>
              </w:rPr>
              <w:t>1</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923D5" w:rsidRDefault="008923D5">
            <w:pPr>
              <w:jc w:val="center"/>
              <w:rPr>
                <w:rFonts w:ascii="宋体" w:eastAsia="宋体" w:hAnsi="宋体" w:cs="宋体"/>
                <w:b/>
                <w:bCs/>
                <w:color w:val="000000"/>
                <w:sz w:val="20"/>
                <w:szCs w:val="20"/>
              </w:rPr>
            </w:pPr>
          </w:p>
        </w:tc>
      </w:tr>
    </w:tbl>
    <w:p w:rsidR="008923D5" w:rsidRDefault="008923D5">
      <w:pPr>
        <w:widowControl/>
        <w:jc w:val="left"/>
        <w:rPr>
          <w:rFonts w:ascii="仿宋_GB2312" w:eastAsia="仿宋_GB2312" w:hAnsi="宋体" w:cs="宋体"/>
          <w:color w:val="000000"/>
          <w:kern w:val="0"/>
          <w:sz w:val="32"/>
          <w:szCs w:val="32"/>
        </w:rPr>
      </w:pPr>
    </w:p>
    <w:sectPr w:rsidR="008923D5">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25F61"/>
    <w:rsid w:val="00061952"/>
    <w:rsid w:val="00084D56"/>
    <w:rsid w:val="0009089E"/>
    <w:rsid w:val="000B5F37"/>
    <w:rsid w:val="000F31E1"/>
    <w:rsid w:val="0011449D"/>
    <w:rsid w:val="00146703"/>
    <w:rsid w:val="0016643C"/>
    <w:rsid w:val="00180FC0"/>
    <w:rsid w:val="001A48BB"/>
    <w:rsid w:val="00247019"/>
    <w:rsid w:val="00257CF9"/>
    <w:rsid w:val="002A1B5D"/>
    <w:rsid w:val="002D61FC"/>
    <w:rsid w:val="002F2E8A"/>
    <w:rsid w:val="003023E1"/>
    <w:rsid w:val="003024BF"/>
    <w:rsid w:val="003077FE"/>
    <w:rsid w:val="00373CEC"/>
    <w:rsid w:val="00403A4A"/>
    <w:rsid w:val="0041011E"/>
    <w:rsid w:val="00423B3E"/>
    <w:rsid w:val="00435267"/>
    <w:rsid w:val="004670FB"/>
    <w:rsid w:val="0047647C"/>
    <w:rsid w:val="00476C0D"/>
    <w:rsid w:val="004A6673"/>
    <w:rsid w:val="004B2FD2"/>
    <w:rsid w:val="004C07EF"/>
    <w:rsid w:val="004E2955"/>
    <w:rsid w:val="00504F72"/>
    <w:rsid w:val="005050D7"/>
    <w:rsid w:val="005142C6"/>
    <w:rsid w:val="00524F50"/>
    <w:rsid w:val="00543835"/>
    <w:rsid w:val="005537E2"/>
    <w:rsid w:val="005A5317"/>
    <w:rsid w:val="005A7BCB"/>
    <w:rsid w:val="005C7DC7"/>
    <w:rsid w:val="005F37F8"/>
    <w:rsid w:val="006576B7"/>
    <w:rsid w:val="00657CD3"/>
    <w:rsid w:val="0069369A"/>
    <w:rsid w:val="006A49CD"/>
    <w:rsid w:val="006B0E8E"/>
    <w:rsid w:val="00731819"/>
    <w:rsid w:val="00731BE3"/>
    <w:rsid w:val="00734E9E"/>
    <w:rsid w:val="00747895"/>
    <w:rsid w:val="00781169"/>
    <w:rsid w:val="007A7C70"/>
    <w:rsid w:val="008923D5"/>
    <w:rsid w:val="00896B45"/>
    <w:rsid w:val="008B77AD"/>
    <w:rsid w:val="009109E6"/>
    <w:rsid w:val="00945D32"/>
    <w:rsid w:val="00996843"/>
    <w:rsid w:val="009A6436"/>
    <w:rsid w:val="009D4D32"/>
    <w:rsid w:val="009D6367"/>
    <w:rsid w:val="00A13DF1"/>
    <w:rsid w:val="00A15E91"/>
    <w:rsid w:val="00A4449D"/>
    <w:rsid w:val="00A822F8"/>
    <w:rsid w:val="00AD34F0"/>
    <w:rsid w:val="00B70E6D"/>
    <w:rsid w:val="00B7660A"/>
    <w:rsid w:val="00BB2E2B"/>
    <w:rsid w:val="00BD79C1"/>
    <w:rsid w:val="00C128FA"/>
    <w:rsid w:val="00CC4AA3"/>
    <w:rsid w:val="00CE6821"/>
    <w:rsid w:val="00D4778B"/>
    <w:rsid w:val="00D55FE7"/>
    <w:rsid w:val="00D64315"/>
    <w:rsid w:val="00D719AF"/>
    <w:rsid w:val="00DA0F1C"/>
    <w:rsid w:val="00DD6407"/>
    <w:rsid w:val="00DE28D2"/>
    <w:rsid w:val="00E42B6F"/>
    <w:rsid w:val="00E45636"/>
    <w:rsid w:val="00E518A9"/>
    <w:rsid w:val="00E55175"/>
    <w:rsid w:val="00E9552B"/>
    <w:rsid w:val="00EE3A91"/>
    <w:rsid w:val="00F032AF"/>
    <w:rsid w:val="00F044D8"/>
    <w:rsid w:val="00F16F15"/>
    <w:rsid w:val="00F43576"/>
    <w:rsid w:val="00F70CD5"/>
    <w:rsid w:val="00FC05A8"/>
    <w:rsid w:val="00FC14FA"/>
    <w:rsid w:val="33440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21A3A39-2CEB-4F28-BB96-193F20514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font01">
    <w:name w:val="font01"/>
    <w:basedOn w:val="a0"/>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A823C1-DE39-417C-8DDB-B8E981E74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5</Pages>
  <Words>488</Words>
  <Characters>2787</Characters>
  <Application>Microsoft Office Word</Application>
  <DocSecurity>0</DocSecurity>
  <Lines>23</Lines>
  <Paragraphs>6</Paragraphs>
  <ScaleCrop>false</ScaleCrop>
  <Company/>
  <LinksUpToDate>false</LinksUpToDate>
  <CharactersWithSpaces>3269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47</cp:revision>
  <dcterms:created xsi:type="dcterms:W3CDTF">2021-03-18T00:22:00Z</dcterms:created>
  <dcterms:modified xsi:type="dcterms:W3CDTF">2021-05-25T09:10:00Z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7D1185C3B6154B75AFD33CF0041B58D3</vt:lpwstr>
  </property>
</Properties>
</file>