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0FE" w:rsidRDefault="00E420FE">
      <w:pPr>
        <w:jc w:val="center"/>
        <w:rPr>
          <w:rFonts w:ascii="宋体" w:eastAsia="宋体" w:hAnsi="宋体"/>
          <w:szCs w:val="21"/>
        </w:rPr>
      </w:pPr>
    </w:p>
    <w:p w:rsidR="00E420FE" w:rsidRDefault="008A5F07">
      <w:pPr>
        <w:spacing w:line="480" w:lineRule="exact"/>
        <w:rPr>
          <w:rFonts w:ascii="黑体" w:eastAsia="黑体" w:hAnsi="黑体"/>
          <w:sz w:val="32"/>
          <w:szCs w:val="32"/>
        </w:rPr>
      </w:pPr>
      <w:r>
        <w:rPr>
          <w:rFonts w:ascii="黑体" w:eastAsia="黑体" w:hAnsi="黑体" w:hint="eastAsia"/>
          <w:sz w:val="32"/>
          <w:szCs w:val="32"/>
        </w:rPr>
        <w:t xml:space="preserve">     </w:t>
      </w:r>
    </w:p>
    <w:p w:rsidR="00E420FE" w:rsidRDefault="008A5F0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E420FE" w:rsidRDefault="008A5F07">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E420FE" w:rsidRDefault="00E420FE">
      <w:pPr>
        <w:spacing w:line="240" w:lineRule="exact"/>
        <w:rPr>
          <w:rFonts w:ascii="仿宋_GB2312" w:eastAsia="仿宋_GB2312" w:hAnsi="宋体"/>
          <w:sz w:val="30"/>
          <w:szCs w:val="30"/>
        </w:rPr>
      </w:pPr>
    </w:p>
    <w:p w:rsidR="00E420FE" w:rsidRDefault="00E420FE">
      <w:pPr>
        <w:rPr>
          <w:rFonts w:ascii="仿宋_GB2312" w:eastAsia="仿宋_GB2312"/>
          <w:vanish/>
          <w:sz w:val="32"/>
          <w:szCs w:val="32"/>
        </w:rPr>
      </w:pPr>
    </w:p>
    <w:tbl>
      <w:tblPr>
        <w:tblW w:w="9894" w:type="dxa"/>
        <w:tblInd w:w="96" w:type="dxa"/>
        <w:tblLayout w:type="fixed"/>
        <w:tblLook w:val="04A0" w:firstRow="1" w:lastRow="0" w:firstColumn="1" w:lastColumn="0" w:noHBand="0" w:noVBand="1"/>
      </w:tblPr>
      <w:tblGrid>
        <w:gridCol w:w="525"/>
        <w:gridCol w:w="763"/>
        <w:gridCol w:w="770"/>
        <w:gridCol w:w="1244"/>
        <w:gridCol w:w="901"/>
        <w:gridCol w:w="1240"/>
        <w:gridCol w:w="1224"/>
        <w:gridCol w:w="1236"/>
        <w:gridCol w:w="480"/>
        <w:gridCol w:w="840"/>
        <w:gridCol w:w="671"/>
      </w:tblGrid>
      <w:tr w:rsidR="00E420FE">
        <w:trPr>
          <w:trHeight w:val="288"/>
        </w:trPr>
        <w:tc>
          <w:tcPr>
            <w:tcW w:w="20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836"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国际合作与交流-“一带一路”国家人才培养基地项目</w:t>
            </w:r>
          </w:p>
        </w:tc>
      </w:tr>
      <w:tr w:rsidR="00E420FE">
        <w:trPr>
          <w:trHeight w:val="288"/>
        </w:trPr>
        <w:tc>
          <w:tcPr>
            <w:tcW w:w="20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3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227" w:type="dxa"/>
            <w:gridSpan w:val="4"/>
            <w:tcBorders>
              <w:top w:val="single" w:sz="4" w:space="0" w:color="000000"/>
              <w:left w:val="nil"/>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E420FE">
        <w:trPr>
          <w:trHeight w:val="288"/>
        </w:trPr>
        <w:tc>
          <w:tcPr>
            <w:tcW w:w="20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3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张琳</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22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82427103</w:t>
            </w:r>
          </w:p>
        </w:tc>
      </w:tr>
      <w:tr w:rsidR="00E420FE">
        <w:trPr>
          <w:trHeight w:val="568"/>
        </w:trPr>
        <w:tc>
          <w:tcPr>
            <w:tcW w:w="20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E420FE">
        <w:trPr>
          <w:trHeight w:val="290"/>
        </w:trPr>
        <w:tc>
          <w:tcPr>
            <w:tcW w:w="20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152.240000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125.380399</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123.950870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98.86%</w:t>
            </w: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9.89 </w:t>
            </w:r>
          </w:p>
        </w:tc>
      </w:tr>
      <w:tr w:rsidR="00E420FE">
        <w:trPr>
          <w:trHeight w:val="288"/>
        </w:trPr>
        <w:tc>
          <w:tcPr>
            <w:tcW w:w="20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152.240000</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125.380399</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123.950870</w:t>
            </w: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E420FE">
        <w:trPr>
          <w:trHeight w:val="288"/>
        </w:trPr>
        <w:tc>
          <w:tcPr>
            <w:tcW w:w="20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E420FE">
        <w:trPr>
          <w:trHeight w:val="328"/>
        </w:trPr>
        <w:tc>
          <w:tcPr>
            <w:tcW w:w="20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214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color w:val="000000"/>
                <w:sz w:val="20"/>
                <w:szCs w:val="20"/>
              </w:rPr>
            </w:pPr>
          </w:p>
        </w:tc>
        <w:tc>
          <w:tcPr>
            <w:tcW w:w="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E420FE">
        <w:trPr>
          <w:trHeight w:val="568"/>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4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451"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E420FE">
        <w:trPr>
          <w:trHeight w:val="2233"/>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4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本项目旨在招收“一带一路”沿线国家硕士研究生新生，加强课程建设。2020年计划利用项目经费中的112.24万元资助2020年秋季入学的优秀的“一带一路”沿线国家研究生新生8名,同时继续资助2019年“紫禁城奖学金”获得者6名和2018年“紫禁城奖学金”获得者2名。另外，计划将项目经费中的40万元用于专业与课程建设，形成线上、线下丰富的课程教学资源，带动师资教学团队不断发展，信息特色更加鲜明。最终扩大与“一带一路”沿线国家的合作范围，进行教学改革，提高我校信息化专业特色办学水平。</w:t>
            </w:r>
          </w:p>
        </w:tc>
        <w:tc>
          <w:tcPr>
            <w:tcW w:w="445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实现年初设定的总体目标：2020年招收“一带一路”沿线国家8名硕士研究生新生，并继续资助2019年“紫禁城奖学金”生6名和2018年“紫禁城奖学金”生2名，按照计划完成“紫禁城奖学金”生资助。课程建设方面，已开发并逐步形成线上、线下丰富的课程教学资源，师资教学队伍进一步增强，信息特色更加鲜明。通过课程建设，我校信息化专业特色办学水平得到进一步提高。</w:t>
            </w:r>
          </w:p>
        </w:tc>
      </w:tr>
      <w:tr w:rsidR="00E420FE" w:rsidTr="003B571A">
        <w:trPr>
          <w:trHeight w:val="575"/>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7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资助2020年入学“紫禁城奖学金”新生</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8名</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资助2019年入学“紫禁城奖学金”老生</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6名</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资助2018年入学“紫禁城奖学金”老生</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2名</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培养青年教师</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11名</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21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培养研究生</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68名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32名</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0.5</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培养方面，以《大数据处理技术》为例，提供的学生名单为课程负责人作为导师指导的研究生，共计17名，而该项目是个教学课程项目，自2017年起该课程负责人为计算机学院研究生开设了《大数据处理技术》课程，受益学生是所有选课学生，实际超过预定目标。</w:t>
            </w:r>
          </w:p>
        </w:tc>
      </w:tr>
      <w:tr w:rsidR="00E420FE" w:rsidTr="003B571A">
        <w:trPr>
          <w:trHeight w:val="134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完成教材</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3部,另有1部完成初稿未出版</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0.5</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教材完成方面，由于该项目经费不可用于出版教材，故部分课程的教材完成了初稿，暂未出版;个别课程负责编写的老师因身体原因或因调离本单位导致写作有所延滞。</w:t>
            </w: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完成课件</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5件</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6件</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发表论文</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7篇</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13篇</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55607F">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tcBorders>
              <w:top w:val="single" w:sz="4" w:space="0" w:color="000000"/>
              <w:left w:val="single" w:sz="4" w:space="0" w:color="000000"/>
              <w:bottom w:val="nil"/>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“紫禁城”奖学金评选</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符合“紫禁城奖学金”评选标准</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符合“紫禁城奖学金”评选标准</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1A59F8">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r>
              <w:rPr>
                <w:rFonts w:ascii="宋体" w:eastAsia="宋体" w:hAnsi="宋体" w:cs="宋体"/>
                <w:color w:val="000000"/>
                <w:kern w:val="0"/>
                <w:sz w:val="20"/>
                <w:szCs w:val="20"/>
                <w:lang w:bidi="ar"/>
              </w:rPr>
              <w:t>3</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2020年硕士新生招生宣传</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2020年1-6月</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2020年1-6月</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2020年硕士新生材料审核</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2020年6-8月</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2020年6-8月</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确定2020年奖学金生名单</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2020年9月</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2020年9月</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“紫禁城奖学金”发放</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2020年10-11月</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2020年10-11月</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专业与课程建设</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严格按照计划进行</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严格按照计划进行</w:t>
            </w:r>
          </w:p>
        </w:tc>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152.24万元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123.95087万元</w:t>
            </w:r>
          </w:p>
        </w:tc>
        <w:tc>
          <w:tcPr>
            <w:tcW w:w="1224" w:type="dxa"/>
            <w:tcBorders>
              <w:top w:val="single" w:sz="4" w:space="0" w:color="000000"/>
              <w:left w:val="single" w:sz="4" w:space="0" w:color="000000"/>
              <w:bottom w:val="nil"/>
              <w:right w:val="nil"/>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专业与课程建设</w:t>
            </w:r>
          </w:p>
        </w:tc>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4万元/门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4万元/门</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68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学校国际化和现代化办学水平</w:t>
            </w:r>
          </w:p>
        </w:tc>
        <w:tc>
          <w:tcPr>
            <w:tcW w:w="90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得到提升</w:t>
            </w:r>
          </w:p>
        </w:tc>
        <w:tc>
          <w:tcPr>
            <w:tcW w:w="12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C45D1F" w:rsidP="00C45D1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在该项目的辐射带动下，学校国际化和现代化办学水平得以提升</w:t>
            </w:r>
            <w:r w:rsidR="003B571A" w:rsidRPr="003B571A">
              <w:rPr>
                <w:rFonts w:ascii="宋体" w:eastAsia="宋体" w:hAnsi="宋体" w:cs="宋体" w:hint="eastAsia"/>
                <w:color w:val="000000"/>
                <w:kern w:val="0"/>
                <w:sz w:val="20"/>
                <w:szCs w:val="20"/>
                <w:lang w:bidi="ar"/>
              </w:rPr>
              <w:t>。</w:t>
            </w:r>
            <w:r w:rsidR="003B571A" w:rsidRPr="003B571A">
              <w:rPr>
                <w:rFonts w:ascii="宋体" w:eastAsia="宋体" w:hAnsi="宋体" w:cs="宋体"/>
                <w:color w:val="000000"/>
                <w:kern w:val="0"/>
                <w:sz w:val="20"/>
                <w:szCs w:val="20"/>
                <w:lang w:bidi="ar"/>
              </w:rPr>
              <w:t>2020年通过“紫禁城奖学金”，首次招收了电子与通信工程专业研究生，填补了信息类学科国际研究生招生空白；硕士研究生招生数量呈上升态势，实现既定招生目标</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68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E420FE" w:rsidRDefault="00E420FE">
            <w:pPr>
              <w:jc w:val="center"/>
              <w:rPr>
                <w:rFonts w:ascii="宋体" w:eastAsia="宋体" w:hAnsi="宋体" w:cs="宋体"/>
                <w:color w:val="000000"/>
                <w:sz w:val="20"/>
                <w:szCs w:val="20"/>
              </w:rPr>
            </w:pPr>
          </w:p>
        </w:tc>
        <w:tc>
          <w:tcPr>
            <w:tcW w:w="770" w:type="dxa"/>
            <w:tcBorders>
              <w:top w:val="single" w:sz="4" w:space="0" w:color="000000"/>
              <w:left w:val="single" w:sz="4" w:space="0" w:color="000000"/>
              <w:bottom w:val="nil"/>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可持续影响指标</w:t>
            </w:r>
          </w:p>
        </w:tc>
        <w:tc>
          <w:tcPr>
            <w:tcW w:w="12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学校国际影响力和竞争力</w:t>
            </w:r>
          </w:p>
        </w:tc>
        <w:tc>
          <w:tcPr>
            <w:tcW w:w="90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得到提升</w:t>
            </w:r>
          </w:p>
        </w:tc>
        <w:tc>
          <w:tcPr>
            <w:tcW w:w="12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3B571A">
            <w:pPr>
              <w:widowControl/>
              <w:jc w:val="center"/>
              <w:textAlignment w:val="center"/>
              <w:rPr>
                <w:rFonts w:ascii="宋体" w:eastAsia="宋体" w:hAnsi="宋体" w:cs="宋体"/>
                <w:color w:val="000000"/>
                <w:sz w:val="20"/>
                <w:szCs w:val="20"/>
              </w:rPr>
            </w:pPr>
            <w:r w:rsidRPr="003B571A">
              <w:rPr>
                <w:rFonts w:ascii="宋体" w:eastAsia="宋体" w:hAnsi="宋体" w:cs="宋体" w:hint="eastAsia"/>
                <w:color w:val="000000"/>
                <w:kern w:val="0"/>
                <w:sz w:val="20"/>
                <w:szCs w:val="20"/>
                <w:lang w:bidi="ar"/>
              </w:rPr>
              <w:t>在该项目的辐射带动下，学校国际影响力和竞争力</w:t>
            </w:r>
            <w:r w:rsidR="008A5F07">
              <w:rPr>
                <w:rFonts w:ascii="宋体" w:eastAsia="宋体" w:hAnsi="宋体" w:cs="宋体" w:hint="eastAsia"/>
                <w:color w:val="000000"/>
                <w:kern w:val="0"/>
                <w:sz w:val="20"/>
                <w:szCs w:val="20"/>
                <w:lang w:bidi="ar"/>
              </w:rPr>
              <w:t>得到提升</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E420FE" w:rsidTr="003B571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E420FE" w:rsidRDefault="00E420FE">
            <w:pPr>
              <w:jc w:val="center"/>
              <w:rPr>
                <w:rFonts w:ascii="宋体" w:eastAsia="宋体" w:hAnsi="宋体" w:cs="宋体"/>
                <w:color w:val="000000"/>
                <w:sz w:val="20"/>
                <w:szCs w:val="20"/>
              </w:rPr>
            </w:pPr>
          </w:p>
        </w:tc>
        <w:tc>
          <w:tcPr>
            <w:tcW w:w="76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244" w:type="dxa"/>
            <w:tcBorders>
              <w:top w:val="single" w:sz="4" w:space="0" w:color="000000"/>
              <w:left w:val="single" w:sz="4" w:space="0" w:color="000000"/>
              <w:bottom w:val="nil"/>
              <w:right w:val="single" w:sz="4" w:space="0" w:color="000000"/>
            </w:tcBorders>
            <w:shd w:val="clear" w:color="auto" w:fill="auto"/>
            <w:vAlign w:val="center"/>
          </w:tcPr>
          <w:p w:rsidR="00E420FE" w:rsidRDefault="008A5F07" w:rsidP="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国际学生对学院的满意度</w:t>
            </w:r>
          </w:p>
        </w:tc>
        <w:tc>
          <w:tcPr>
            <w:tcW w:w="90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40"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未进行正式的满意度调查</w:t>
            </w:r>
            <w:r w:rsidR="001A59F8" w:rsidRPr="001A59F8">
              <w:rPr>
                <w:rFonts w:ascii="宋体" w:eastAsia="宋体" w:hAnsi="宋体" w:cs="宋体" w:hint="eastAsia"/>
                <w:color w:val="000000"/>
                <w:kern w:val="0"/>
                <w:sz w:val="20"/>
                <w:szCs w:val="20"/>
                <w:lang w:bidi="ar"/>
              </w:rPr>
              <w:t>经询问均满意</w:t>
            </w:r>
            <w:bookmarkStart w:id="0" w:name="_GoBack"/>
            <w:bookmarkEnd w:id="0"/>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1A59F8">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420FE" w:rsidRDefault="00E420FE">
            <w:pPr>
              <w:jc w:val="center"/>
              <w:rPr>
                <w:rFonts w:ascii="宋体" w:eastAsia="宋体" w:hAnsi="宋体" w:cs="宋体"/>
                <w:color w:val="000000"/>
                <w:sz w:val="20"/>
                <w:szCs w:val="20"/>
              </w:rPr>
            </w:pPr>
          </w:p>
        </w:tc>
      </w:tr>
      <w:tr w:rsidR="008A5F07" w:rsidTr="0093445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A5F07" w:rsidRDefault="008A5F07" w:rsidP="008A5F07">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A5F07" w:rsidRDefault="008A5F07" w:rsidP="008A5F07">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5F07" w:rsidRDefault="008A5F07" w:rsidP="008A5F07">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nil"/>
              <w:right w:val="single" w:sz="4" w:space="0" w:color="000000"/>
            </w:tcBorders>
            <w:shd w:val="clear" w:color="auto" w:fill="auto"/>
            <w:vAlign w:val="center"/>
          </w:tcPr>
          <w:p w:rsidR="008A5F07" w:rsidRDefault="008A5F07" w:rsidP="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授课学生满意度</w:t>
            </w:r>
          </w:p>
        </w:tc>
        <w:tc>
          <w:tcPr>
            <w:tcW w:w="90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A5F07" w:rsidRDefault="008A5F07" w:rsidP="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40" w:type="dxa"/>
            <w:tcBorders>
              <w:top w:val="single" w:sz="4" w:space="0" w:color="000000"/>
              <w:left w:val="single" w:sz="4" w:space="0" w:color="000000"/>
              <w:bottom w:val="single" w:sz="4" w:space="0" w:color="000000"/>
              <w:right w:val="single" w:sz="4" w:space="0" w:color="000000"/>
            </w:tcBorders>
            <w:shd w:val="clear" w:color="auto" w:fill="FFFFFF"/>
            <w:noWrap/>
          </w:tcPr>
          <w:p w:rsidR="008A5F07" w:rsidRDefault="008A5F07" w:rsidP="008A5F07">
            <w:pPr>
              <w:jc w:val="center"/>
            </w:pPr>
            <w:r w:rsidRPr="00B7593E">
              <w:rPr>
                <w:rFonts w:ascii="宋体" w:eastAsia="宋体" w:hAnsi="宋体" w:cs="宋体" w:hint="eastAsia"/>
                <w:color w:val="000000"/>
                <w:kern w:val="0"/>
                <w:sz w:val="20"/>
                <w:szCs w:val="20"/>
                <w:lang w:bidi="ar"/>
              </w:rPr>
              <w:t>未进行正式的满意度调查</w:t>
            </w:r>
            <w:r w:rsidR="001A59F8" w:rsidRPr="001A59F8">
              <w:rPr>
                <w:rFonts w:ascii="宋体" w:eastAsia="宋体" w:hAnsi="宋体" w:cs="宋体" w:hint="eastAsia"/>
                <w:color w:val="000000"/>
                <w:kern w:val="0"/>
                <w:sz w:val="20"/>
                <w:szCs w:val="20"/>
                <w:lang w:bidi="ar"/>
              </w:rPr>
              <w:t>经询问均满意</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A5F07" w:rsidRDefault="008A5F07" w:rsidP="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A5F07" w:rsidRDefault="001A59F8" w:rsidP="008A5F0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A5F07" w:rsidRDefault="008A5F07" w:rsidP="008A5F07">
            <w:pPr>
              <w:jc w:val="center"/>
              <w:rPr>
                <w:rFonts w:ascii="宋体" w:eastAsia="宋体" w:hAnsi="宋体" w:cs="宋体"/>
                <w:color w:val="000000"/>
                <w:sz w:val="20"/>
                <w:szCs w:val="20"/>
              </w:rPr>
            </w:pPr>
          </w:p>
        </w:tc>
      </w:tr>
      <w:tr w:rsidR="008A5F07" w:rsidTr="0093445A">
        <w:trPr>
          <w:trHeight w:val="520"/>
        </w:trPr>
        <w:tc>
          <w:tcPr>
            <w:tcW w:w="525"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A5F07" w:rsidRDefault="008A5F07" w:rsidP="008A5F07">
            <w:pPr>
              <w:jc w:val="center"/>
              <w:rPr>
                <w:rFonts w:ascii="宋体" w:eastAsia="宋体" w:hAnsi="宋体" w:cs="宋体"/>
                <w:color w:val="000000"/>
                <w:sz w:val="20"/>
                <w:szCs w:val="20"/>
              </w:rPr>
            </w:pPr>
          </w:p>
        </w:tc>
        <w:tc>
          <w:tcPr>
            <w:tcW w:w="763"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A5F07" w:rsidRDefault="008A5F07" w:rsidP="008A5F07">
            <w:pPr>
              <w:jc w:val="center"/>
              <w:rPr>
                <w:rFonts w:ascii="宋体" w:eastAsia="宋体" w:hAnsi="宋体" w:cs="宋体"/>
                <w:color w:val="000000"/>
                <w:sz w:val="20"/>
                <w:szCs w:val="20"/>
              </w:rPr>
            </w:pPr>
          </w:p>
        </w:tc>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A5F07" w:rsidRDefault="008A5F07" w:rsidP="008A5F07">
            <w:pPr>
              <w:jc w:val="center"/>
              <w:rPr>
                <w:rFonts w:ascii="宋体" w:eastAsia="宋体" w:hAnsi="宋体" w:cs="宋体"/>
                <w:color w:val="000000"/>
                <w:sz w:val="20"/>
                <w:szCs w:val="20"/>
              </w:rPr>
            </w:pPr>
          </w:p>
        </w:tc>
        <w:tc>
          <w:tcPr>
            <w:tcW w:w="1244" w:type="dxa"/>
            <w:tcBorders>
              <w:top w:val="single" w:sz="4" w:space="0" w:color="000000"/>
              <w:left w:val="single" w:sz="4" w:space="0" w:color="000000"/>
              <w:bottom w:val="nil"/>
              <w:right w:val="single" w:sz="4" w:space="0" w:color="000000"/>
            </w:tcBorders>
            <w:shd w:val="clear" w:color="auto" w:fill="auto"/>
            <w:vAlign w:val="center"/>
          </w:tcPr>
          <w:p w:rsidR="008A5F07" w:rsidRDefault="008A5F07" w:rsidP="008A5F0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受益教师满意度</w:t>
            </w:r>
          </w:p>
        </w:tc>
        <w:tc>
          <w:tcPr>
            <w:tcW w:w="90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A5F07" w:rsidRDefault="008A5F07" w:rsidP="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40" w:type="dxa"/>
            <w:tcBorders>
              <w:top w:val="single" w:sz="4" w:space="0" w:color="000000"/>
              <w:left w:val="single" w:sz="4" w:space="0" w:color="000000"/>
              <w:bottom w:val="single" w:sz="4" w:space="0" w:color="000000"/>
              <w:right w:val="single" w:sz="4" w:space="0" w:color="000000"/>
            </w:tcBorders>
            <w:shd w:val="clear" w:color="auto" w:fill="FFFFFF"/>
            <w:noWrap/>
          </w:tcPr>
          <w:p w:rsidR="008A5F07" w:rsidRDefault="008A5F07" w:rsidP="008A5F07">
            <w:pPr>
              <w:jc w:val="center"/>
            </w:pPr>
            <w:r w:rsidRPr="00B7593E">
              <w:rPr>
                <w:rFonts w:ascii="宋体" w:eastAsia="宋体" w:hAnsi="宋体" w:cs="宋体" w:hint="eastAsia"/>
                <w:color w:val="000000"/>
                <w:kern w:val="0"/>
                <w:sz w:val="20"/>
                <w:szCs w:val="20"/>
                <w:lang w:bidi="ar"/>
              </w:rPr>
              <w:t>未进行正式的满意度调</w:t>
            </w:r>
            <w:r w:rsidRPr="00B7593E">
              <w:rPr>
                <w:rFonts w:ascii="宋体" w:eastAsia="宋体" w:hAnsi="宋体" w:cs="宋体" w:hint="eastAsia"/>
                <w:color w:val="000000"/>
                <w:kern w:val="0"/>
                <w:sz w:val="20"/>
                <w:szCs w:val="20"/>
                <w:lang w:bidi="ar"/>
              </w:rPr>
              <w:lastRenderedPageBreak/>
              <w:t>查</w:t>
            </w:r>
            <w:r w:rsidR="001A59F8">
              <w:rPr>
                <w:rFonts w:ascii="宋体" w:eastAsia="宋体" w:hAnsi="宋体" w:cs="宋体" w:hint="eastAsia"/>
                <w:color w:val="000000"/>
                <w:kern w:val="0"/>
                <w:sz w:val="20"/>
                <w:szCs w:val="20"/>
                <w:lang w:bidi="ar"/>
              </w:rPr>
              <w:t>，经询问均满意</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A5F07" w:rsidRDefault="008A5F07" w:rsidP="008A5F0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3</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A5F07" w:rsidRDefault="001A59F8" w:rsidP="008A5F0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A5F07" w:rsidRDefault="008A5F07" w:rsidP="008A5F07">
            <w:pPr>
              <w:jc w:val="center"/>
              <w:rPr>
                <w:rFonts w:ascii="宋体" w:eastAsia="宋体" w:hAnsi="宋体" w:cs="宋体"/>
                <w:color w:val="000000"/>
                <w:sz w:val="20"/>
                <w:szCs w:val="20"/>
              </w:rPr>
            </w:pPr>
          </w:p>
        </w:tc>
      </w:tr>
      <w:tr w:rsidR="00E420FE">
        <w:trPr>
          <w:trHeight w:val="500"/>
        </w:trPr>
        <w:tc>
          <w:tcPr>
            <w:tcW w:w="5443"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lastRenderedPageBreak/>
              <w:t>总分</w:t>
            </w:r>
          </w:p>
        </w:tc>
        <w:tc>
          <w:tcPr>
            <w:tcW w:w="12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2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8A5F0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1A59F8">
              <w:rPr>
                <w:rFonts w:ascii="宋体" w:eastAsia="宋体" w:hAnsi="宋体" w:cs="宋体"/>
                <w:b/>
                <w:bCs/>
                <w:color w:val="000000"/>
                <w:kern w:val="0"/>
                <w:sz w:val="20"/>
                <w:szCs w:val="20"/>
                <w:lang w:bidi="ar"/>
              </w:rPr>
              <w:t>6</w:t>
            </w:r>
            <w:r>
              <w:rPr>
                <w:rFonts w:ascii="宋体" w:eastAsia="宋体" w:hAnsi="宋体" w:cs="宋体" w:hint="eastAsia"/>
                <w:b/>
                <w:bCs/>
                <w:color w:val="000000"/>
                <w:kern w:val="0"/>
                <w:sz w:val="20"/>
                <w:szCs w:val="20"/>
                <w:lang w:bidi="ar"/>
              </w:rPr>
              <w:t>.89</w:t>
            </w:r>
          </w:p>
        </w:tc>
        <w:tc>
          <w:tcPr>
            <w:tcW w:w="199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E420FE" w:rsidRDefault="00E420FE">
            <w:pPr>
              <w:jc w:val="center"/>
              <w:rPr>
                <w:rFonts w:ascii="宋体" w:eastAsia="宋体" w:hAnsi="宋体" w:cs="宋体"/>
                <w:b/>
                <w:bCs/>
                <w:color w:val="000000"/>
                <w:sz w:val="20"/>
                <w:szCs w:val="20"/>
              </w:rPr>
            </w:pPr>
          </w:p>
        </w:tc>
      </w:tr>
    </w:tbl>
    <w:p w:rsidR="00E420FE" w:rsidRDefault="00E420FE">
      <w:pPr>
        <w:widowControl/>
        <w:jc w:val="left"/>
        <w:rPr>
          <w:rFonts w:ascii="仿宋_GB2312" w:eastAsia="仿宋_GB2312" w:hAnsi="宋体" w:cs="宋体"/>
          <w:color w:val="000000"/>
          <w:kern w:val="0"/>
          <w:sz w:val="32"/>
          <w:szCs w:val="32"/>
        </w:rPr>
      </w:pPr>
    </w:p>
    <w:sectPr w:rsidR="00E420F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80FC0"/>
    <w:rsid w:val="00194D1D"/>
    <w:rsid w:val="001A48BB"/>
    <w:rsid w:val="001A59F8"/>
    <w:rsid w:val="00247019"/>
    <w:rsid w:val="00257CF9"/>
    <w:rsid w:val="002A1B5D"/>
    <w:rsid w:val="002F2E8A"/>
    <w:rsid w:val="003023E1"/>
    <w:rsid w:val="003024BF"/>
    <w:rsid w:val="003077FE"/>
    <w:rsid w:val="00373CEC"/>
    <w:rsid w:val="003B571A"/>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537E2"/>
    <w:rsid w:val="0055607F"/>
    <w:rsid w:val="005A5317"/>
    <w:rsid w:val="005C7DC7"/>
    <w:rsid w:val="005F37F8"/>
    <w:rsid w:val="006576B7"/>
    <w:rsid w:val="00657CD3"/>
    <w:rsid w:val="0069369A"/>
    <w:rsid w:val="006A49CD"/>
    <w:rsid w:val="006B0E8E"/>
    <w:rsid w:val="00731819"/>
    <w:rsid w:val="00734E9E"/>
    <w:rsid w:val="00747895"/>
    <w:rsid w:val="00781169"/>
    <w:rsid w:val="007A4D7F"/>
    <w:rsid w:val="007A7C70"/>
    <w:rsid w:val="00896B45"/>
    <w:rsid w:val="008A5F07"/>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C128FA"/>
    <w:rsid w:val="00C45D1F"/>
    <w:rsid w:val="00CC4AA3"/>
    <w:rsid w:val="00CE6821"/>
    <w:rsid w:val="00D4778B"/>
    <w:rsid w:val="00D55FE7"/>
    <w:rsid w:val="00D64315"/>
    <w:rsid w:val="00D719AF"/>
    <w:rsid w:val="00DD6407"/>
    <w:rsid w:val="00DE28D2"/>
    <w:rsid w:val="00E420FE"/>
    <w:rsid w:val="00E42B6F"/>
    <w:rsid w:val="00E45636"/>
    <w:rsid w:val="00E518A9"/>
    <w:rsid w:val="00E55175"/>
    <w:rsid w:val="00E9552B"/>
    <w:rsid w:val="00EE3A91"/>
    <w:rsid w:val="00F032AF"/>
    <w:rsid w:val="00F044D8"/>
    <w:rsid w:val="00F43576"/>
    <w:rsid w:val="00F70CD5"/>
    <w:rsid w:val="00FC05A8"/>
    <w:rsid w:val="00FC14FA"/>
    <w:rsid w:val="2C7A1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74BAF7-7B9C-493E-86C7-034469038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5F722E-9A8A-4D01-8E17-AD9497D5D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48</cp:revision>
  <dcterms:created xsi:type="dcterms:W3CDTF">2021-03-18T00:22:00Z</dcterms:created>
  <dcterms:modified xsi:type="dcterms:W3CDTF">2021-05-25T08:58:00Z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7C1C8F0BA9604D2F8BA73360B28DA1F7</vt:lpwstr>
  </property>
</Properties>
</file>