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49" w:type="dxa"/>
        <w:tblLook w:val="04A0" w:firstRow="1" w:lastRow="0" w:firstColumn="1" w:lastColumn="0" w:noHBand="0" w:noVBand="1"/>
      </w:tblPr>
      <w:tblGrid>
        <w:gridCol w:w="566"/>
        <w:gridCol w:w="703"/>
        <w:gridCol w:w="1236"/>
        <w:gridCol w:w="1801"/>
        <w:gridCol w:w="1751"/>
        <w:gridCol w:w="1751"/>
        <w:gridCol w:w="1536"/>
        <w:gridCol w:w="1561"/>
        <w:gridCol w:w="943"/>
        <w:gridCol w:w="943"/>
        <w:gridCol w:w="1110"/>
        <w:gridCol w:w="7"/>
      </w:tblGrid>
      <w:tr w:rsidR="00C600D7" w:rsidRPr="00C600D7" w14:paraId="0B29BE6A" w14:textId="77777777" w:rsidTr="00C600D7">
        <w:trPr>
          <w:trHeight w:val="405"/>
        </w:trPr>
        <w:tc>
          <w:tcPr>
            <w:tcW w:w="13849" w:type="dxa"/>
            <w:gridSpan w:val="12"/>
            <w:tcBorders>
              <w:top w:val="nil"/>
              <w:left w:val="nil"/>
              <w:bottom w:val="nil"/>
              <w:right w:val="nil"/>
            </w:tcBorders>
            <w:shd w:val="clear" w:color="auto" w:fill="auto"/>
            <w:vAlign w:val="center"/>
            <w:hideMark/>
          </w:tcPr>
          <w:p w14:paraId="716A0409" w14:textId="77777777" w:rsidR="00C600D7" w:rsidRPr="00C600D7" w:rsidRDefault="00C600D7" w:rsidP="00C600D7">
            <w:pPr>
              <w:widowControl/>
              <w:jc w:val="center"/>
              <w:rPr>
                <w:rFonts w:ascii="宋体" w:eastAsia="宋体" w:hAnsi="宋体" w:cs="宋体"/>
                <w:b/>
                <w:bCs/>
                <w:color w:val="000000"/>
                <w:kern w:val="0"/>
                <w:sz w:val="32"/>
                <w:szCs w:val="32"/>
              </w:rPr>
            </w:pPr>
            <w:bookmarkStart w:id="0" w:name="RANGE!A1:K24"/>
            <w:r w:rsidRPr="00C600D7">
              <w:rPr>
                <w:rFonts w:ascii="宋体" w:eastAsia="宋体" w:hAnsi="宋体" w:cs="宋体" w:hint="eastAsia"/>
                <w:b/>
                <w:bCs/>
                <w:color w:val="000000"/>
                <w:kern w:val="0"/>
                <w:sz w:val="32"/>
                <w:szCs w:val="32"/>
              </w:rPr>
              <w:t>项目支出绩效自评表</w:t>
            </w:r>
            <w:r w:rsidRPr="00C600D7">
              <w:rPr>
                <w:rFonts w:ascii="宋体" w:eastAsia="宋体" w:hAnsi="宋体" w:cs="宋体" w:hint="eastAsia"/>
                <w:color w:val="000000"/>
                <w:kern w:val="0"/>
                <w:sz w:val="32"/>
                <w:szCs w:val="32"/>
              </w:rPr>
              <w:t xml:space="preserve"> </w:t>
            </w:r>
            <w:bookmarkEnd w:id="0"/>
          </w:p>
        </w:tc>
      </w:tr>
      <w:tr w:rsidR="00C600D7" w:rsidRPr="00C600D7" w14:paraId="0B5CD199" w14:textId="77777777" w:rsidTr="00C600D7">
        <w:trPr>
          <w:trHeight w:val="270"/>
        </w:trPr>
        <w:tc>
          <w:tcPr>
            <w:tcW w:w="13849" w:type="dxa"/>
            <w:gridSpan w:val="12"/>
            <w:tcBorders>
              <w:top w:val="nil"/>
              <w:left w:val="nil"/>
              <w:bottom w:val="nil"/>
              <w:right w:val="nil"/>
            </w:tcBorders>
            <w:shd w:val="clear" w:color="auto" w:fill="auto"/>
            <w:vAlign w:val="center"/>
            <w:hideMark/>
          </w:tcPr>
          <w:p w14:paraId="5B7AA6C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（2020年度）</w:t>
            </w:r>
          </w:p>
        </w:tc>
      </w:tr>
      <w:tr w:rsidR="00C600D7" w:rsidRPr="00C600D7" w14:paraId="4463D5E3" w14:textId="77777777" w:rsidTr="00C600D7">
        <w:trPr>
          <w:gridAfter w:val="1"/>
          <w:wAfter w:w="7" w:type="dxa"/>
          <w:trHeight w:val="270"/>
        </w:trPr>
        <w:tc>
          <w:tcPr>
            <w:tcW w:w="566" w:type="dxa"/>
            <w:tcBorders>
              <w:top w:val="nil"/>
              <w:left w:val="nil"/>
              <w:bottom w:val="nil"/>
              <w:right w:val="nil"/>
            </w:tcBorders>
            <w:shd w:val="clear" w:color="auto" w:fill="auto"/>
            <w:vAlign w:val="center"/>
            <w:hideMark/>
          </w:tcPr>
          <w:p w14:paraId="02E1A1FE" w14:textId="77777777" w:rsidR="00C600D7" w:rsidRPr="00C600D7" w:rsidRDefault="00C600D7" w:rsidP="00C600D7">
            <w:pPr>
              <w:widowControl/>
              <w:jc w:val="center"/>
              <w:rPr>
                <w:rFonts w:ascii="宋体" w:eastAsia="宋体" w:hAnsi="宋体" w:cs="宋体"/>
                <w:color w:val="000000"/>
                <w:kern w:val="0"/>
                <w:sz w:val="22"/>
              </w:rPr>
            </w:pPr>
          </w:p>
        </w:tc>
        <w:tc>
          <w:tcPr>
            <w:tcW w:w="703" w:type="dxa"/>
            <w:tcBorders>
              <w:top w:val="nil"/>
              <w:left w:val="nil"/>
              <w:bottom w:val="nil"/>
              <w:right w:val="nil"/>
            </w:tcBorders>
            <w:shd w:val="clear" w:color="auto" w:fill="auto"/>
            <w:vAlign w:val="center"/>
            <w:hideMark/>
          </w:tcPr>
          <w:p w14:paraId="251044B9"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1235" w:type="dxa"/>
            <w:tcBorders>
              <w:top w:val="nil"/>
              <w:left w:val="nil"/>
              <w:bottom w:val="nil"/>
              <w:right w:val="nil"/>
            </w:tcBorders>
            <w:shd w:val="clear" w:color="auto" w:fill="auto"/>
            <w:vAlign w:val="center"/>
            <w:hideMark/>
          </w:tcPr>
          <w:p w14:paraId="7C293091" w14:textId="77777777" w:rsidR="00C600D7" w:rsidRPr="00C600D7" w:rsidRDefault="00C600D7" w:rsidP="00C600D7">
            <w:pPr>
              <w:widowControl/>
              <w:jc w:val="center"/>
              <w:rPr>
                <w:rFonts w:ascii="Times New Roman" w:eastAsia="Times New Roman" w:hAnsi="Times New Roman" w:cs="Times New Roman"/>
                <w:kern w:val="0"/>
                <w:sz w:val="20"/>
                <w:szCs w:val="20"/>
              </w:rPr>
            </w:pPr>
          </w:p>
        </w:tc>
        <w:tc>
          <w:tcPr>
            <w:tcW w:w="1801" w:type="dxa"/>
            <w:tcBorders>
              <w:top w:val="nil"/>
              <w:left w:val="nil"/>
              <w:bottom w:val="nil"/>
              <w:right w:val="nil"/>
            </w:tcBorders>
            <w:shd w:val="clear" w:color="auto" w:fill="auto"/>
            <w:vAlign w:val="center"/>
            <w:hideMark/>
          </w:tcPr>
          <w:p w14:paraId="533926D5"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1750" w:type="dxa"/>
            <w:tcBorders>
              <w:top w:val="nil"/>
              <w:left w:val="nil"/>
              <w:bottom w:val="nil"/>
              <w:right w:val="nil"/>
            </w:tcBorders>
            <w:shd w:val="clear" w:color="auto" w:fill="auto"/>
            <w:vAlign w:val="center"/>
            <w:hideMark/>
          </w:tcPr>
          <w:p w14:paraId="52939278" w14:textId="77777777" w:rsidR="00C600D7" w:rsidRPr="00C600D7" w:rsidRDefault="00C600D7" w:rsidP="00C600D7">
            <w:pPr>
              <w:widowControl/>
              <w:jc w:val="center"/>
              <w:rPr>
                <w:rFonts w:ascii="Times New Roman" w:eastAsia="Times New Roman" w:hAnsi="Times New Roman" w:cs="Times New Roman"/>
                <w:kern w:val="0"/>
                <w:sz w:val="20"/>
                <w:szCs w:val="20"/>
              </w:rPr>
            </w:pPr>
          </w:p>
        </w:tc>
        <w:tc>
          <w:tcPr>
            <w:tcW w:w="1750" w:type="dxa"/>
            <w:tcBorders>
              <w:top w:val="nil"/>
              <w:left w:val="nil"/>
              <w:bottom w:val="nil"/>
              <w:right w:val="nil"/>
            </w:tcBorders>
            <w:shd w:val="clear" w:color="auto" w:fill="auto"/>
            <w:vAlign w:val="center"/>
            <w:hideMark/>
          </w:tcPr>
          <w:p w14:paraId="0266DE50"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1475" w:type="dxa"/>
            <w:tcBorders>
              <w:top w:val="nil"/>
              <w:left w:val="nil"/>
              <w:bottom w:val="nil"/>
              <w:right w:val="nil"/>
            </w:tcBorders>
            <w:shd w:val="clear" w:color="auto" w:fill="auto"/>
            <w:vAlign w:val="center"/>
            <w:hideMark/>
          </w:tcPr>
          <w:p w14:paraId="3F6B58F0"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1561" w:type="dxa"/>
            <w:tcBorders>
              <w:top w:val="nil"/>
              <w:left w:val="nil"/>
              <w:bottom w:val="nil"/>
              <w:right w:val="nil"/>
            </w:tcBorders>
            <w:shd w:val="clear" w:color="auto" w:fill="auto"/>
            <w:vAlign w:val="center"/>
            <w:hideMark/>
          </w:tcPr>
          <w:p w14:paraId="143FB9AC"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943" w:type="dxa"/>
            <w:tcBorders>
              <w:top w:val="nil"/>
              <w:left w:val="nil"/>
              <w:bottom w:val="nil"/>
              <w:right w:val="nil"/>
            </w:tcBorders>
            <w:shd w:val="clear" w:color="auto" w:fill="auto"/>
            <w:vAlign w:val="center"/>
            <w:hideMark/>
          </w:tcPr>
          <w:p w14:paraId="6BC2B4BA"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943" w:type="dxa"/>
            <w:tcBorders>
              <w:top w:val="nil"/>
              <w:left w:val="nil"/>
              <w:bottom w:val="nil"/>
              <w:right w:val="nil"/>
            </w:tcBorders>
            <w:shd w:val="clear" w:color="auto" w:fill="auto"/>
            <w:vAlign w:val="center"/>
            <w:hideMark/>
          </w:tcPr>
          <w:p w14:paraId="279C3B15" w14:textId="77777777" w:rsidR="00C600D7" w:rsidRPr="00C600D7" w:rsidRDefault="00C600D7" w:rsidP="00C600D7">
            <w:pPr>
              <w:widowControl/>
              <w:jc w:val="left"/>
              <w:rPr>
                <w:rFonts w:ascii="Times New Roman" w:eastAsia="Times New Roman" w:hAnsi="Times New Roman" w:cs="Times New Roman"/>
                <w:kern w:val="0"/>
                <w:sz w:val="20"/>
                <w:szCs w:val="20"/>
              </w:rPr>
            </w:pPr>
          </w:p>
        </w:tc>
        <w:tc>
          <w:tcPr>
            <w:tcW w:w="1115" w:type="dxa"/>
            <w:tcBorders>
              <w:top w:val="nil"/>
              <w:left w:val="nil"/>
              <w:bottom w:val="nil"/>
              <w:right w:val="nil"/>
            </w:tcBorders>
            <w:shd w:val="clear" w:color="auto" w:fill="auto"/>
            <w:vAlign w:val="center"/>
            <w:hideMark/>
          </w:tcPr>
          <w:p w14:paraId="2F9363AE" w14:textId="77777777" w:rsidR="00C600D7" w:rsidRPr="00C600D7" w:rsidRDefault="00C600D7" w:rsidP="00C600D7">
            <w:pPr>
              <w:widowControl/>
              <w:jc w:val="left"/>
              <w:rPr>
                <w:rFonts w:ascii="Times New Roman" w:eastAsia="Times New Roman" w:hAnsi="Times New Roman" w:cs="Times New Roman"/>
                <w:kern w:val="0"/>
                <w:sz w:val="20"/>
                <w:szCs w:val="20"/>
              </w:rPr>
            </w:pPr>
          </w:p>
        </w:tc>
      </w:tr>
      <w:tr w:rsidR="00C600D7" w:rsidRPr="00C600D7" w14:paraId="59AAA188" w14:textId="77777777" w:rsidTr="00C600D7">
        <w:trPr>
          <w:trHeight w:val="438"/>
        </w:trPr>
        <w:tc>
          <w:tcPr>
            <w:tcW w:w="250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150D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项目名称</w:t>
            </w:r>
          </w:p>
        </w:tc>
        <w:tc>
          <w:tcPr>
            <w:tcW w:w="11343"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445706BF"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人才培养质量建设-高水平人才交叉培养计划-外培计划</w:t>
            </w:r>
          </w:p>
        </w:tc>
      </w:tr>
      <w:tr w:rsidR="00C600D7" w:rsidRPr="00C600D7" w14:paraId="1BA9F943" w14:textId="77777777" w:rsidTr="00C600D7">
        <w:trPr>
          <w:trHeight w:val="438"/>
        </w:trPr>
        <w:tc>
          <w:tcPr>
            <w:tcW w:w="250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B79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主管部门</w:t>
            </w:r>
          </w:p>
        </w:tc>
        <w:tc>
          <w:tcPr>
            <w:tcW w:w="530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3A63BB8"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北京市教育委员会</w:t>
            </w:r>
          </w:p>
        </w:tc>
        <w:tc>
          <w:tcPr>
            <w:tcW w:w="1475" w:type="dxa"/>
            <w:tcBorders>
              <w:top w:val="nil"/>
              <w:left w:val="nil"/>
              <w:bottom w:val="single" w:sz="4" w:space="0" w:color="auto"/>
              <w:right w:val="single" w:sz="4" w:space="0" w:color="auto"/>
            </w:tcBorders>
            <w:shd w:val="clear" w:color="auto" w:fill="auto"/>
            <w:noWrap/>
            <w:vAlign w:val="center"/>
            <w:hideMark/>
          </w:tcPr>
          <w:p w14:paraId="7B4E0052"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实施单位</w:t>
            </w:r>
          </w:p>
        </w:tc>
        <w:tc>
          <w:tcPr>
            <w:tcW w:w="45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A6F5201"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北京第二外国语学院</w:t>
            </w:r>
          </w:p>
        </w:tc>
      </w:tr>
      <w:tr w:rsidR="00C600D7" w:rsidRPr="00C600D7" w14:paraId="6EDF4FC2" w14:textId="77777777" w:rsidTr="00C600D7">
        <w:trPr>
          <w:trHeight w:val="438"/>
        </w:trPr>
        <w:tc>
          <w:tcPr>
            <w:tcW w:w="25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CC2D6B"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项目负责人</w:t>
            </w:r>
          </w:p>
        </w:tc>
        <w:tc>
          <w:tcPr>
            <w:tcW w:w="530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DF756E9"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曲鑫</w:t>
            </w:r>
          </w:p>
        </w:tc>
        <w:tc>
          <w:tcPr>
            <w:tcW w:w="1475" w:type="dxa"/>
            <w:tcBorders>
              <w:top w:val="nil"/>
              <w:left w:val="nil"/>
              <w:bottom w:val="single" w:sz="4" w:space="0" w:color="auto"/>
              <w:right w:val="single" w:sz="4" w:space="0" w:color="auto"/>
            </w:tcBorders>
            <w:shd w:val="clear" w:color="auto" w:fill="auto"/>
            <w:noWrap/>
            <w:vAlign w:val="center"/>
            <w:hideMark/>
          </w:tcPr>
          <w:p w14:paraId="24CDF7D9"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联系电话</w:t>
            </w:r>
          </w:p>
        </w:tc>
        <w:tc>
          <w:tcPr>
            <w:tcW w:w="45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CA9F316"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65778285</w:t>
            </w:r>
          </w:p>
        </w:tc>
      </w:tr>
      <w:tr w:rsidR="00C600D7" w:rsidRPr="00C600D7" w14:paraId="5EFFCBF5" w14:textId="77777777" w:rsidTr="00C600D7">
        <w:trPr>
          <w:gridAfter w:val="1"/>
          <w:wAfter w:w="5" w:type="dxa"/>
          <w:trHeight w:val="566"/>
        </w:trPr>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3AB3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项目资金</w:t>
            </w:r>
            <w:r w:rsidRPr="00C600D7">
              <w:rPr>
                <w:rFonts w:ascii="宋体" w:eastAsia="宋体" w:hAnsi="宋体" w:cs="宋体" w:hint="eastAsia"/>
                <w:color w:val="000000"/>
                <w:kern w:val="0"/>
                <w:sz w:val="22"/>
              </w:rPr>
              <w:br/>
              <w:t>(万元）</w:t>
            </w:r>
          </w:p>
        </w:tc>
        <w:tc>
          <w:tcPr>
            <w:tcW w:w="35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CCC3B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750" w:type="dxa"/>
            <w:tcBorders>
              <w:top w:val="nil"/>
              <w:left w:val="nil"/>
              <w:bottom w:val="single" w:sz="4" w:space="0" w:color="auto"/>
              <w:right w:val="single" w:sz="4" w:space="0" w:color="auto"/>
            </w:tcBorders>
            <w:shd w:val="clear" w:color="auto" w:fill="auto"/>
            <w:vAlign w:val="center"/>
            <w:hideMark/>
          </w:tcPr>
          <w:p w14:paraId="3D7BF4D4"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年初预算数</w:t>
            </w:r>
          </w:p>
        </w:tc>
        <w:tc>
          <w:tcPr>
            <w:tcW w:w="1475" w:type="dxa"/>
            <w:tcBorders>
              <w:top w:val="nil"/>
              <w:left w:val="nil"/>
              <w:bottom w:val="single" w:sz="4" w:space="0" w:color="auto"/>
              <w:right w:val="single" w:sz="4" w:space="0" w:color="auto"/>
            </w:tcBorders>
            <w:shd w:val="clear" w:color="auto" w:fill="auto"/>
            <w:vAlign w:val="center"/>
            <w:hideMark/>
          </w:tcPr>
          <w:p w14:paraId="576C4434"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全年预算数</w:t>
            </w:r>
          </w:p>
        </w:tc>
        <w:tc>
          <w:tcPr>
            <w:tcW w:w="1561" w:type="dxa"/>
            <w:tcBorders>
              <w:top w:val="nil"/>
              <w:left w:val="nil"/>
              <w:bottom w:val="single" w:sz="4" w:space="0" w:color="auto"/>
              <w:right w:val="single" w:sz="4" w:space="0" w:color="auto"/>
            </w:tcBorders>
            <w:shd w:val="clear" w:color="auto" w:fill="auto"/>
            <w:vAlign w:val="center"/>
            <w:hideMark/>
          </w:tcPr>
          <w:p w14:paraId="6F815AE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全年执行数</w:t>
            </w:r>
          </w:p>
        </w:tc>
        <w:tc>
          <w:tcPr>
            <w:tcW w:w="943" w:type="dxa"/>
            <w:tcBorders>
              <w:top w:val="nil"/>
              <w:left w:val="nil"/>
              <w:bottom w:val="single" w:sz="4" w:space="0" w:color="auto"/>
              <w:right w:val="single" w:sz="4" w:space="0" w:color="auto"/>
            </w:tcBorders>
            <w:shd w:val="clear" w:color="auto" w:fill="auto"/>
            <w:vAlign w:val="center"/>
            <w:hideMark/>
          </w:tcPr>
          <w:p w14:paraId="50892BDB"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分值</w:t>
            </w:r>
          </w:p>
        </w:tc>
        <w:tc>
          <w:tcPr>
            <w:tcW w:w="943" w:type="dxa"/>
            <w:tcBorders>
              <w:top w:val="nil"/>
              <w:left w:val="nil"/>
              <w:bottom w:val="single" w:sz="4" w:space="0" w:color="auto"/>
              <w:right w:val="single" w:sz="4" w:space="0" w:color="auto"/>
            </w:tcBorders>
            <w:shd w:val="clear" w:color="auto" w:fill="auto"/>
            <w:vAlign w:val="center"/>
            <w:hideMark/>
          </w:tcPr>
          <w:p w14:paraId="3964459A"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执行率</w:t>
            </w:r>
          </w:p>
        </w:tc>
        <w:tc>
          <w:tcPr>
            <w:tcW w:w="1115" w:type="dxa"/>
            <w:tcBorders>
              <w:top w:val="nil"/>
              <w:left w:val="nil"/>
              <w:bottom w:val="single" w:sz="4" w:space="0" w:color="auto"/>
              <w:right w:val="single" w:sz="4" w:space="0" w:color="auto"/>
            </w:tcBorders>
            <w:shd w:val="clear" w:color="auto" w:fill="auto"/>
            <w:vAlign w:val="center"/>
            <w:hideMark/>
          </w:tcPr>
          <w:p w14:paraId="56CF0501"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得分</w:t>
            </w:r>
          </w:p>
        </w:tc>
      </w:tr>
      <w:tr w:rsidR="00C600D7" w:rsidRPr="00C600D7" w14:paraId="1F6071DD" w14:textId="77777777" w:rsidTr="00C600D7">
        <w:trPr>
          <w:gridAfter w:val="1"/>
          <w:wAfter w:w="5" w:type="dxa"/>
          <w:trHeight w:val="420"/>
        </w:trPr>
        <w:tc>
          <w:tcPr>
            <w:tcW w:w="2505" w:type="dxa"/>
            <w:gridSpan w:val="3"/>
            <w:vMerge/>
            <w:tcBorders>
              <w:top w:val="single" w:sz="4" w:space="0" w:color="auto"/>
              <w:left w:val="single" w:sz="4" w:space="0" w:color="auto"/>
              <w:bottom w:val="single" w:sz="4" w:space="0" w:color="auto"/>
              <w:right w:val="single" w:sz="4" w:space="0" w:color="auto"/>
            </w:tcBorders>
            <w:vAlign w:val="center"/>
            <w:hideMark/>
          </w:tcPr>
          <w:p w14:paraId="1640529E" w14:textId="77777777" w:rsidR="00C600D7" w:rsidRPr="00C600D7" w:rsidRDefault="00C600D7" w:rsidP="00C600D7">
            <w:pPr>
              <w:widowControl/>
              <w:jc w:val="left"/>
              <w:rPr>
                <w:rFonts w:ascii="宋体" w:eastAsia="宋体" w:hAnsi="宋体" w:cs="宋体"/>
                <w:color w:val="000000"/>
                <w:kern w:val="0"/>
                <w:sz w:val="22"/>
              </w:rPr>
            </w:pPr>
          </w:p>
        </w:tc>
        <w:tc>
          <w:tcPr>
            <w:tcW w:w="35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AE3E5B"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年度资金总额：</w:t>
            </w:r>
          </w:p>
        </w:tc>
        <w:tc>
          <w:tcPr>
            <w:tcW w:w="1750" w:type="dxa"/>
            <w:tcBorders>
              <w:top w:val="nil"/>
              <w:left w:val="nil"/>
              <w:bottom w:val="single" w:sz="4" w:space="0" w:color="auto"/>
              <w:right w:val="single" w:sz="4" w:space="0" w:color="auto"/>
            </w:tcBorders>
            <w:shd w:val="clear" w:color="auto" w:fill="auto"/>
            <w:noWrap/>
            <w:vAlign w:val="center"/>
            <w:hideMark/>
          </w:tcPr>
          <w:p w14:paraId="039B036D"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3,248.690696 </w:t>
            </w:r>
          </w:p>
        </w:tc>
        <w:tc>
          <w:tcPr>
            <w:tcW w:w="1475" w:type="dxa"/>
            <w:tcBorders>
              <w:top w:val="nil"/>
              <w:left w:val="nil"/>
              <w:bottom w:val="single" w:sz="4" w:space="0" w:color="auto"/>
              <w:right w:val="single" w:sz="4" w:space="0" w:color="auto"/>
            </w:tcBorders>
            <w:shd w:val="clear" w:color="auto" w:fill="auto"/>
            <w:noWrap/>
            <w:vAlign w:val="center"/>
            <w:hideMark/>
          </w:tcPr>
          <w:p w14:paraId="6CDF225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2,457.588891 </w:t>
            </w:r>
          </w:p>
        </w:tc>
        <w:tc>
          <w:tcPr>
            <w:tcW w:w="1561" w:type="dxa"/>
            <w:tcBorders>
              <w:top w:val="nil"/>
              <w:left w:val="nil"/>
              <w:bottom w:val="single" w:sz="4" w:space="0" w:color="auto"/>
              <w:right w:val="single" w:sz="4" w:space="0" w:color="auto"/>
            </w:tcBorders>
            <w:shd w:val="clear" w:color="auto" w:fill="auto"/>
            <w:noWrap/>
            <w:vAlign w:val="center"/>
            <w:hideMark/>
          </w:tcPr>
          <w:p w14:paraId="473486B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2,323.825108 </w:t>
            </w:r>
          </w:p>
        </w:tc>
        <w:tc>
          <w:tcPr>
            <w:tcW w:w="943" w:type="dxa"/>
            <w:tcBorders>
              <w:top w:val="nil"/>
              <w:left w:val="nil"/>
              <w:bottom w:val="single" w:sz="4" w:space="0" w:color="auto"/>
              <w:right w:val="single" w:sz="4" w:space="0" w:color="auto"/>
            </w:tcBorders>
            <w:shd w:val="clear" w:color="auto" w:fill="auto"/>
            <w:noWrap/>
            <w:vAlign w:val="center"/>
            <w:hideMark/>
          </w:tcPr>
          <w:p w14:paraId="45202B8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943" w:type="dxa"/>
            <w:tcBorders>
              <w:top w:val="nil"/>
              <w:left w:val="nil"/>
              <w:bottom w:val="single" w:sz="4" w:space="0" w:color="auto"/>
              <w:right w:val="single" w:sz="4" w:space="0" w:color="auto"/>
            </w:tcBorders>
            <w:shd w:val="clear" w:color="auto" w:fill="auto"/>
            <w:noWrap/>
            <w:vAlign w:val="center"/>
            <w:hideMark/>
          </w:tcPr>
          <w:p w14:paraId="7E321A0D"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94.56%</w:t>
            </w:r>
          </w:p>
        </w:tc>
        <w:tc>
          <w:tcPr>
            <w:tcW w:w="1115" w:type="dxa"/>
            <w:tcBorders>
              <w:top w:val="nil"/>
              <w:left w:val="nil"/>
              <w:bottom w:val="single" w:sz="4" w:space="0" w:color="auto"/>
              <w:right w:val="single" w:sz="4" w:space="0" w:color="auto"/>
            </w:tcBorders>
            <w:shd w:val="clear" w:color="auto" w:fill="auto"/>
            <w:vAlign w:val="center"/>
            <w:hideMark/>
          </w:tcPr>
          <w:p w14:paraId="631E6047" w14:textId="77777777" w:rsidR="00C600D7" w:rsidRPr="00C600D7" w:rsidRDefault="00C600D7" w:rsidP="00C600D7">
            <w:pPr>
              <w:widowControl/>
              <w:jc w:val="right"/>
              <w:rPr>
                <w:rFonts w:ascii="宋体" w:eastAsia="宋体" w:hAnsi="宋体" w:cs="宋体"/>
                <w:color w:val="000000"/>
                <w:kern w:val="0"/>
                <w:sz w:val="22"/>
              </w:rPr>
            </w:pPr>
            <w:r w:rsidRPr="00C600D7">
              <w:rPr>
                <w:rFonts w:ascii="宋体" w:eastAsia="宋体" w:hAnsi="宋体" w:cs="宋体" w:hint="eastAsia"/>
                <w:color w:val="000000"/>
                <w:kern w:val="0"/>
                <w:sz w:val="22"/>
              </w:rPr>
              <w:t>9.46</w:t>
            </w:r>
          </w:p>
        </w:tc>
      </w:tr>
      <w:tr w:rsidR="00C600D7" w:rsidRPr="00C600D7" w14:paraId="727C2230" w14:textId="77777777" w:rsidTr="00C600D7">
        <w:trPr>
          <w:gridAfter w:val="1"/>
          <w:wAfter w:w="5" w:type="dxa"/>
          <w:trHeight w:val="420"/>
        </w:trPr>
        <w:tc>
          <w:tcPr>
            <w:tcW w:w="2505" w:type="dxa"/>
            <w:gridSpan w:val="3"/>
            <w:vMerge/>
            <w:tcBorders>
              <w:top w:val="single" w:sz="4" w:space="0" w:color="auto"/>
              <w:left w:val="single" w:sz="4" w:space="0" w:color="auto"/>
              <w:bottom w:val="single" w:sz="4" w:space="0" w:color="auto"/>
              <w:right w:val="single" w:sz="4" w:space="0" w:color="auto"/>
            </w:tcBorders>
            <w:vAlign w:val="center"/>
            <w:hideMark/>
          </w:tcPr>
          <w:p w14:paraId="51FCFE9B" w14:textId="77777777" w:rsidR="00C600D7" w:rsidRPr="00C600D7" w:rsidRDefault="00C600D7" w:rsidP="00C600D7">
            <w:pPr>
              <w:widowControl/>
              <w:jc w:val="left"/>
              <w:rPr>
                <w:rFonts w:ascii="宋体" w:eastAsia="宋体" w:hAnsi="宋体" w:cs="宋体"/>
                <w:color w:val="000000"/>
                <w:kern w:val="0"/>
                <w:sz w:val="22"/>
              </w:rPr>
            </w:pPr>
          </w:p>
        </w:tc>
        <w:tc>
          <w:tcPr>
            <w:tcW w:w="35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C0598C"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其中：当年财政拨款</w:t>
            </w:r>
          </w:p>
        </w:tc>
        <w:tc>
          <w:tcPr>
            <w:tcW w:w="1750" w:type="dxa"/>
            <w:tcBorders>
              <w:top w:val="nil"/>
              <w:left w:val="nil"/>
              <w:bottom w:val="single" w:sz="4" w:space="0" w:color="auto"/>
              <w:right w:val="single" w:sz="4" w:space="0" w:color="auto"/>
            </w:tcBorders>
            <w:shd w:val="clear" w:color="auto" w:fill="auto"/>
            <w:noWrap/>
            <w:vAlign w:val="center"/>
            <w:hideMark/>
          </w:tcPr>
          <w:p w14:paraId="7B38368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3,248.690696 </w:t>
            </w:r>
          </w:p>
        </w:tc>
        <w:tc>
          <w:tcPr>
            <w:tcW w:w="1475" w:type="dxa"/>
            <w:tcBorders>
              <w:top w:val="nil"/>
              <w:left w:val="nil"/>
              <w:bottom w:val="single" w:sz="4" w:space="0" w:color="auto"/>
              <w:right w:val="single" w:sz="4" w:space="0" w:color="auto"/>
            </w:tcBorders>
            <w:shd w:val="clear" w:color="auto" w:fill="auto"/>
            <w:noWrap/>
            <w:vAlign w:val="center"/>
            <w:hideMark/>
          </w:tcPr>
          <w:p w14:paraId="369013B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2,457.588891 </w:t>
            </w:r>
          </w:p>
        </w:tc>
        <w:tc>
          <w:tcPr>
            <w:tcW w:w="1561" w:type="dxa"/>
            <w:tcBorders>
              <w:top w:val="nil"/>
              <w:left w:val="nil"/>
              <w:bottom w:val="single" w:sz="4" w:space="0" w:color="auto"/>
              <w:right w:val="single" w:sz="4" w:space="0" w:color="auto"/>
            </w:tcBorders>
            <w:shd w:val="clear" w:color="auto" w:fill="auto"/>
            <w:noWrap/>
            <w:vAlign w:val="center"/>
            <w:hideMark/>
          </w:tcPr>
          <w:p w14:paraId="5051EC89"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2,323.825108 </w:t>
            </w:r>
          </w:p>
        </w:tc>
        <w:tc>
          <w:tcPr>
            <w:tcW w:w="943" w:type="dxa"/>
            <w:tcBorders>
              <w:top w:val="nil"/>
              <w:left w:val="nil"/>
              <w:bottom w:val="single" w:sz="4" w:space="0" w:color="auto"/>
              <w:right w:val="single" w:sz="4" w:space="0" w:color="auto"/>
            </w:tcBorders>
            <w:shd w:val="clear" w:color="auto" w:fill="auto"/>
            <w:noWrap/>
            <w:vAlign w:val="center"/>
            <w:hideMark/>
          </w:tcPr>
          <w:p w14:paraId="71EC2A6B"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943" w:type="dxa"/>
            <w:tcBorders>
              <w:top w:val="nil"/>
              <w:left w:val="nil"/>
              <w:bottom w:val="single" w:sz="4" w:space="0" w:color="auto"/>
              <w:right w:val="single" w:sz="4" w:space="0" w:color="auto"/>
            </w:tcBorders>
            <w:shd w:val="clear" w:color="auto" w:fill="auto"/>
            <w:noWrap/>
            <w:vAlign w:val="center"/>
            <w:hideMark/>
          </w:tcPr>
          <w:p w14:paraId="0C24453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94.56%</w:t>
            </w:r>
          </w:p>
        </w:tc>
        <w:tc>
          <w:tcPr>
            <w:tcW w:w="1115" w:type="dxa"/>
            <w:tcBorders>
              <w:top w:val="nil"/>
              <w:left w:val="nil"/>
              <w:bottom w:val="single" w:sz="4" w:space="0" w:color="auto"/>
              <w:right w:val="single" w:sz="4" w:space="0" w:color="auto"/>
            </w:tcBorders>
            <w:shd w:val="clear" w:color="auto" w:fill="auto"/>
            <w:vAlign w:val="center"/>
            <w:hideMark/>
          </w:tcPr>
          <w:p w14:paraId="6680B3BC"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r>
      <w:tr w:rsidR="00C600D7" w:rsidRPr="00C600D7" w14:paraId="19976506" w14:textId="77777777" w:rsidTr="00C600D7">
        <w:trPr>
          <w:gridAfter w:val="1"/>
          <w:wAfter w:w="5" w:type="dxa"/>
          <w:trHeight w:val="420"/>
        </w:trPr>
        <w:tc>
          <w:tcPr>
            <w:tcW w:w="2505" w:type="dxa"/>
            <w:gridSpan w:val="3"/>
            <w:vMerge/>
            <w:tcBorders>
              <w:top w:val="single" w:sz="4" w:space="0" w:color="auto"/>
              <w:left w:val="single" w:sz="4" w:space="0" w:color="auto"/>
              <w:bottom w:val="single" w:sz="4" w:space="0" w:color="auto"/>
              <w:right w:val="single" w:sz="4" w:space="0" w:color="auto"/>
            </w:tcBorders>
            <w:vAlign w:val="center"/>
            <w:hideMark/>
          </w:tcPr>
          <w:p w14:paraId="1F38850C" w14:textId="77777777" w:rsidR="00C600D7" w:rsidRPr="00C600D7" w:rsidRDefault="00C600D7" w:rsidP="00C600D7">
            <w:pPr>
              <w:widowControl/>
              <w:jc w:val="left"/>
              <w:rPr>
                <w:rFonts w:ascii="宋体" w:eastAsia="宋体" w:hAnsi="宋体" w:cs="宋体"/>
                <w:color w:val="000000"/>
                <w:kern w:val="0"/>
                <w:sz w:val="22"/>
              </w:rPr>
            </w:pPr>
          </w:p>
        </w:tc>
        <w:tc>
          <w:tcPr>
            <w:tcW w:w="35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654EFB4"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上年结转资金</w:t>
            </w:r>
          </w:p>
        </w:tc>
        <w:tc>
          <w:tcPr>
            <w:tcW w:w="1750" w:type="dxa"/>
            <w:tcBorders>
              <w:top w:val="nil"/>
              <w:left w:val="nil"/>
              <w:bottom w:val="single" w:sz="4" w:space="0" w:color="auto"/>
              <w:right w:val="single" w:sz="4" w:space="0" w:color="auto"/>
            </w:tcBorders>
            <w:shd w:val="clear" w:color="auto" w:fill="auto"/>
            <w:noWrap/>
            <w:vAlign w:val="center"/>
            <w:hideMark/>
          </w:tcPr>
          <w:p w14:paraId="137CBE2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475" w:type="dxa"/>
            <w:tcBorders>
              <w:top w:val="nil"/>
              <w:left w:val="nil"/>
              <w:bottom w:val="single" w:sz="4" w:space="0" w:color="auto"/>
              <w:right w:val="single" w:sz="4" w:space="0" w:color="auto"/>
            </w:tcBorders>
            <w:shd w:val="clear" w:color="auto" w:fill="auto"/>
            <w:noWrap/>
            <w:vAlign w:val="center"/>
            <w:hideMark/>
          </w:tcPr>
          <w:p w14:paraId="3396EDDA"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561" w:type="dxa"/>
            <w:tcBorders>
              <w:top w:val="nil"/>
              <w:left w:val="nil"/>
              <w:bottom w:val="single" w:sz="4" w:space="0" w:color="auto"/>
              <w:right w:val="single" w:sz="4" w:space="0" w:color="auto"/>
            </w:tcBorders>
            <w:shd w:val="clear" w:color="auto" w:fill="auto"/>
            <w:noWrap/>
            <w:vAlign w:val="center"/>
            <w:hideMark/>
          </w:tcPr>
          <w:p w14:paraId="402F935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943" w:type="dxa"/>
            <w:tcBorders>
              <w:top w:val="nil"/>
              <w:left w:val="nil"/>
              <w:bottom w:val="single" w:sz="4" w:space="0" w:color="auto"/>
              <w:right w:val="single" w:sz="4" w:space="0" w:color="auto"/>
            </w:tcBorders>
            <w:shd w:val="clear" w:color="auto" w:fill="auto"/>
            <w:noWrap/>
            <w:vAlign w:val="center"/>
            <w:hideMark/>
          </w:tcPr>
          <w:p w14:paraId="7C33836E"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943" w:type="dxa"/>
            <w:tcBorders>
              <w:top w:val="nil"/>
              <w:left w:val="nil"/>
              <w:bottom w:val="single" w:sz="4" w:space="0" w:color="auto"/>
              <w:right w:val="single" w:sz="4" w:space="0" w:color="auto"/>
            </w:tcBorders>
            <w:shd w:val="clear" w:color="auto" w:fill="auto"/>
            <w:noWrap/>
            <w:vAlign w:val="center"/>
            <w:hideMark/>
          </w:tcPr>
          <w:p w14:paraId="5F46209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115" w:type="dxa"/>
            <w:tcBorders>
              <w:top w:val="nil"/>
              <w:left w:val="nil"/>
              <w:bottom w:val="single" w:sz="4" w:space="0" w:color="auto"/>
              <w:right w:val="single" w:sz="4" w:space="0" w:color="auto"/>
            </w:tcBorders>
            <w:shd w:val="clear" w:color="auto" w:fill="auto"/>
            <w:vAlign w:val="center"/>
            <w:hideMark/>
          </w:tcPr>
          <w:p w14:paraId="205C8CEF"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r>
      <w:tr w:rsidR="00C600D7" w:rsidRPr="00C600D7" w14:paraId="66A8B46D" w14:textId="77777777" w:rsidTr="00C600D7">
        <w:trPr>
          <w:gridAfter w:val="1"/>
          <w:wAfter w:w="5" w:type="dxa"/>
          <w:trHeight w:val="420"/>
        </w:trPr>
        <w:tc>
          <w:tcPr>
            <w:tcW w:w="2505" w:type="dxa"/>
            <w:gridSpan w:val="3"/>
            <w:vMerge/>
            <w:tcBorders>
              <w:top w:val="single" w:sz="4" w:space="0" w:color="auto"/>
              <w:left w:val="single" w:sz="4" w:space="0" w:color="auto"/>
              <w:bottom w:val="single" w:sz="4" w:space="0" w:color="auto"/>
              <w:right w:val="single" w:sz="4" w:space="0" w:color="auto"/>
            </w:tcBorders>
            <w:vAlign w:val="center"/>
            <w:hideMark/>
          </w:tcPr>
          <w:p w14:paraId="600B537F" w14:textId="77777777" w:rsidR="00C600D7" w:rsidRPr="00C600D7" w:rsidRDefault="00C600D7" w:rsidP="00C600D7">
            <w:pPr>
              <w:widowControl/>
              <w:jc w:val="left"/>
              <w:rPr>
                <w:rFonts w:ascii="宋体" w:eastAsia="宋体" w:hAnsi="宋体" w:cs="宋体"/>
                <w:color w:val="000000"/>
                <w:kern w:val="0"/>
                <w:sz w:val="22"/>
              </w:rPr>
            </w:pPr>
          </w:p>
        </w:tc>
        <w:tc>
          <w:tcPr>
            <w:tcW w:w="35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D8F1172"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其他资金</w:t>
            </w:r>
          </w:p>
        </w:tc>
        <w:tc>
          <w:tcPr>
            <w:tcW w:w="1750" w:type="dxa"/>
            <w:tcBorders>
              <w:top w:val="nil"/>
              <w:left w:val="nil"/>
              <w:bottom w:val="single" w:sz="4" w:space="0" w:color="auto"/>
              <w:right w:val="single" w:sz="4" w:space="0" w:color="auto"/>
            </w:tcBorders>
            <w:shd w:val="clear" w:color="auto" w:fill="auto"/>
            <w:noWrap/>
            <w:vAlign w:val="center"/>
            <w:hideMark/>
          </w:tcPr>
          <w:p w14:paraId="649D01E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475" w:type="dxa"/>
            <w:tcBorders>
              <w:top w:val="nil"/>
              <w:left w:val="nil"/>
              <w:bottom w:val="single" w:sz="4" w:space="0" w:color="auto"/>
              <w:right w:val="single" w:sz="4" w:space="0" w:color="auto"/>
            </w:tcBorders>
            <w:shd w:val="clear" w:color="auto" w:fill="auto"/>
            <w:noWrap/>
            <w:vAlign w:val="center"/>
            <w:hideMark/>
          </w:tcPr>
          <w:p w14:paraId="765DE8CE"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561" w:type="dxa"/>
            <w:tcBorders>
              <w:top w:val="nil"/>
              <w:left w:val="nil"/>
              <w:bottom w:val="single" w:sz="4" w:space="0" w:color="auto"/>
              <w:right w:val="single" w:sz="4" w:space="0" w:color="auto"/>
            </w:tcBorders>
            <w:shd w:val="clear" w:color="auto" w:fill="auto"/>
            <w:noWrap/>
            <w:vAlign w:val="center"/>
            <w:hideMark/>
          </w:tcPr>
          <w:p w14:paraId="0BB91F6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943" w:type="dxa"/>
            <w:tcBorders>
              <w:top w:val="nil"/>
              <w:left w:val="nil"/>
              <w:bottom w:val="single" w:sz="4" w:space="0" w:color="auto"/>
              <w:right w:val="single" w:sz="4" w:space="0" w:color="auto"/>
            </w:tcBorders>
            <w:shd w:val="clear" w:color="auto" w:fill="auto"/>
            <w:noWrap/>
            <w:vAlign w:val="center"/>
            <w:hideMark/>
          </w:tcPr>
          <w:p w14:paraId="57F64992"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943" w:type="dxa"/>
            <w:tcBorders>
              <w:top w:val="nil"/>
              <w:left w:val="nil"/>
              <w:bottom w:val="single" w:sz="4" w:space="0" w:color="auto"/>
              <w:right w:val="single" w:sz="4" w:space="0" w:color="auto"/>
            </w:tcBorders>
            <w:shd w:val="clear" w:color="auto" w:fill="auto"/>
            <w:noWrap/>
            <w:vAlign w:val="center"/>
            <w:hideMark/>
          </w:tcPr>
          <w:p w14:paraId="1E7144C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c>
          <w:tcPr>
            <w:tcW w:w="1115" w:type="dxa"/>
            <w:tcBorders>
              <w:top w:val="nil"/>
              <w:left w:val="nil"/>
              <w:bottom w:val="single" w:sz="4" w:space="0" w:color="auto"/>
              <w:right w:val="single" w:sz="4" w:space="0" w:color="auto"/>
            </w:tcBorders>
            <w:shd w:val="clear" w:color="auto" w:fill="auto"/>
            <w:vAlign w:val="center"/>
            <w:hideMark/>
          </w:tcPr>
          <w:p w14:paraId="7A674400"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 xml:space="preserve">　</w:t>
            </w:r>
          </w:p>
        </w:tc>
      </w:tr>
      <w:tr w:rsidR="00C600D7" w:rsidRPr="00C600D7" w14:paraId="6B913F67" w14:textId="77777777" w:rsidTr="00C600D7">
        <w:trPr>
          <w:trHeight w:val="566"/>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711EA05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年度总体目标</w:t>
            </w:r>
          </w:p>
        </w:tc>
        <w:tc>
          <w:tcPr>
            <w:tcW w:w="72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96B1E"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预期目标</w:t>
            </w:r>
          </w:p>
        </w:tc>
        <w:tc>
          <w:tcPr>
            <w:tcW w:w="604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F2529"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实际完成情况</w:t>
            </w:r>
          </w:p>
        </w:tc>
      </w:tr>
      <w:tr w:rsidR="00C600D7" w:rsidRPr="00C600D7" w14:paraId="7CE8A73B" w14:textId="77777777" w:rsidTr="00C600D7">
        <w:trPr>
          <w:trHeight w:val="3427"/>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3E3A4463" w14:textId="77777777" w:rsidR="00C600D7" w:rsidRPr="00C600D7" w:rsidRDefault="00C600D7" w:rsidP="00C600D7">
            <w:pPr>
              <w:widowControl/>
              <w:jc w:val="left"/>
              <w:rPr>
                <w:rFonts w:ascii="宋体" w:eastAsia="宋体" w:hAnsi="宋体" w:cs="宋体"/>
                <w:color w:val="000000"/>
                <w:kern w:val="0"/>
                <w:sz w:val="22"/>
              </w:rPr>
            </w:pPr>
          </w:p>
        </w:tc>
        <w:tc>
          <w:tcPr>
            <w:tcW w:w="7242" w:type="dxa"/>
            <w:gridSpan w:val="5"/>
            <w:tcBorders>
              <w:top w:val="single" w:sz="4" w:space="0" w:color="auto"/>
              <w:left w:val="nil"/>
              <w:bottom w:val="single" w:sz="4" w:space="0" w:color="auto"/>
              <w:right w:val="single" w:sz="4" w:space="0" w:color="auto"/>
            </w:tcBorders>
            <w:shd w:val="clear" w:color="auto" w:fill="auto"/>
            <w:vAlign w:val="center"/>
            <w:hideMark/>
          </w:tcPr>
          <w:p w14:paraId="5C5E539E"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拟资助派出我校2019级翻译专业、贸易经济专业、旅游管理专业、酒店管理专业、市场营销专业和财务管理专业的48名优秀本科生分别前往美国州立大学宾汉姆顿大学、美国南卡罗来纳大学、美国芝加哥哥伦比亚学院、美国密苏里大学堪萨斯分校分别进行翻译、国际艺术管理、演艺文化管理、国际视觉艺术管理、旅游管理、酒店管理、商务管理与经济等专业学习。</w:t>
            </w:r>
            <w:r w:rsidRPr="00C600D7">
              <w:rPr>
                <w:rFonts w:ascii="宋体" w:eastAsia="宋体" w:hAnsi="宋体" w:cs="宋体" w:hint="eastAsia"/>
                <w:color w:val="000000"/>
                <w:kern w:val="0"/>
                <w:sz w:val="22"/>
              </w:rPr>
              <w:br/>
              <w:t>继续支持已在美国纽约大学宾汉姆顿分校（40人）、美国南卡罗来纳大学（40人）、美国芝加哥哥伦比亚学院（25人）、美国密苏里大学堪萨斯分校（20人）学习的</w:t>
            </w:r>
            <w:proofErr w:type="gramStart"/>
            <w:r w:rsidRPr="00C600D7">
              <w:rPr>
                <w:rFonts w:ascii="宋体" w:eastAsia="宋体" w:hAnsi="宋体" w:cs="宋体" w:hint="eastAsia"/>
                <w:color w:val="000000"/>
                <w:kern w:val="0"/>
                <w:sz w:val="22"/>
              </w:rPr>
              <w:t>的</w:t>
            </w:r>
            <w:proofErr w:type="gramEnd"/>
            <w:r w:rsidRPr="00C600D7">
              <w:rPr>
                <w:rFonts w:ascii="宋体" w:eastAsia="宋体" w:hAnsi="宋体" w:cs="宋体" w:hint="eastAsia"/>
                <w:color w:val="000000"/>
                <w:kern w:val="0"/>
                <w:sz w:val="22"/>
              </w:rPr>
              <w:t>125名外培</w:t>
            </w:r>
            <w:proofErr w:type="gramStart"/>
            <w:r w:rsidRPr="00C600D7">
              <w:rPr>
                <w:rFonts w:ascii="宋体" w:eastAsia="宋体" w:hAnsi="宋体" w:cs="宋体" w:hint="eastAsia"/>
                <w:color w:val="000000"/>
                <w:kern w:val="0"/>
                <w:sz w:val="22"/>
              </w:rPr>
              <w:t>生相关</w:t>
            </w:r>
            <w:proofErr w:type="gramEnd"/>
            <w:r w:rsidRPr="00C600D7">
              <w:rPr>
                <w:rFonts w:ascii="宋体" w:eastAsia="宋体" w:hAnsi="宋体" w:cs="宋体" w:hint="eastAsia"/>
                <w:color w:val="000000"/>
                <w:kern w:val="0"/>
                <w:sz w:val="22"/>
              </w:rPr>
              <w:t>费用。</w:t>
            </w:r>
          </w:p>
        </w:tc>
        <w:tc>
          <w:tcPr>
            <w:tcW w:w="6040" w:type="dxa"/>
            <w:gridSpan w:val="6"/>
            <w:tcBorders>
              <w:top w:val="single" w:sz="4" w:space="0" w:color="auto"/>
              <w:left w:val="nil"/>
              <w:bottom w:val="single" w:sz="4" w:space="0" w:color="auto"/>
              <w:right w:val="single" w:sz="4" w:space="0" w:color="auto"/>
            </w:tcBorders>
            <w:shd w:val="clear" w:color="auto" w:fill="auto"/>
            <w:vAlign w:val="center"/>
            <w:hideMark/>
          </w:tcPr>
          <w:p w14:paraId="29BAC372" w14:textId="77777777" w:rsidR="00C600D7" w:rsidRPr="00C600D7" w:rsidRDefault="00C600D7" w:rsidP="00C600D7">
            <w:pPr>
              <w:widowControl/>
              <w:jc w:val="left"/>
              <w:rPr>
                <w:rFonts w:ascii="宋体" w:eastAsia="宋体" w:hAnsi="宋体" w:cs="宋体"/>
                <w:color w:val="000000"/>
                <w:kern w:val="0"/>
                <w:sz w:val="22"/>
              </w:rPr>
            </w:pPr>
            <w:r w:rsidRPr="00C600D7">
              <w:rPr>
                <w:rFonts w:ascii="宋体" w:eastAsia="宋体" w:hAnsi="宋体" w:cs="宋体" w:hint="eastAsia"/>
                <w:color w:val="000000"/>
                <w:kern w:val="0"/>
                <w:sz w:val="22"/>
              </w:rPr>
              <w:t>目标</w:t>
            </w:r>
            <w:proofErr w:type="gramStart"/>
            <w:r w:rsidRPr="00C600D7">
              <w:rPr>
                <w:rFonts w:ascii="宋体" w:eastAsia="宋体" w:hAnsi="宋体" w:cs="宋体" w:hint="eastAsia"/>
                <w:color w:val="000000"/>
                <w:kern w:val="0"/>
                <w:sz w:val="22"/>
              </w:rPr>
              <w:t>一</w:t>
            </w:r>
            <w:proofErr w:type="gramEnd"/>
            <w:r w:rsidRPr="00C600D7">
              <w:rPr>
                <w:rFonts w:ascii="宋体" w:eastAsia="宋体" w:hAnsi="宋体" w:cs="宋体" w:hint="eastAsia"/>
                <w:color w:val="000000"/>
                <w:kern w:val="0"/>
                <w:sz w:val="22"/>
              </w:rPr>
              <w:t>：经费已用于支持2019级外培学生到美国高校学习学费。</w:t>
            </w:r>
            <w:r w:rsidRPr="00C600D7">
              <w:rPr>
                <w:rFonts w:ascii="宋体" w:eastAsia="宋体" w:hAnsi="宋体" w:cs="宋体" w:hint="eastAsia"/>
                <w:color w:val="000000"/>
                <w:kern w:val="0"/>
                <w:sz w:val="22"/>
              </w:rPr>
              <w:br/>
              <w:t>目标二：学校国际化办学水平进一步深化。</w:t>
            </w:r>
            <w:r w:rsidRPr="00C600D7">
              <w:rPr>
                <w:rFonts w:ascii="宋体" w:eastAsia="宋体" w:hAnsi="宋体" w:cs="宋体" w:hint="eastAsia"/>
                <w:color w:val="000000"/>
                <w:kern w:val="0"/>
                <w:sz w:val="22"/>
              </w:rPr>
              <w:br/>
              <w:t>目标三：借助项目，学生视野得到开拓，专业能力和跨文化交流能力得到提升，为成为复合型国际化人才打下坚实基础。"</w:t>
            </w:r>
            <w:r w:rsidRPr="00C600D7">
              <w:rPr>
                <w:rFonts w:ascii="宋体" w:eastAsia="宋体" w:hAnsi="宋体" w:cs="宋体" w:hint="eastAsia"/>
                <w:color w:val="000000"/>
                <w:kern w:val="0"/>
                <w:sz w:val="22"/>
              </w:rPr>
              <w:br/>
              <w:t>目标四：经费已用于支持2016级、2017级和2018级84名外培学生在美国高校学习学费、1名外培</w:t>
            </w:r>
            <w:proofErr w:type="gramStart"/>
            <w:r w:rsidRPr="00C600D7">
              <w:rPr>
                <w:rFonts w:ascii="宋体" w:eastAsia="宋体" w:hAnsi="宋体" w:cs="宋体" w:hint="eastAsia"/>
                <w:color w:val="000000"/>
                <w:kern w:val="0"/>
                <w:sz w:val="22"/>
              </w:rPr>
              <w:t>生贫困</w:t>
            </w:r>
            <w:proofErr w:type="gramEnd"/>
            <w:r w:rsidRPr="00C600D7">
              <w:rPr>
                <w:rFonts w:ascii="宋体" w:eastAsia="宋体" w:hAnsi="宋体" w:cs="宋体" w:hint="eastAsia"/>
                <w:color w:val="000000"/>
                <w:kern w:val="0"/>
                <w:sz w:val="22"/>
              </w:rPr>
              <w:t>补助费用，以及14名学生返京机票费用。</w:t>
            </w:r>
            <w:r w:rsidRPr="00C600D7">
              <w:rPr>
                <w:rFonts w:ascii="宋体" w:eastAsia="宋体" w:hAnsi="宋体" w:cs="宋体" w:hint="eastAsia"/>
                <w:color w:val="000000"/>
                <w:kern w:val="0"/>
                <w:sz w:val="22"/>
              </w:rPr>
              <w:br/>
              <w:t>目标五：学校国际化办学水平进一步深化。</w:t>
            </w:r>
            <w:r w:rsidRPr="00C600D7">
              <w:rPr>
                <w:rFonts w:ascii="宋体" w:eastAsia="宋体" w:hAnsi="宋体" w:cs="宋体" w:hint="eastAsia"/>
                <w:color w:val="000000"/>
                <w:kern w:val="0"/>
                <w:sz w:val="22"/>
              </w:rPr>
              <w:br/>
              <w:t>目标六：借助项目，学生视野得到开拓，专业能力和跨文化交流能力得到提升，为成为复合型国际化人才打下坚实基础。"</w:t>
            </w:r>
          </w:p>
        </w:tc>
      </w:tr>
      <w:tr w:rsidR="00C600D7" w:rsidRPr="00C600D7" w14:paraId="54DA5DF4" w14:textId="77777777" w:rsidTr="00C600D7">
        <w:trPr>
          <w:gridAfter w:val="1"/>
          <w:wAfter w:w="5" w:type="dxa"/>
          <w:trHeight w:val="20"/>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046472D4"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绩效指标</w:t>
            </w:r>
          </w:p>
        </w:tc>
        <w:tc>
          <w:tcPr>
            <w:tcW w:w="703" w:type="dxa"/>
            <w:tcBorders>
              <w:top w:val="single" w:sz="4" w:space="0" w:color="auto"/>
              <w:left w:val="nil"/>
              <w:bottom w:val="single" w:sz="4" w:space="0" w:color="auto"/>
              <w:right w:val="single" w:sz="4" w:space="0" w:color="auto"/>
            </w:tcBorders>
            <w:shd w:val="clear" w:color="auto" w:fill="auto"/>
            <w:vAlign w:val="center"/>
            <w:hideMark/>
          </w:tcPr>
          <w:p w14:paraId="1C95F42D"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一级指标</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3FC52EED"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二级指标</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0AA60601"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三级指标</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1E4107EB"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年度指标值</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3FD974A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实际完成值</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145CD99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分值</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14:paraId="4913AB0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得分</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12940D99"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偏差原因分析及改进</w:t>
            </w:r>
            <w:r w:rsidRPr="00C600D7">
              <w:rPr>
                <w:rFonts w:ascii="宋体" w:eastAsia="宋体" w:hAnsi="宋体" w:cs="宋体" w:hint="eastAsia"/>
                <w:color w:val="000000"/>
                <w:kern w:val="0"/>
                <w:sz w:val="22"/>
              </w:rPr>
              <w:br/>
              <w:t>措施</w:t>
            </w:r>
          </w:p>
        </w:tc>
      </w:tr>
      <w:tr w:rsidR="00C600D7" w:rsidRPr="0007766A" w14:paraId="1950DC84"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58533C65"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0C40D7F8"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产出指标（50分）</w:t>
            </w:r>
          </w:p>
        </w:tc>
        <w:tc>
          <w:tcPr>
            <w:tcW w:w="12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A007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数量指标</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4ADF9D22"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外派学生数</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7F9BF006"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37</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1C540BBF"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37</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5F5351B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14:paraId="1A729D38"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3A06289D" w14:textId="2F232E62" w:rsidR="00C600D7" w:rsidRPr="00C600D7" w:rsidRDefault="0007766A" w:rsidP="0007766A">
            <w:pPr>
              <w:widowControl/>
              <w:jc w:val="center"/>
              <w:rPr>
                <w:rFonts w:ascii="宋体" w:eastAsia="宋体" w:hAnsi="宋体" w:cs="宋体"/>
                <w:color w:val="000000"/>
                <w:kern w:val="0"/>
                <w:sz w:val="16"/>
                <w:szCs w:val="16"/>
              </w:rPr>
            </w:pPr>
            <w:r w:rsidRPr="0007766A">
              <w:rPr>
                <w:rFonts w:ascii="宋体" w:eastAsia="宋体" w:hAnsi="宋体" w:cs="宋体" w:hint="eastAsia"/>
                <w:color w:val="000000"/>
                <w:kern w:val="0"/>
                <w:sz w:val="16"/>
                <w:szCs w:val="16"/>
              </w:rPr>
              <w:t>按原定的派出计划，</w:t>
            </w:r>
            <w:r w:rsidRPr="0007766A">
              <w:rPr>
                <w:rFonts w:ascii="宋体" w:eastAsia="宋体" w:hAnsi="宋体" w:cs="宋体"/>
                <w:color w:val="000000"/>
                <w:kern w:val="0"/>
                <w:sz w:val="16"/>
                <w:szCs w:val="16"/>
              </w:rPr>
              <w:t>2019级的</w:t>
            </w:r>
            <w:r>
              <w:rPr>
                <w:rFonts w:ascii="宋体" w:eastAsia="宋体" w:hAnsi="宋体" w:cs="宋体" w:hint="eastAsia"/>
                <w:color w:val="000000"/>
                <w:kern w:val="0"/>
                <w:sz w:val="16"/>
                <w:szCs w:val="16"/>
              </w:rPr>
              <w:t>48名</w:t>
            </w:r>
            <w:r w:rsidRPr="0007766A">
              <w:rPr>
                <w:rFonts w:ascii="宋体" w:eastAsia="宋体" w:hAnsi="宋体" w:cs="宋体"/>
                <w:color w:val="000000"/>
                <w:kern w:val="0"/>
                <w:sz w:val="16"/>
                <w:szCs w:val="16"/>
              </w:rPr>
              <w:t>外培</w:t>
            </w:r>
            <w:proofErr w:type="gramStart"/>
            <w:r w:rsidRPr="0007766A">
              <w:rPr>
                <w:rFonts w:ascii="宋体" w:eastAsia="宋体" w:hAnsi="宋体" w:cs="宋体"/>
                <w:color w:val="000000"/>
                <w:kern w:val="0"/>
                <w:sz w:val="16"/>
                <w:szCs w:val="16"/>
              </w:rPr>
              <w:t>生应该</w:t>
            </w:r>
            <w:proofErr w:type="gramEnd"/>
            <w:r w:rsidRPr="0007766A">
              <w:rPr>
                <w:rFonts w:ascii="宋体" w:eastAsia="宋体" w:hAnsi="宋体" w:cs="宋体"/>
                <w:color w:val="000000"/>
                <w:kern w:val="0"/>
                <w:sz w:val="16"/>
                <w:szCs w:val="16"/>
              </w:rPr>
              <w:t>在20</w:t>
            </w:r>
            <w:r>
              <w:rPr>
                <w:rFonts w:ascii="宋体" w:eastAsia="宋体" w:hAnsi="宋体" w:cs="宋体" w:hint="eastAsia"/>
                <w:color w:val="000000"/>
                <w:kern w:val="0"/>
                <w:sz w:val="16"/>
                <w:szCs w:val="16"/>
              </w:rPr>
              <w:t>20</w:t>
            </w:r>
            <w:r>
              <w:rPr>
                <w:rFonts w:ascii="宋体" w:eastAsia="宋体" w:hAnsi="宋体" w:cs="宋体"/>
                <w:color w:val="000000"/>
                <w:kern w:val="0"/>
                <w:sz w:val="16"/>
                <w:szCs w:val="16"/>
              </w:rPr>
              <w:t>年的</w:t>
            </w:r>
            <w:r>
              <w:rPr>
                <w:rFonts w:ascii="宋体" w:eastAsia="宋体" w:hAnsi="宋体" w:cs="宋体" w:hint="eastAsia"/>
                <w:color w:val="000000"/>
                <w:kern w:val="0"/>
                <w:sz w:val="16"/>
                <w:szCs w:val="16"/>
              </w:rPr>
              <w:t>8</w:t>
            </w:r>
            <w:r w:rsidRPr="0007766A">
              <w:rPr>
                <w:rFonts w:ascii="宋体" w:eastAsia="宋体" w:hAnsi="宋体" w:cs="宋体"/>
                <w:color w:val="000000"/>
                <w:kern w:val="0"/>
                <w:sz w:val="16"/>
                <w:szCs w:val="16"/>
              </w:rPr>
              <w:t>月份之前达到外方学校的语言入学标准，但是由于疫情，</w:t>
            </w:r>
            <w:proofErr w:type="gramStart"/>
            <w:r w:rsidRPr="0007766A">
              <w:rPr>
                <w:rFonts w:ascii="宋体" w:eastAsia="宋体" w:hAnsi="宋体" w:cs="宋体"/>
                <w:color w:val="000000"/>
                <w:kern w:val="0"/>
                <w:sz w:val="16"/>
                <w:szCs w:val="16"/>
              </w:rPr>
              <w:t>雅思托福考试</w:t>
            </w:r>
            <w:proofErr w:type="gramEnd"/>
            <w:r w:rsidRPr="0007766A">
              <w:rPr>
                <w:rFonts w:ascii="宋体" w:eastAsia="宋体" w:hAnsi="宋体" w:cs="宋体"/>
                <w:color w:val="000000"/>
                <w:kern w:val="0"/>
                <w:sz w:val="16"/>
                <w:szCs w:val="16"/>
              </w:rPr>
              <w:t>取消等原因，有11</w:t>
            </w:r>
            <w:r>
              <w:rPr>
                <w:rFonts w:ascii="宋体" w:eastAsia="宋体" w:hAnsi="宋体" w:cs="宋体"/>
                <w:color w:val="000000"/>
                <w:kern w:val="0"/>
                <w:sz w:val="16"/>
                <w:szCs w:val="16"/>
              </w:rPr>
              <w:t>名学生没能达到入学标准，没有及时取得入学资格，</w:t>
            </w:r>
            <w:r>
              <w:rPr>
                <w:rFonts w:ascii="宋体" w:eastAsia="宋体" w:hAnsi="宋体" w:cs="宋体" w:hint="eastAsia"/>
                <w:color w:val="000000"/>
                <w:kern w:val="0"/>
                <w:sz w:val="16"/>
                <w:szCs w:val="16"/>
              </w:rPr>
              <w:t>学校</w:t>
            </w:r>
            <w:r w:rsidRPr="0007766A">
              <w:rPr>
                <w:rFonts w:ascii="宋体" w:eastAsia="宋体" w:hAnsi="宋体" w:cs="宋体"/>
                <w:color w:val="000000"/>
                <w:kern w:val="0"/>
                <w:sz w:val="16"/>
                <w:szCs w:val="16"/>
              </w:rPr>
              <w:t>向市教委</w:t>
            </w:r>
            <w:r>
              <w:rPr>
                <w:rFonts w:ascii="宋体" w:eastAsia="宋体" w:hAnsi="宋体" w:cs="宋体" w:hint="eastAsia"/>
                <w:color w:val="000000"/>
                <w:kern w:val="0"/>
                <w:sz w:val="16"/>
                <w:szCs w:val="16"/>
              </w:rPr>
              <w:t>汇报</w:t>
            </w:r>
            <w:r w:rsidRPr="0007766A">
              <w:rPr>
                <w:rFonts w:ascii="宋体" w:eastAsia="宋体" w:hAnsi="宋体" w:cs="宋体"/>
                <w:color w:val="000000"/>
                <w:kern w:val="0"/>
                <w:sz w:val="16"/>
                <w:szCs w:val="16"/>
              </w:rPr>
              <w:t>，市教委</w:t>
            </w:r>
            <w:r>
              <w:rPr>
                <w:rFonts w:ascii="宋体" w:eastAsia="宋体" w:hAnsi="宋体" w:cs="宋体"/>
                <w:color w:val="000000"/>
                <w:kern w:val="0"/>
                <w:sz w:val="16"/>
                <w:szCs w:val="16"/>
              </w:rPr>
              <w:t>批复</w:t>
            </w:r>
            <w:r w:rsidRPr="0007766A">
              <w:rPr>
                <w:rFonts w:ascii="宋体" w:eastAsia="宋体" w:hAnsi="宋体" w:cs="宋体"/>
                <w:color w:val="000000"/>
                <w:kern w:val="0"/>
                <w:sz w:val="16"/>
                <w:szCs w:val="16"/>
              </w:rPr>
              <w:t>同意这11</w:t>
            </w:r>
            <w:r>
              <w:rPr>
                <w:rFonts w:ascii="宋体" w:eastAsia="宋体" w:hAnsi="宋体" w:cs="宋体"/>
                <w:color w:val="000000"/>
                <w:kern w:val="0"/>
                <w:sz w:val="16"/>
                <w:szCs w:val="16"/>
              </w:rPr>
              <w:t>名学生延期入学，</w:t>
            </w:r>
            <w:r w:rsidRPr="0007766A">
              <w:rPr>
                <w:rFonts w:ascii="宋体" w:eastAsia="宋体" w:hAnsi="宋体" w:cs="宋体"/>
                <w:color w:val="000000"/>
                <w:kern w:val="0"/>
                <w:sz w:val="16"/>
                <w:szCs w:val="16"/>
              </w:rPr>
              <w:t>考取语言资格的时间截止日期延到</w:t>
            </w:r>
            <w:r>
              <w:rPr>
                <w:rFonts w:ascii="宋体" w:eastAsia="宋体" w:hAnsi="宋体" w:cs="宋体" w:hint="eastAsia"/>
                <w:color w:val="000000"/>
                <w:kern w:val="0"/>
                <w:sz w:val="16"/>
                <w:szCs w:val="16"/>
              </w:rPr>
              <w:t>20</w:t>
            </w:r>
            <w:r w:rsidRPr="0007766A">
              <w:rPr>
                <w:rFonts w:ascii="宋体" w:eastAsia="宋体" w:hAnsi="宋体" w:cs="宋体"/>
                <w:color w:val="000000"/>
                <w:kern w:val="0"/>
                <w:sz w:val="16"/>
                <w:szCs w:val="16"/>
              </w:rPr>
              <w:t>21年</w:t>
            </w:r>
            <w:r>
              <w:rPr>
                <w:rFonts w:ascii="宋体" w:eastAsia="宋体" w:hAnsi="宋体" w:cs="宋体" w:hint="eastAsia"/>
                <w:color w:val="000000"/>
                <w:kern w:val="0"/>
                <w:sz w:val="16"/>
                <w:szCs w:val="16"/>
              </w:rPr>
              <w:t>1</w:t>
            </w:r>
            <w:r w:rsidRPr="0007766A">
              <w:rPr>
                <w:rFonts w:ascii="宋体" w:eastAsia="宋体" w:hAnsi="宋体" w:cs="宋体"/>
                <w:color w:val="000000"/>
                <w:kern w:val="0"/>
                <w:sz w:val="16"/>
                <w:szCs w:val="16"/>
              </w:rPr>
              <w:t>月份，这</w:t>
            </w:r>
            <w:r>
              <w:rPr>
                <w:rFonts w:ascii="宋体" w:eastAsia="宋体" w:hAnsi="宋体" w:cs="宋体" w:hint="eastAsia"/>
                <w:color w:val="000000"/>
                <w:kern w:val="0"/>
                <w:sz w:val="16"/>
                <w:szCs w:val="16"/>
              </w:rPr>
              <w:t>11名</w:t>
            </w:r>
            <w:r w:rsidRPr="0007766A">
              <w:rPr>
                <w:rFonts w:ascii="宋体" w:eastAsia="宋体" w:hAnsi="宋体" w:cs="宋体"/>
                <w:color w:val="000000"/>
                <w:kern w:val="0"/>
                <w:sz w:val="16"/>
                <w:szCs w:val="16"/>
              </w:rPr>
              <w:t>还没有被确定录取学生的学费没有支付</w:t>
            </w:r>
            <w:r>
              <w:rPr>
                <w:rFonts w:ascii="宋体" w:eastAsia="宋体" w:hAnsi="宋体" w:cs="宋体" w:hint="eastAsia"/>
                <w:color w:val="000000"/>
                <w:kern w:val="0"/>
                <w:sz w:val="16"/>
                <w:szCs w:val="16"/>
              </w:rPr>
              <w:t>。</w:t>
            </w:r>
            <w:r w:rsidR="00C600D7" w:rsidRPr="00C600D7">
              <w:rPr>
                <w:rFonts w:ascii="宋体" w:eastAsia="宋体" w:hAnsi="宋体" w:cs="宋体" w:hint="eastAsia"/>
                <w:color w:val="000000"/>
                <w:kern w:val="0"/>
                <w:sz w:val="16"/>
                <w:szCs w:val="16"/>
              </w:rPr>
              <w:t xml:space="preserve">　</w:t>
            </w:r>
            <w:bookmarkStart w:id="1" w:name="_GoBack"/>
            <w:bookmarkEnd w:id="1"/>
          </w:p>
        </w:tc>
      </w:tr>
      <w:tr w:rsidR="00C600D7" w:rsidRPr="00C600D7" w14:paraId="27DBD0DB"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E286063"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7E0684C9" w14:textId="77777777" w:rsidR="00C600D7" w:rsidRPr="00C600D7" w:rsidRDefault="00C600D7" w:rsidP="00C600D7">
            <w:pPr>
              <w:widowControl/>
              <w:jc w:val="left"/>
              <w:rPr>
                <w:rFonts w:ascii="宋体" w:eastAsia="宋体" w:hAnsi="宋体" w:cs="宋体"/>
                <w:color w:val="000000"/>
                <w:kern w:val="0"/>
                <w:sz w:val="22"/>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14:paraId="5B211684" w14:textId="77777777" w:rsidR="00C600D7" w:rsidRPr="00C600D7" w:rsidRDefault="00C600D7" w:rsidP="00C600D7">
            <w:pPr>
              <w:widowControl/>
              <w:jc w:val="left"/>
              <w:rPr>
                <w:rFonts w:ascii="宋体" w:eastAsia="宋体" w:hAnsi="宋体" w:cs="宋体"/>
                <w:color w:val="000000"/>
                <w:kern w:val="0"/>
                <w:sz w:val="22"/>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1F69BDC4"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外派学生数</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36A1CCB0"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125</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78365686"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99</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57A243A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14:paraId="070AF408"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7</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4A408284" w14:textId="07DD56DC" w:rsidR="00C600D7" w:rsidRPr="00C600D7" w:rsidRDefault="000B7A78" w:rsidP="00C600D7">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受疫情影响，派出学生数减少，</w:t>
            </w:r>
            <w:r w:rsidR="00C600D7" w:rsidRPr="00C600D7">
              <w:rPr>
                <w:rFonts w:ascii="宋体" w:eastAsia="宋体" w:hAnsi="宋体" w:cs="宋体" w:hint="eastAsia"/>
                <w:color w:val="000000"/>
                <w:kern w:val="0"/>
                <w:sz w:val="16"/>
                <w:szCs w:val="16"/>
              </w:rPr>
              <w:t>经费已用于支持2016级、2017级和2018级84名外培学生在美国高校学习学费、1名外</w:t>
            </w:r>
            <w:r w:rsidR="00C600D7" w:rsidRPr="00C600D7">
              <w:rPr>
                <w:rFonts w:ascii="宋体" w:eastAsia="宋体" w:hAnsi="宋体" w:cs="宋体" w:hint="eastAsia"/>
                <w:color w:val="000000"/>
                <w:kern w:val="0"/>
                <w:sz w:val="16"/>
                <w:szCs w:val="16"/>
              </w:rPr>
              <w:lastRenderedPageBreak/>
              <w:t>培生贫困补助费用，以及14名学生返京机票费用。</w:t>
            </w:r>
          </w:p>
        </w:tc>
      </w:tr>
      <w:tr w:rsidR="00C600D7" w:rsidRPr="00C600D7" w14:paraId="6A9A055E"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36E81F4D"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02059A3A" w14:textId="77777777" w:rsidR="00C600D7" w:rsidRPr="00C600D7" w:rsidRDefault="00C600D7" w:rsidP="00C600D7">
            <w:pPr>
              <w:widowControl/>
              <w:jc w:val="left"/>
              <w:rPr>
                <w:rFonts w:ascii="宋体" w:eastAsia="宋体" w:hAnsi="宋体" w:cs="宋体"/>
                <w:color w:val="000000"/>
                <w:kern w:val="0"/>
                <w:sz w:val="22"/>
              </w:rPr>
            </w:pP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2BFA60F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质量指标</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3F66988F"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≥98%</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5DF77299"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≥98%</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78F450D0" w14:textId="77777777" w:rsidR="00C600D7" w:rsidRPr="00C600D7" w:rsidRDefault="00C600D7" w:rsidP="00C600D7">
            <w:pPr>
              <w:widowControl/>
              <w:jc w:val="center"/>
              <w:rPr>
                <w:rFonts w:ascii="宋体" w:eastAsia="宋体" w:hAnsi="宋体" w:cs="宋体"/>
                <w:color w:val="000000"/>
                <w:kern w:val="0"/>
                <w:sz w:val="20"/>
                <w:szCs w:val="20"/>
              </w:rPr>
            </w:pPr>
            <w:r w:rsidRPr="00C600D7">
              <w:rPr>
                <w:rFonts w:ascii="宋体" w:eastAsia="宋体" w:hAnsi="宋体" w:cs="宋体" w:hint="eastAsia"/>
                <w:color w:val="000000"/>
                <w:kern w:val="0"/>
                <w:sz w:val="20"/>
                <w:szCs w:val="20"/>
              </w:rPr>
              <w:t>98%</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4FCD37B8"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14:paraId="0EDF66F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9</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2B7CB78A"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73304E5D"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31CCD7FE"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1A86F3E2" w14:textId="77777777" w:rsidR="00C600D7" w:rsidRPr="00C600D7" w:rsidRDefault="00C600D7" w:rsidP="00C600D7">
            <w:pPr>
              <w:widowControl/>
              <w:jc w:val="left"/>
              <w:rPr>
                <w:rFonts w:ascii="宋体" w:eastAsia="宋体" w:hAnsi="宋体" w:cs="宋体"/>
                <w:color w:val="000000"/>
                <w:kern w:val="0"/>
                <w:sz w:val="22"/>
              </w:rPr>
            </w:pP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646D8F4"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时效指标</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26FDD6CB"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2020年内完成</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7325EE87"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2020年内完成</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113CA78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2020年内完成</w:t>
            </w:r>
          </w:p>
        </w:tc>
        <w:tc>
          <w:tcPr>
            <w:tcW w:w="1475" w:type="dxa"/>
            <w:tcBorders>
              <w:top w:val="single" w:sz="4" w:space="0" w:color="auto"/>
              <w:left w:val="nil"/>
              <w:bottom w:val="single" w:sz="4" w:space="0" w:color="auto"/>
              <w:right w:val="nil"/>
            </w:tcBorders>
            <w:shd w:val="clear" w:color="auto" w:fill="auto"/>
            <w:vAlign w:val="center"/>
            <w:hideMark/>
          </w:tcPr>
          <w:p w14:paraId="5EF2E072"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9546D"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6348995C"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72226DED"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1F3B2DDD"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3C5B364D" w14:textId="77777777" w:rsidR="00C600D7" w:rsidRPr="00C600D7" w:rsidRDefault="00C600D7" w:rsidP="00C600D7">
            <w:pPr>
              <w:widowControl/>
              <w:jc w:val="left"/>
              <w:rPr>
                <w:rFonts w:ascii="宋体" w:eastAsia="宋体" w:hAnsi="宋体" w:cs="宋体"/>
                <w:color w:val="000000"/>
                <w:kern w:val="0"/>
                <w:sz w:val="22"/>
              </w:rPr>
            </w:pP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23EF899"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成本指标</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14D3CA25"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控制在总预算内</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1BFEA8A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总成本控制</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14:paraId="13983BBA"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2323.825108</w:t>
            </w:r>
          </w:p>
        </w:tc>
        <w:tc>
          <w:tcPr>
            <w:tcW w:w="1475" w:type="dxa"/>
            <w:tcBorders>
              <w:top w:val="single" w:sz="4" w:space="0" w:color="auto"/>
              <w:left w:val="nil"/>
              <w:bottom w:val="single" w:sz="4" w:space="0" w:color="auto"/>
              <w:right w:val="nil"/>
            </w:tcBorders>
            <w:shd w:val="clear" w:color="auto" w:fill="auto"/>
            <w:vAlign w:val="center"/>
            <w:hideMark/>
          </w:tcPr>
          <w:p w14:paraId="5237FF2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33D1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338AE290"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13FE77B0"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2DDFFF1B"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054A78C4"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（30分）效益指标</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507B566" w14:textId="77777777" w:rsidR="00C600D7" w:rsidRPr="00C600D7" w:rsidRDefault="00C600D7" w:rsidP="00C600D7">
            <w:pPr>
              <w:widowControl/>
              <w:jc w:val="center"/>
              <w:rPr>
                <w:rFonts w:ascii="宋体" w:eastAsia="宋体" w:hAnsi="宋体" w:cs="宋体"/>
                <w:kern w:val="0"/>
                <w:sz w:val="22"/>
              </w:rPr>
            </w:pPr>
            <w:r w:rsidRPr="00C600D7">
              <w:rPr>
                <w:rFonts w:ascii="宋体" w:eastAsia="宋体" w:hAnsi="宋体" w:cs="宋体" w:hint="eastAsia"/>
                <w:kern w:val="0"/>
                <w:sz w:val="24"/>
                <w:szCs w:val="24"/>
              </w:rPr>
              <w:t>经济效益</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63C6B463" w14:textId="77777777" w:rsidR="00C600D7" w:rsidRPr="00C600D7" w:rsidRDefault="00C600D7" w:rsidP="00C600D7">
            <w:pPr>
              <w:widowControl/>
              <w:jc w:val="center"/>
              <w:rPr>
                <w:rFonts w:ascii="宋体" w:eastAsia="宋体" w:hAnsi="宋体" w:cs="宋体"/>
                <w:kern w:val="0"/>
                <w:sz w:val="22"/>
              </w:rPr>
            </w:pPr>
            <w:r w:rsidRPr="00C600D7">
              <w:rPr>
                <w:rFonts w:ascii="宋体" w:eastAsia="宋体" w:hAnsi="宋体" w:cs="宋体" w:hint="eastAsia"/>
                <w:kern w:val="0"/>
                <w:sz w:val="24"/>
                <w:szCs w:val="24"/>
              </w:rPr>
              <w:t>经济效益</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59032BDB"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经项目培养，可为北京市经济社会发展提供有力人才支撑。</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69B64DFE" w14:textId="49106B38"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经项目培养，</w:t>
            </w:r>
            <w:r w:rsidR="001713C6" w:rsidRPr="001713C6">
              <w:rPr>
                <w:rFonts w:ascii="宋体" w:eastAsia="宋体" w:hAnsi="宋体" w:cs="宋体" w:hint="eastAsia"/>
                <w:color w:val="000000"/>
                <w:kern w:val="0"/>
                <w:sz w:val="22"/>
              </w:rPr>
              <w:t>带动</w:t>
            </w:r>
            <w:r w:rsidR="001713C6">
              <w:rPr>
                <w:rFonts w:ascii="宋体" w:eastAsia="宋体" w:hAnsi="宋体" w:cs="宋体" w:hint="eastAsia"/>
                <w:color w:val="000000"/>
                <w:kern w:val="0"/>
                <w:sz w:val="22"/>
              </w:rPr>
              <w:t>了学校</w:t>
            </w:r>
            <w:r w:rsidR="001713C6" w:rsidRPr="001713C6">
              <w:rPr>
                <w:rFonts w:ascii="宋体" w:eastAsia="宋体" w:hAnsi="宋体" w:cs="宋体" w:hint="eastAsia"/>
                <w:color w:val="000000"/>
                <w:kern w:val="0"/>
                <w:sz w:val="22"/>
              </w:rPr>
              <w:t>以人才培养工作为中心的教育教</w:t>
            </w:r>
            <w:r w:rsidR="001713C6">
              <w:rPr>
                <w:rFonts w:ascii="宋体" w:eastAsia="宋体" w:hAnsi="宋体" w:cs="宋体" w:hint="eastAsia"/>
                <w:color w:val="000000"/>
                <w:kern w:val="0"/>
                <w:sz w:val="22"/>
              </w:rPr>
              <w:t>学改革，</w:t>
            </w:r>
            <w:r w:rsidR="001713C6" w:rsidRPr="001713C6">
              <w:rPr>
                <w:rFonts w:ascii="宋体" w:eastAsia="宋体" w:hAnsi="宋体" w:cs="宋体" w:hint="eastAsia"/>
                <w:color w:val="000000"/>
                <w:kern w:val="0"/>
                <w:sz w:val="22"/>
              </w:rPr>
              <w:t>全面提升</w:t>
            </w:r>
            <w:r w:rsidR="001713C6">
              <w:rPr>
                <w:rFonts w:ascii="宋体" w:eastAsia="宋体" w:hAnsi="宋体" w:cs="宋体" w:hint="eastAsia"/>
                <w:color w:val="000000"/>
                <w:kern w:val="0"/>
                <w:sz w:val="22"/>
              </w:rPr>
              <w:t>了学校</w:t>
            </w:r>
            <w:r w:rsidR="001713C6" w:rsidRPr="001713C6">
              <w:rPr>
                <w:rFonts w:ascii="宋体" w:eastAsia="宋体" w:hAnsi="宋体" w:cs="宋体" w:hint="eastAsia"/>
                <w:color w:val="000000"/>
                <w:kern w:val="0"/>
                <w:sz w:val="22"/>
              </w:rPr>
              <w:t>的办学水平，</w:t>
            </w:r>
            <w:r w:rsidRPr="00C600D7">
              <w:rPr>
                <w:rFonts w:ascii="宋体" w:eastAsia="宋体" w:hAnsi="宋体" w:cs="宋体" w:hint="eastAsia"/>
                <w:color w:val="000000"/>
                <w:kern w:val="0"/>
                <w:sz w:val="22"/>
              </w:rPr>
              <w:t>为北京市经济社会发展提供有力人才支撑。</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11DAF68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14:paraId="18301FB7"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7</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093D6954"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4EA2CF28"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244248F2"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1DF5339F" w14:textId="77777777" w:rsidR="00C600D7" w:rsidRPr="00C600D7" w:rsidRDefault="00C600D7" w:rsidP="00C600D7">
            <w:pPr>
              <w:widowControl/>
              <w:jc w:val="left"/>
              <w:rPr>
                <w:rFonts w:ascii="宋体" w:eastAsia="宋体" w:hAnsi="宋体" w:cs="宋体"/>
                <w:color w:val="000000"/>
                <w:kern w:val="0"/>
                <w:sz w:val="22"/>
              </w:rPr>
            </w:pP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62CA2E15" w14:textId="77777777" w:rsidR="00C600D7" w:rsidRPr="00C600D7" w:rsidRDefault="00C600D7" w:rsidP="00C600D7">
            <w:pPr>
              <w:widowControl/>
              <w:jc w:val="center"/>
              <w:rPr>
                <w:rFonts w:ascii="宋体" w:eastAsia="宋体" w:hAnsi="宋体" w:cs="宋体"/>
                <w:kern w:val="0"/>
                <w:sz w:val="22"/>
              </w:rPr>
            </w:pPr>
            <w:r w:rsidRPr="00C600D7">
              <w:rPr>
                <w:rFonts w:ascii="宋体" w:eastAsia="宋体" w:hAnsi="宋体" w:cs="宋体" w:hint="eastAsia"/>
                <w:kern w:val="0"/>
                <w:sz w:val="24"/>
                <w:szCs w:val="24"/>
              </w:rPr>
              <w:t>社会效益</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0156B4DF" w14:textId="77777777" w:rsidR="00C600D7" w:rsidRPr="00C600D7" w:rsidRDefault="00C600D7" w:rsidP="00C600D7">
            <w:pPr>
              <w:widowControl/>
              <w:jc w:val="center"/>
              <w:rPr>
                <w:rFonts w:ascii="宋体" w:eastAsia="宋体" w:hAnsi="宋体" w:cs="宋体"/>
                <w:kern w:val="0"/>
                <w:sz w:val="22"/>
              </w:rPr>
            </w:pPr>
            <w:r w:rsidRPr="00C600D7">
              <w:rPr>
                <w:rFonts w:ascii="宋体" w:eastAsia="宋体" w:hAnsi="宋体" w:cs="宋体" w:hint="eastAsia"/>
                <w:kern w:val="0"/>
                <w:sz w:val="24"/>
                <w:szCs w:val="24"/>
              </w:rPr>
              <w:t>社会效益</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76658F4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外培计划的实施，响应首都群众对优质高等教育资源的需求和期望，共享改革红利，有良好的社会效应。</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313750F8" w14:textId="4C928D0E"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外培计划的</w:t>
            </w:r>
            <w:r w:rsidR="001713C6">
              <w:rPr>
                <w:rFonts w:ascii="宋体" w:eastAsia="宋体" w:hAnsi="宋体" w:cs="宋体" w:hint="eastAsia"/>
                <w:color w:val="000000"/>
                <w:kern w:val="0"/>
                <w:sz w:val="22"/>
              </w:rPr>
              <w:t>实施，响应首都群众对优质高等教育资源的需求和期望，共享改革红利。该项目</w:t>
            </w:r>
            <w:r w:rsidR="001713C6" w:rsidRPr="008F69CE">
              <w:rPr>
                <w:rFonts w:ascii="宋体" w:eastAsia="宋体" w:hAnsi="宋体" w:cs="宋体" w:hint="eastAsia"/>
                <w:color w:val="000000"/>
                <w:kern w:val="0"/>
                <w:sz w:val="22"/>
              </w:rPr>
              <w:t>提升</w:t>
            </w:r>
            <w:r w:rsidR="001713C6" w:rsidRPr="008F69CE">
              <w:rPr>
                <w:rFonts w:ascii="宋体" w:eastAsia="宋体" w:hAnsi="宋体" w:cs="宋体" w:hint="eastAsia"/>
                <w:color w:val="000000"/>
                <w:kern w:val="0"/>
                <w:sz w:val="22"/>
              </w:rPr>
              <w:t>了学校</w:t>
            </w:r>
            <w:r w:rsidR="001713C6" w:rsidRPr="008F69CE">
              <w:rPr>
                <w:rFonts w:ascii="宋体" w:eastAsia="宋体" w:hAnsi="宋体" w:cs="宋体" w:hint="eastAsia"/>
                <w:color w:val="000000"/>
                <w:kern w:val="0"/>
                <w:sz w:val="22"/>
              </w:rPr>
              <w:t>以外国语言文学和旅</w:t>
            </w:r>
            <w:r w:rsidR="001713C6" w:rsidRPr="008F69CE">
              <w:rPr>
                <w:rFonts w:ascii="宋体" w:eastAsia="宋体" w:hAnsi="宋体" w:cs="宋体" w:hint="eastAsia"/>
                <w:color w:val="000000"/>
                <w:kern w:val="0"/>
                <w:sz w:val="22"/>
              </w:rPr>
              <w:t>游管理为优势的学科建设特色，有利</w:t>
            </w:r>
            <w:r w:rsidR="001713C6" w:rsidRPr="008F69CE">
              <w:rPr>
                <w:rFonts w:ascii="宋体" w:eastAsia="宋体" w:hAnsi="宋体" w:cs="宋体" w:hint="eastAsia"/>
                <w:color w:val="000000"/>
                <w:kern w:val="0"/>
                <w:sz w:val="22"/>
              </w:rPr>
              <w:lastRenderedPageBreak/>
              <w:t>于国际视野的复合型人才的培养</w:t>
            </w:r>
            <w:r w:rsidR="001713C6" w:rsidRPr="008F69CE">
              <w:rPr>
                <w:rFonts w:ascii="宋体" w:eastAsia="宋体" w:hAnsi="宋体" w:cs="宋体" w:hint="eastAsia"/>
                <w:color w:val="000000"/>
                <w:kern w:val="0"/>
                <w:sz w:val="22"/>
              </w:rPr>
              <w:t>，</w:t>
            </w:r>
            <w:r w:rsidRPr="00C600D7">
              <w:rPr>
                <w:rFonts w:ascii="宋体" w:eastAsia="宋体" w:hAnsi="宋体" w:cs="宋体" w:hint="eastAsia"/>
                <w:color w:val="000000"/>
                <w:kern w:val="0"/>
                <w:sz w:val="22"/>
              </w:rPr>
              <w:t>有良好的社会效应。</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322A10F0"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lastRenderedPageBreak/>
              <w:t>10</w:t>
            </w: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14:paraId="12D88EA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7</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18E61AE7"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64F79B77"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56F2170F" w14:textId="77777777" w:rsidR="00C600D7" w:rsidRPr="00C600D7" w:rsidRDefault="00C600D7" w:rsidP="00C600D7">
            <w:pPr>
              <w:widowControl/>
              <w:jc w:val="left"/>
              <w:rPr>
                <w:rFonts w:ascii="宋体" w:eastAsia="宋体" w:hAnsi="宋体" w:cs="宋体"/>
                <w:color w:val="000000"/>
                <w:kern w:val="0"/>
                <w:sz w:val="22"/>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206B7903" w14:textId="77777777" w:rsidR="00C600D7" w:rsidRPr="00C600D7" w:rsidRDefault="00C600D7" w:rsidP="00C600D7">
            <w:pPr>
              <w:widowControl/>
              <w:jc w:val="left"/>
              <w:rPr>
                <w:rFonts w:ascii="宋体" w:eastAsia="宋体" w:hAnsi="宋体" w:cs="宋体"/>
                <w:color w:val="000000"/>
                <w:kern w:val="0"/>
                <w:sz w:val="22"/>
              </w:rPr>
            </w:pP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560E2468"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可持续影响</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77978C16"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可持续影响</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0BE60DD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未来三年到五年，本项目培养的相关专业人才将会对我校及北京市相关专业人才培养模式改革、支撑相关对口经济社会发展起到良好推动作用。</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13AD0570" w14:textId="1408448A" w:rsidR="00C600D7" w:rsidRPr="00C600D7" w:rsidRDefault="005A47B5" w:rsidP="005A47B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通过该项目培养的相关专业人才</w:t>
            </w:r>
            <w:r w:rsidR="00C600D7" w:rsidRPr="00C600D7">
              <w:rPr>
                <w:rFonts w:ascii="宋体" w:eastAsia="宋体" w:hAnsi="宋体" w:cs="宋体" w:hint="eastAsia"/>
                <w:color w:val="000000"/>
                <w:kern w:val="0"/>
                <w:sz w:val="22"/>
              </w:rPr>
              <w:t>对</w:t>
            </w:r>
            <w:r>
              <w:rPr>
                <w:rFonts w:ascii="宋体" w:eastAsia="宋体" w:hAnsi="宋体" w:cs="宋体" w:hint="eastAsia"/>
                <w:color w:val="000000"/>
                <w:kern w:val="0"/>
                <w:sz w:val="22"/>
              </w:rPr>
              <w:t>学</w:t>
            </w:r>
            <w:r w:rsidR="00C600D7" w:rsidRPr="00C600D7">
              <w:rPr>
                <w:rFonts w:ascii="宋体" w:eastAsia="宋体" w:hAnsi="宋体" w:cs="宋体" w:hint="eastAsia"/>
                <w:color w:val="000000"/>
                <w:kern w:val="0"/>
                <w:sz w:val="22"/>
              </w:rPr>
              <w:t>校及北京市相关专业人才培养模式改革、支撑相关对口经济社会发展起到</w:t>
            </w:r>
            <w:r>
              <w:rPr>
                <w:rFonts w:ascii="宋体" w:eastAsia="宋体" w:hAnsi="宋体" w:cs="宋体" w:hint="eastAsia"/>
                <w:color w:val="000000"/>
                <w:kern w:val="0"/>
                <w:sz w:val="22"/>
              </w:rPr>
              <w:t>了</w:t>
            </w:r>
            <w:r w:rsidR="00C600D7" w:rsidRPr="00C600D7">
              <w:rPr>
                <w:rFonts w:ascii="宋体" w:eastAsia="宋体" w:hAnsi="宋体" w:cs="宋体" w:hint="eastAsia"/>
                <w:color w:val="000000"/>
                <w:kern w:val="0"/>
                <w:sz w:val="22"/>
              </w:rPr>
              <w:t>良好</w:t>
            </w:r>
            <w:r>
              <w:rPr>
                <w:rFonts w:ascii="宋体" w:eastAsia="宋体" w:hAnsi="宋体" w:cs="宋体" w:hint="eastAsia"/>
                <w:color w:val="000000"/>
                <w:kern w:val="0"/>
                <w:sz w:val="22"/>
              </w:rPr>
              <w:t>的</w:t>
            </w:r>
            <w:r w:rsidR="00C600D7" w:rsidRPr="00C600D7">
              <w:rPr>
                <w:rFonts w:ascii="宋体" w:eastAsia="宋体" w:hAnsi="宋体" w:cs="宋体" w:hint="eastAsia"/>
                <w:color w:val="000000"/>
                <w:kern w:val="0"/>
                <w:sz w:val="22"/>
              </w:rPr>
              <w:t>推动作用。</w:t>
            </w:r>
            <w:r w:rsidRPr="005A47B5">
              <w:rPr>
                <w:rFonts w:ascii="宋体" w:eastAsia="宋体" w:hAnsi="宋体" w:cs="宋体" w:hint="eastAsia"/>
                <w:color w:val="000000"/>
                <w:kern w:val="0"/>
                <w:sz w:val="22"/>
              </w:rPr>
              <w:t>进一步创新</w:t>
            </w:r>
            <w:r>
              <w:rPr>
                <w:rFonts w:ascii="宋体" w:eastAsia="宋体" w:hAnsi="宋体" w:cs="宋体" w:hint="eastAsia"/>
                <w:color w:val="000000"/>
                <w:kern w:val="0"/>
                <w:sz w:val="22"/>
              </w:rPr>
              <w:t>了</w:t>
            </w:r>
            <w:r w:rsidRPr="005A47B5">
              <w:rPr>
                <w:rFonts w:ascii="宋体" w:eastAsia="宋体" w:hAnsi="宋体" w:cs="宋体" w:hint="eastAsia"/>
                <w:color w:val="000000"/>
                <w:kern w:val="0"/>
                <w:sz w:val="22"/>
              </w:rPr>
              <w:t>高水平人才培养机制，</w:t>
            </w:r>
            <w:r>
              <w:rPr>
                <w:rFonts w:ascii="宋体" w:eastAsia="宋体" w:hAnsi="宋体" w:cs="宋体" w:hint="eastAsia"/>
                <w:color w:val="000000"/>
                <w:kern w:val="0"/>
                <w:sz w:val="22"/>
              </w:rPr>
              <w:t>为将</w:t>
            </w:r>
            <w:r w:rsidRPr="005A47B5">
              <w:rPr>
                <w:rFonts w:ascii="宋体" w:eastAsia="宋体" w:hAnsi="宋体" w:cs="宋体" w:hint="eastAsia"/>
                <w:color w:val="000000"/>
                <w:kern w:val="0"/>
                <w:sz w:val="22"/>
              </w:rPr>
              <w:t>北京建设成为全国政治中心、文化中心、国际交往中心、科技创新中心做出</w:t>
            </w:r>
            <w:r>
              <w:rPr>
                <w:rFonts w:ascii="宋体" w:eastAsia="宋体" w:hAnsi="宋体" w:cs="宋体" w:hint="eastAsia"/>
                <w:color w:val="000000"/>
                <w:kern w:val="0"/>
                <w:sz w:val="22"/>
              </w:rPr>
              <w:t>了贡献</w:t>
            </w:r>
            <w:r w:rsidRPr="005A47B5">
              <w:rPr>
                <w:rFonts w:ascii="宋体" w:eastAsia="宋体" w:hAnsi="宋体" w:cs="宋体" w:hint="eastAsia"/>
                <w:color w:val="000000"/>
                <w:kern w:val="0"/>
                <w:sz w:val="22"/>
              </w:rPr>
              <w:t>。</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6FB64C7C"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14:paraId="3FA13718"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6</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26CB6BE9"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298DD90A" w14:textId="77777777" w:rsidTr="00C600D7">
        <w:trPr>
          <w:gridAfter w:val="1"/>
          <w:wAfter w:w="5" w:type="dxa"/>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A140B8F" w14:textId="77777777" w:rsidR="00C600D7" w:rsidRPr="00C600D7" w:rsidRDefault="00C600D7" w:rsidP="00C600D7">
            <w:pPr>
              <w:widowControl/>
              <w:jc w:val="left"/>
              <w:rPr>
                <w:rFonts w:ascii="宋体" w:eastAsia="宋体" w:hAnsi="宋体" w:cs="宋体"/>
                <w:color w:val="000000"/>
                <w:kern w:val="0"/>
                <w:sz w:val="22"/>
              </w:rPr>
            </w:pPr>
          </w:p>
        </w:tc>
        <w:tc>
          <w:tcPr>
            <w:tcW w:w="703" w:type="dxa"/>
            <w:tcBorders>
              <w:top w:val="single" w:sz="4" w:space="0" w:color="auto"/>
              <w:left w:val="nil"/>
              <w:bottom w:val="single" w:sz="4" w:space="0" w:color="auto"/>
              <w:right w:val="single" w:sz="4" w:space="0" w:color="auto"/>
            </w:tcBorders>
            <w:shd w:val="clear" w:color="auto" w:fill="auto"/>
            <w:textDirection w:val="tbRlV"/>
            <w:vAlign w:val="center"/>
            <w:hideMark/>
          </w:tcPr>
          <w:p w14:paraId="3E0C32EF"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（10分）满意度指标</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750AC75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服务对象满意度指标</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398DA673"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服务对象满意度</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14:paraId="0A3767D1"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≥90%</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14:paraId="0A966ED5"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90%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482693CE"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10</w:t>
            </w: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14:paraId="0B01290B" w14:textId="77777777" w:rsidR="00C600D7" w:rsidRPr="00C600D7" w:rsidRDefault="00C600D7" w:rsidP="00C600D7">
            <w:pPr>
              <w:widowControl/>
              <w:jc w:val="center"/>
              <w:rPr>
                <w:rFonts w:ascii="宋体" w:eastAsia="宋体" w:hAnsi="宋体" w:cs="宋体"/>
                <w:color w:val="000000"/>
                <w:kern w:val="0"/>
                <w:sz w:val="22"/>
              </w:rPr>
            </w:pPr>
            <w:r w:rsidRPr="00C600D7">
              <w:rPr>
                <w:rFonts w:ascii="宋体" w:eastAsia="宋体" w:hAnsi="宋体" w:cs="宋体" w:hint="eastAsia"/>
                <w:color w:val="000000"/>
                <w:kern w:val="0"/>
                <w:sz w:val="22"/>
              </w:rPr>
              <w:t>6</w:t>
            </w:r>
          </w:p>
        </w:tc>
        <w:tc>
          <w:tcPr>
            <w:tcW w:w="3003" w:type="dxa"/>
            <w:gridSpan w:val="3"/>
            <w:tcBorders>
              <w:top w:val="single" w:sz="4" w:space="0" w:color="auto"/>
              <w:left w:val="nil"/>
              <w:bottom w:val="single" w:sz="4" w:space="0" w:color="auto"/>
              <w:right w:val="single" w:sz="4" w:space="0" w:color="auto"/>
            </w:tcBorders>
            <w:shd w:val="clear" w:color="auto" w:fill="auto"/>
            <w:vAlign w:val="center"/>
            <w:hideMark/>
          </w:tcPr>
          <w:p w14:paraId="4690515B" w14:textId="77777777" w:rsidR="00C600D7" w:rsidRPr="00C600D7" w:rsidRDefault="00C600D7" w:rsidP="00C600D7">
            <w:pPr>
              <w:widowControl/>
              <w:jc w:val="center"/>
              <w:rPr>
                <w:rFonts w:ascii="宋体" w:eastAsia="宋体" w:hAnsi="宋体" w:cs="宋体"/>
                <w:color w:val="000000"/>
                <w:kern w:val="0"/>
                <w:sz w:val="16"/>
                <w:szCs w:val="16"/>
              </w:rPr>
            </w:pPr>
            <w:r w:rsidRPr="00C600D7">
              <w:rPr>
                <w:rFonts w:ascii="宋体" w:eastAsia="宋体" w:hAnsi="宋体" w:cs="宋体" w:hint="eastAsia"/>
                <w:color w:val="000000"/>
                <w:kern w:val="0"/>
                <w:sz w:val="16"/>
                <w:szCs w:val="16"/>
              </w:rPr>
              <w:t xml:space="preserve">　</w:t>
            </w:r>
          </w:p>
        </w:tc>
      </w:tr>
      <w:tr w:rsidR="00C600D7" w:rsidRPr="00C600D7" w14:paraId="4BF598FC" w14:textId="77777777" w:rsidTr="00C600D7">
        <w:trPr>
          <w:trHeight w:val="20"/>
        </w:trPr>
        <w:tc>
          <w:tcPr>
            <w:tcW w:w="780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C2B53" w14:textId="77777777" w:rsidR="00C600D7" w:rsidRPr="00C600D7" w:rsidRDefault="00C600D7" w:rsidP="00C600D7">
            <w:pPr>
              <w:widowControl/>
              <w:jc w:val="center"/>
              <w:rPr>
                <w:rFonts w:ascii="宋体" w:eastAsia="宋体" w:hAnsi="宋体" w:cs="宋体"/>
                <w:b/>
                <w:bCs/>
                <w:color w:val="000000"/>
                <w:kern w:val="0"/>
                <w:sz w:val="22"/>
              </w:rPr>
            </w:pPr>
            <w:r w:rsidRPr="00C600D7">
              <w:rPr>
                <w:rFonts w:ascii="宋体" w:eastAsia="宋体" w:hAnsi="宋体" w:cs="宋体" w:hint="eastAsia"/>
                <w:b/>
                <w:bCs/>
                <w:color w:val="000000"/>
                <w:kern w:val="0"/>
                <w:sz w:val="22"/>
              </w:rPr>
              <w:t>总分</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50A6EF0F" w14:textId="77777777" w:rsidR="00C600D7" w:rsidRPr="00C600D7" w:rsidRDefault="00C600D7" w:rsidP="00C600D7">
            <w:pPr>
              <w:widowControl/>
              <w:jc w:val="center"/>
              <w:rPr>
                <w:rFonts w:ascii="宋体" w:eastAsia="宋体" w:hAnsi="宋体" w:cs="宋体"/>
                <w:b/>
                <w:bCs/>
                <w:color w:val="000000"/>
                <w:kern w:val="0"/>
                <w:sz w:val="22"/>
              </w:rPr>
            </w:pPr>
            <w:r w:rsidRPr="00C600D7">
              <w:rPr>
                <w:rFonts w:ascii="宋体" w:eastAsia="宋体" w:hAnsi="宋体" w:cs="宋体" w:hint="eastAsia"/>
                <w:b/>
                <w:bCs/>
                <w:color w:val="000000"/>
                <w:kern w:val="0"/>
                <w:sz w:val="22"/>
              </w:rPr>
              <w:t>100</w:t>
            </w: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14:paraId="2F2DFF79" w14:textId="77777777" w:rsidR="00C600D7" w:rsidRPr="00C600D7" w:rsidRDefault="00C600D7" w:rsidP="00C600D7">
            <w:pPr>
              <w:widowControl/>
              <w:jc w:val="center"/>
              <w:rPr>
                <w:rFonts w:ascii="宋体" w:eastAsia="宋体" w:hAnsi="宋体" w:cs="宋体"/>
                <w:b/>
                <w:bCs/>
                <w:color w:val="000000"/>
                <w:kern w:val="0"/>
                <w:sz w:val="22"/>
              </w:rPr>
            </w:pPr>
            <w:r w:rsidRPr="00C600D7">
              <w:rPr>
                <w:rFonts w:ascii="宋体" w:eastAsia="宋体" w:hAnsi="宋体" w:cs="宋体" w:hint="eastAsia"/>
                <w:b/>
                <w:bCs/>
                <w:color w:val="000000"/>
                <w:kern w:val="0"/>
                <w:sz w:val="22"/>
              </w:rPr>
              <w:t>81.46</w:t>
            </w:r>
          </w:p>
        </w:tc>
        <w:tc>
          <w:tcPr>
            <w:tcW w:w="30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2AE8373" w14:textId="77777777" w:rsidR="00C600D7" w:rsidRPr="00C600D7" w:rsidRDefault="00C600D7" w:rsidP="00C600D7">
            <w:pPr>
              <w:widowControl/>
              <w:jc w:val="center"/>
              <w:rPr>
                <w:rFonts w:ascii="宋体" w:eastAsia="宋体" w:hAnsi="宋体" w:cs="宋体"/>
                <w:b/>
                <w:bCs/>
                <w:color w:val="000000"/>
                <w:kern w:val="0"/>
                <w:sz w:val="22"/>
              </w:rPr>
            </w:pPr>
            <w:r w:rsidRPr="00C600D7">
              <w:rPr>
                <w:rFonts w:ascii="宋体" w:eastAsia="宋体" w:hAnsi="宋体" w:cs="宋体" w:hint="eastAsia"/>
                <w:b/>
                <w:bCs/>
                <w:color w:val="000000"/>
                <w:kern w:val="0"/>
                <w:sz w:val="22"/>
              </w:rPr>
              <w:t xml:space="preserve">　</w:t>
            </w:r>
          </w:p>
        </w:tc>
      </w:tr>
    </w:tbl>
    <w:p w14:paraId="2B18CF8F" w14:textId="77777777" w:rsidR="00687F9D" w:rsidRPr="003E74C8" w:rsidRDefault="00687F9D" w:rsidP="003E74C8"/>
    <w:sectPr w:rsidR="00687F9D" w:rsidRPr="003E74C8" w:rsidSect="009B47E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E7"/>
    <w:rsid w:val="0007766A"/>
    <w:rsid w:val="000B7A78"/>
    <w:rsid w:val="001713C6"/>
    <w:rsid w:val="003E74C8"/>
    <w:rsid w:val="00567CF6"/>
    <w:rsid w:val="005A47B5"/>
    <w:rsid w:val="00687F9D"/>
    <w:rsid w:val="00754D9E"/>
    <w:rsid w:val="008F69CE"/>
    <w:rsid w:val="009B47E7"/>
    <w:rsid w:val="00A3262D"/>
    <w:rsid w:val="00C60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F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92518">
      <w:bodyDiv w:val="1"/>
      <w:marLeft w:val="0"/>
      <w:marRight w:val="0"/>
      <w:marTop w:val="0"/>
      <w:marBottom w:val="0"/>
      <w:divBdr>
        <w:top w:val="none" w:sz="0" w:space="0" w:color="auto"/>
        <w:left w:val="none" w:sz="0" w:space="0" w:color="auto"/>
        <w:bottom w:val="none" w:sz="0" w:space="0" w:color="auto"/>
        <w:right w:val="none" w:sz="0" w:space="0" w:color="auto"/>
      </w:divBdr>
    </w:div>
    <w:div w:id="1049112755">
      <w:bodyDiv w:val="1"/>
      <w:marLeft w:val="0"/>
      <w:marRight w:val="0"/>
      <w:marTop w:val="0"/>
      <w:marBottom w:val="0"/>
      <w:divBdr>
        <w:top w:val="none" w:sz="0" w:space="0" w:color="auto"/>
        <w:left w:val="none" w:sz="0" w:space="0" w:color="auto"/>
        <w:bottom w:val="none" w:sz="0" w:space="0" w:color="auto"/>
        <w:right w:val="none" w:sz="0" w:space="0" w:color="auto"/>
      </w:divBdr>
    </w:div>
    <w:div w:id="124448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郭诗昆</cp:lastModifiedBy>
  <cp:revision>13</cp:revision>
  <dcterms:created xsi:type="dcterms:W3CDTF">2021-05-21T04:39:00Z</dcterms:created>
  <dcterms:modified xsi:type="dcterms:W3CDTF">2021-05-25T08:34:00Z</dcterms:modified>
</cp:coreProperties>
</file>