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BE19">
      <w:pPr>
        <w:adjustRightInd w:val="0"/>
        <w:spacing w:line="500" w:lineRule="exact"/>
        <w:jc w:val="center"/>
        <w:rPr>
          <w:rFonts w:ascii="方正小标宋简体" w:hAnsi="黑体" w:eastAsia="仿宋" w:cs="华文中宋"/>
          <w:sz w:val="44"/>
          <w:szCs w:val="44"/>
        </w:rPr>
      </w:pPr>
      <w:bookmarkStart w:id="4" w:name="_GoBack"/>
      <w:bookmarkEnd w:id="4"/>
      <w:r>
        <w:rPr>
          <w:rFonts w:hint="eastAsia" w:ascii="方正小标宋简体" w:hAnsi="黑体" w:eastAsia="仿宋" w:cs="华文中宋"/>
          <w:sz w:val="44"/>
          <w:szCs w:val="44"/>
        </w:rPr>
        <w:t>北京市“一带一路”国家人才培养基地</w:t>
      </w:r>
    </w:p>
    <w:p w14:paraId="118FF462">
      <w:pPr>
        <w:adjustRightInd w:val="0"/>
        <w:spacing w:line="500" w:lineRule="exact"/>
        <w:jc w:val="center"/>
        <w:rPr>
          <w:rFonts w:ascii="方正小标宋简体" w:hAnsi="黑体" w:eastAsia="仿宋"/>
          <w:sz w:val="44"/>
          <w:szCs w:val="44"/>
        </w:rPr>
      </w:pPr>
      <w:r>
        <w:rPr>
          <w:rFonts w:hint="eastAsia" w:ascii="方正小标宋简体" w:hAnsi="黑体" w:eastAsia="仿宋" w:cs="华文中宋"/>
          <w:sz w:val="44"/>
          <w:szCs w:val="44"/>
        </w:rPr>
        <w:t>项目管理办法（试行）</w:t>
      </w:r>
    </w:p>
    <w:p w14:paraId="0478308F">
      <w:pPr>
        <w:adjustRightInd w:val="0"/>
        <w:spacing w:line="500" w:lineRule="exact"/>
        <w:ind w:right="57"/>
        <w:rPr>
          <w:rFonts w:ascii="仿宋" w:hAnsi="仿宋" w:eastAsia="仿宋"/>
          <w:b/>
          <w:bCs/>
          <w:szCs w:val="32"/>
        </w:rPr>
      </w:pPr>
    </w:p>
    <w:p w14:paraId="0144BBEE">
      <w:pPr>
        <w:adjustRightInd w:val="0"/>
        <w:spacing w:line="500" w:lineRule="exact"/>
        <w:ind w:right="57" w:firstLine="3036" w:firstLineChars="945"/>
        <w:rPr>
          <w:rFonts w:ascii="黑体" w:hAnsi="新宋体" w:eastAsia="仿宋"/>
          <w:b/>
          <w:szCs w:val="32"/>
        </w:rPr>
      </w:pPr>
      <w:r>
        <w:rPr>
          <w:rFonts w:hint="eastAsia" w:ascii="黑体" w:hAnsi="新宋体" w:eastAsia="仿宋"/>
          <w:b/>
          <w:szCs w:val="32"/>
        </w:rPr>
        <w:t xml:space="preserve">第一章  </w:t>
      </w:r>
      <w:r>
        <w:rPr>
          <w:rFonts w:hint="eastAsia" w:ascii="黑体" w:hAnsi="新宋体" w:eastAsia="仿宋" w:cs="黑体"/>
          <w:b/>
          <w:szCs w:val="32"/>
        </w:rPr>
        <w:t>总则</w:t>
      </w:r>
    </w:p>
    <w:p w14:paraId="7EE3CF14">
      <w:pPr>
        <w:adjustRightInd w:val="0"/>
        <w:spacing w:line="500" w:lineRule="exact"/>
        <w:ind w:right="57" w:firstLine="643" w:firstLineChars="200"/>
        <w:rPr>
          <w:rFonts w:ascii="仿宋_GB2312" w:hAnsi="仿宋" w:eastAsia="仿宋" w:cs="仿宋_GB2312"/>
          <w:b/>
          <w:szCs w:val="32"/>
        </w:rPr>
      </w:pPr>
    </w:p>
    <w:p w14:paraId="74C9D6A9">
      <w:pPr>
        <w:adjustRightInd w:val="0"/>
        <w:spacing w:line="500" w:lineRule="exact"/>
        <w:ind w:right="57" w:firstLine="640" w:firstLineChars="200"/>
        <w:rPr>
          <w:rFonts w:ascii="仿宋_GB2312" w:hAnsi="仿宋" w:eastAsia="仿宋" w:cs="仿宋_GB2312"/>
          <w:szCs w:val="32"/>
        </w:rPr>
      </w:pPr>
      <w:r>
        <w:rPr>
          <w:rFonts w:hint="eastAsia" w:ascii="黑体" w:hAnsi="仿宋" w:eastAsia="仿宋" w:cs="仿宋_GB2312"/>
          <w:szCs w:val="32"/>
        </w:rPr>
        <w:t>第一条</w:t>
      </w:r>
      <w:r>
        <w:rPr>
          <w:rFonts w:hint="eastAsia" w:ascii="仿宋_GB2312" w:hAnsi="仿宋" w:eastAsia="仿宋" w:cs="仿宋_GB2312"/>
          <w:szCs w:val="32"/>
        </w:rPr>
        <w:t xml:space="preserve"> 为服务国家</w:t>
      </w:r>
      <w:r>
        <w:rPr>
          <w:rFonts w:hint="eastAsia" w:ascii="仿宋_GB2312" w:hAnsi="仿宋" w:eastAsia="仿宋" w:cs="仿宋_GB2312"/>
          <w:szCs w:val="32"/>
          <w:lang w:eastAsia="zh-CN"/>
        </w:rPr>
        <w:t>“一带一路”倡议</w:t>
      </w:r>
      <w:r>
        <w:rPr>
          <w:rFonts w:hint="eastAsia" w:ascii="仿宋_GB2312" w:hAnsi="仿宋" w:eastAsia="仿宋" w:cs="仿宋_GB2312"/>
          <w:szCs w:val="32"/>
        </w:rPr>
        <w:t>和</w:t>
      </w:r>
      <w:r>
        <w:rPr>
          <w:rFonts w:hint="eastAsia" w:ascii="仿宋_GB2312" w:hAnsi="微软雅黑" w:eastAsia="仿宋" w:cs="仿宋_GB2312"/>
          <w:szCs w:val="32"/>
        </w:rPr>
        <w:t>北京市建设“四个中心”的总体部署</w:t>
      </w:r>
      <w:r>
        <w:rPr>
          <w:rFonts w:hint="eastAsia" w:ascii="仿宋_GB2312" w:hAnsi="仿宋" w:eastAsia="仿宋" w:cs="仿宋_GB2312"/>
          <w:szCs w:val="32"/>
        </w:rPr>
        <w:t>，贯彻中央办公厅《关于做好新时期教育对外开放工作的若干意见》（中办发〔2016〕10号）和教育部《推进共建“一带一路”教育行动》，进一步落实《新时期北京教育对外开放工作规划（2016-2020）》和《北京市对接共建“一带一路”教育行动计划实施方案》，做好北京市“一带一路”国家人才培养工作，北京市教育委员会、北京市财政局设立北京市“一带一路”国家人才培养基地项目。</w:t>
      </w:r>
    </w:p>
    <w:p w14:paraId="750870D3">
      <w:pPr>
        <w:adjustRightInd w:val="0"/>
        <w:spacing w:line="500" w:lineRule="exact"/>
        <w:ind w:right="57" w:firstLine="640" w:firstLineChars="200"/>
        <w:rPr>
          <w:rFonts w:ascii="仿宋_GB2312" w:hAnsi="仿宋" w:eastAsia="仿宋" w:cs="仿宋_GB2312"/>
          <w:szCs w:val="32"/>
        </w:rPr>
      </w:pPr>
      <w:r>
        <w:rPr>
          <w:rFonts w:hint="eastAsia" w:ascii="黑体" w:hAnsi="仿宋" w:eastAsia="仿宋" w:cs="仿宋_GB2312"/>
          <w:szCs w:val="32"/>
        </w:rPr>
        <w:t>第二条</w:t>
      </w:r>
      <w:r>
        <w:rPr>
          <w:rFonts w:hint="eastAsia" w:ascii="仿宋_GB2312" w:hAnsi="仿宋" w:eastAsia="仿宋" w:cs="仿宋_GB2312"/>
          <w:szCs w:val="32"/>
        </w:rPr>
        <w:t xml:space="preserve"> “一带一路”国家人才培养基地项目的主要任务是开展“一带一路”国家高端人才培养和相关学科专业建设；由北京市教育委员会在有关院校中进行评选，提供相关资助经费。</w:t>
      </w:r>
    </w:p>
    <w:p w14:paraId="79CACFB5">
      <w:pPr>
        <w:adjustRightInd w:val="0"/>
        <w:spacing w:line="500" w:lineRule="exact"/>
        <w:ind w:right="57" w:firstLine="640" w:firstLineChars="200"/>
        <w:rPr>
          <w:rFonts w:ascii="仿宋_GB2312" w:hAnsi="仿宋" w:eastAsia="仿宋" w:cs="仿宋_GB2312"/>
          <w:szCs w:val="32"/>
        </w:rPr>
      </w:pPr>
      <w:r>
        <w:rPr>
          <w:rFonts w:hint="eastAsia" w:ascii="黑体" w:hAnsi="仿宋" w:eastAsia="仿宋" w:cs="仿宋_GB2312"/>
          <w:szCs w:val="32"/>
        </w:rPr>
        <w:t xml:space="preserve">第三条 </w:t>
      </w:r>
      <w:r>
        <w:rPr>
          <w:rFonts w:hint="eastAsia" w:ascii="仿宋_GB2312" w:hAnsi="仿宋" w:eastAsia="仿宋" w:cs="仿宋_GB2312"/>
          <w:szCs w:val="32"/>
        </w:rPr>
        <w:t>通过设立该项目，吸引更多“一带一路”沿线国家的高层次、优秀人才来京学习、交流、培训；积极发挥普通高等学校和职业院校的学科专业优势，配合行业企业“走出去”，为“一带一路”沿线国家和北京市培养更多急需人才；推动北京市与“一带一路”沿线国家教育交流与合作，增进双方的相互理解和认知，促进互联互通和民心相通，提升北京教育对服务“一带一路”倡议的贡献力。</w:t>
      </w:r>
    </w:p>
    <w:p w14:paraId="43C9E80B">
      <w:pPr>
        <w:adjustRightInd w:val="0"/>
        <w:spacing w:line="500" w:lineRule="exact"/>
        <w:ind w:right="57" w:firstLine="640" w:firstLineChars="200"/>
        <w:rPr>
          <w:rFonts w:ascii="仿宋_GB2312" w:hAnsi="仿宋" w:eastAsia="仿宋" w:cs="仿宋_GB2312"/>
          <w:szCs w:val="32"/>
        </w:rPr>
      </w:pPr>
    </w:p>
    <w:p w14:paraId="204FFFB9">
      <w:pPr>
        <w:adjustRightInd w:val="0"/>
        <w:spacing w:line="500" w:lineRule="exact"/>
        <w:ind w:right="57" w:firstLine="3040" w:firstLineChars="950"/>
        <w:rPr>
          <w:rFonts w:ascii="黑体" w:hAnsi="新宋体" w:eastAsia="仿宋" w:cs="仿宋_GB2312"/>
          <w:szCs w:val="32"/>
        </w:rPr>
      </w:pPr>
      <w:r>
        <w:rPr>
          <w:rFonts w:hint="eastAsia" w:ascii="黑体" w:hAnsi="新宋体" w:eastAsia="仿宋"/>
          <w:szCs w:val="32"/>
        </w:rPr>
        <w:t xml:space="preserve">第二章  </w:t>
      </w:r>
      <w:r>
        <w:rPr>
          <w:rFonts w:hint="eastAsia" w:ascii="黑体" w:hAnsi="新宋体" w:eastAsia="仿宋" w:cs="仿宋_GB2312"/>
          <w:szCs w:val="32"/>
        </w:rPr>
        <w:t>项目内容</w:t>
      </w:r>
    </w:p>
    <w:p w14:paraId="452A8C60">
      <w:pPr>
        <w:adjustRightInd w:val="0"/>
        <w:spacing w:line="500" w:lineRule="exact"/>
        <w:ind w:right="57" w:firstLine="3040" w:firstLineChars="950"/>
        <w:rPr>
          <w:rFonts w:ascii="黑体" w:hAnsi="新宋体" w:eastAsia="仿宋" w:cs="仿宋_GB2312"/>
          <w:szCs w:val="32"/>
        </w:rPr>
      </w:pPr>
    </w:p>
    <w:p w14:paraId="47074DE8">
      <w:pPr>
        <w:adjustRightInd w:val="0"/>
        <w:spacing w:line="500" w:lineRule="exact"/>
        <w:ind w:right="57" w:firstLine="645"/>
        <w:rPr>
          <w:rFonts w:ascii="仿宋_GB2312" w:hAnsi="仿宋" w:eastAsia="仿宋" w:cs="仿宋_GB2312"/>
          <w:szCs w:val="32"/>
        </w:rPr>
      </w:pPr>
      <w:r>
        <w:rPr>
          <w:rFonts w:hint="eastAsia" w:ascii="黑体" w:hAnsi="新宋体" w:eastAsia="仿宋" w:cs="仿宋_GB2312"/>
          <w:szCs w:val="32"/>
        </w:rPr>
        <w:t xml:space="preserve">第四条 </w:t>
      </w:r>
      <w:r>
        <w:rPr>
          <w:rFonts w:hint="eastAsia" w:ascii="仿宋_GB2312" w:hAnsi="新宋体" w:eastAsia="仿宋" w:cs="仿宋_GB2312"/>
          <w:szCs w:val="32"/>
        </w:rPr>
        <w:t>适用范围。“一带一路”国家人才培养基地项目适用于</w:t>
      </w:r>
      <w:r>
        <w:rPr>
          <w:rFonts w:hint="eastAsia" w:ascii="仿宋_GB2312" w:hAnsi="仿宋" w:eastAsia="仿宋" w:cs="仿宋_GB2312"/>
          <w:szCs w:val="32"/>
        </w:rPr>
        <w:t>北京地区普通高等学校和职业院校。</w:t>
      </w:r>
    </w:p>
    <w:p w14:paraId="33254527">
      <w:pPr>
        <w:adjustRightInd w:val="0"/>
        <w:spacing w:line="500" w:lineRule="exact"/>
        <w:ind w:right="57" w:firstLine="640" w:firstLineChars="200"/>
        <w:rPr>
          <w:rFonts w:ascii="仿宋_GB2312" w:hAnsi="仿宋" w:eastAsia="仿宋"/>
          <w:szCs w:val="32"/>
        </w:rPr>
      </w:pPr>
      <w:r>
        <w:rPr>
          <w:rFonts w:hint="eastAsia" w:ascii="黑体" w:hAnsi="仿宋" w:eastAsia="仿宋" w:cs="仿宋_GB2312"/>
          <w:szCs w:val="32"/>
        </w:rPr>
        <w:t>第五条</w:t>
      </w:r>
      <w:r>
        <w:rPr>
          <w:rFonts w:hint="eastAsia" w:ascii="仿宋_GB2312" w:hAnsi="仿宋" w:eastAsia="仿宋" w:cs="仿宋_GB2312"/>
          <w:b/>
          <w:szCs w:val="32"/>
        </w:rPr>
        <w:t xml:space="preserve"> </w:t>
      </w:r>
      <w:r>
        <w:rPr>
          <w:rFonts w:hint="eastAsia" w:ascii="仿宋_GB2312" w:hAnsi="仿宋" w:eastAsia="仿宋" w:cs="仿宋_GB2312"/>
          <w:szCs w:val="32"/>
        </w:rPr>
        <w:t>资助内容</w:t>
      </w:r>
    </w:p>
    <w:p w14:paraId="381B34B9">
      <w:pPr>
        <w:adjustRightInd w:val="0"/>
        <w:spacing w:line="500" w:lineRule="exact"/>
        <w:ind w:right="57" w:firstLine="645"/>
        <w:rPr>
          <w:rFonts w:ascii="仿宋_GB2312" w:hAnsi="新宋体" w:eastAsia="仿宋" w:cs="仿宋_GB2312"/>
          <w:szCs w:val="32"/>
        </w:rPr>
      </w:pPr>
      <w:r>
        <w:rPr>
          <w:rFonts w:hint="eastAsia" w:ascii="仿宋_GB2312" w:hAnsi="仿宋" w:eastAsia="仿宋" w:cs="仿宋_GB2312"/>
          <w:szCs w:val="32"/>
        </w:rPr>
        <w:t>（一）</w:t>
      </w:r>
      <w:r>
        <w:rPr>
          <w:rFonts w:hint="eastAsia" w:ascii="仿宋_GB2312" w:hAnsi="新宋体" w:eastAsia="仿宋" w:cs="仿宋_GB2312"/>
          <w:szCs w:val="32"/>
        </w:rPr>
        <w:t>人才培养</w:t>
      </w:r>
    </w:p>
    <w:p w14:paraId="18237ACA">
      <w:pPr>
        <w:adjustRightInd w:val="0"/>
        <w:spacing w:line="500" w:lineRule="exact"/>
        <w:ind w:right="57" w:firstLine="627" w:firstLineChars="196"/>
        <w:rPr>
          <w:rFonts w:ascii="仿宋_GB2312" w:hAnsi="新宋体" w:eastAsia="仿宋" w:cs="仿宋_GB2312"/>
          <w:szCs w:val="32"/>
        </w:rPr>
      </w:pPr>
      <w:r>
        <w:rPr>
          <w:rFonts w:hint="eastAsia" w:ascii="仿宋_GB2312" w:hAnsi="新宋体" w:eastAsia="仿宋" w:cs="仿宋_GB2312"/>
          <w:szCs w:val="32"/>
        </w:rPr>
        <w:t>1．设立“紫禁城奖学金”，用于全奖</w:t>
      </w:r>
      <w:r>
        <w:rPr>
          <w:rFonts w:hint="eastAsia" w:ascii="仿宋_GB2312" w:hAnsi="仿宋" w:eastAsia="仿宋" w:cs="仿宋_GB2312"/>
          <w:szCs w:val="32"/>
        </w:rPr>
        <w:t>资助</w:t>
      </w:r>
      <w:r>
        <w:rPr>
          <w:rFonts w:hint="eastAsia" w:ascii="仿宋_GB2312" w:hAnsi="新宋体" w:eastAsia="仿宋" w:cs="仿宋_GB2312"/>
          <w:szCs w:val="32"/>
        </w:rPr>
        <w:t>“一带一路”沿线国家来京接受全日制硕士、博士学历教育的留学生和博士后。力争3年资助的奖学金生达到“一带一路”沿线64国全覆盖。</w:t>
      </w:r>
    </w:p>
    <w:p w14:paraId="4F0642BF">
      <w:pPr>
        <w:adjustRightInd w:val="0"/>
        <w:spacing w:line="500" w:lineRule="exact"/>
        <w:ind w:right="57" w:firstLine="627" w:firstLineChars="196"/>
        <w:rPr>
          <w:rFonts w:ascii="仿宋_GB2312" w:hAnsi="仿宋" w:eastAsia="仿宋" w:cs="仿宋_GB2312"/>
          <w:szCs w:val="32"/>
        </w:rPr>
      </w:pPr>
      <w:r>
        <w:rPr>
          <w:rFonts w:hint="eastAsia" w:ascii="仿宋_GB2312" w:hAnsi="新宋体" w:eastAsia="仿宋" w:cs="仿宋_GB2312"/>
          <w:szCs w:val="32"/>
        </w:rPr>
        <w:t>已申请到中国政府奖学金、北京市外国留学生奖学金、北京市“一带一路”专项奖学金等其他奖学金的留学生，原则上不再享受本项目资助。</w:t>
      </w:r>
    </w:p>
    <w:p w14:paraId="54E1E553">
      <w:pPr>
        <w:adjustRightInd w:val="0"/>
        <w:spacing w:line="500" w:lineRule="exact"/>
        <w:ind w:right="57" w:firstLine="645"/>
        <w:rPr>
          <w:rFonts w:ascii="仿宋_GB2312" w:hAnsi="新宋体" w:eastAsia="仿宋" w:cs="仿宋_GB2312"/>
          <w:szCs w:val="32"/>
        </w:rPr>
      </w:pPr>
      <w:r>
        <w:rPr>
          <w:rFonts w:hint="eastAsia" w:ascii="仿宋_GB2312" w:hAnsi="新宋体" w:eastAsia="仿宋" w:cs="仿宋_GB2312"/>
          <w:szCs w:val="32"/>
        </w:rPr>
        <w:t>2．资助短期来京研修人员，包括：</w:t>
      </w:r>
    </w:p>
    <w:p w14:paraId="6AF93FF8">
      <w:pPr>
        <w:adjustRightInd w:val="0"/>
        <w:spacing w:line="500" w:lineRule="exact"/>
        <w:ind w:right="57" w:firstLine="645"/>
        <w:rPr>
          <w:rFonts w:ascii="仿宋_GB2312" w:hAnsi="新宋体" w:eastAsia="仿宋" w:cs="仿宋_GB2312"/>
          <w:szCs w:val="32"/>
        </w:rPr>
      </w:pPr>
      <w:r>
        <w:rPr>
          <w:rFonts w:hint="eastAsia" w:ascii="仿宋_GB2312" w:hAnsi="新宋体" w:eastAsia="仿宋" w:cs="仿宋_GB2312"/>
          <w:szCs w:val="32"/>
        </w:rPr>
        <w:t>（1）“一带一路”沿线国家来京进行为期一年研修学习本科留学生或职业院校留学生。</w:t>
      </w:r>
    </w:p>
    <w:p w14:paraId="634063D8">
      <w:pPr>
        <w:adjustRightInd w:val="0"/>
        <w:spacing w:line="500" w:lineRule="exact"/>
        <w:ind w:right="57" w:firstLine="645"/>
        <w:rPr>
          <w:rFonts w:ascii="仿宋_GB2312" w:hAnsi="新宋体" w:eastAsia="仿宋" w:cs="仿宋_GB2312"/>
          <w:szCs w:val="32"/>
        </w:rPr>
      </w:pPr>
      <w:r>
        <w:rPr>
          <w:rFonts w:hint="eastAsia" w:ascii="仿宋_GB2312" w:hAnsi="新宋体" w:eastAsia="仿宋" w:cs="仿宋_GB2312"/>
          <w:szCs w:val="32"/>
        </w:rPr>
        <w:t>（2）来京参加1-3周研修的“一带一路”沿线国家的教育管理人员和教师。</w:t>
      </w:r>
    </w:p>
    <w:p w14:paraId="7235761F">
      <w:pPr>
        <w:adjustRightInd w:val="0"/>
        <w:spacing w:line="500" w:lineRule="exact"/>
        <w:ind w:right="57" w:firstLine="627" w:firstLineChars="196"/>
        <w:rPr>
          <w:rFonts w:ascii="仿宋_GB2312" w:hAnsi="仿宋" w:eastAsia="仿宋" w:cs="仿宋_GB2312"/>
          <w:szCs w:val="32"/>
        </w:rPr>
      </w:pPr>
      <w:r>
        <w:rPr>
          <w:rFonts w:hint="eastAsia" w:ascii="仿宋_GB2312" w:hAnsi="新宋体" w:eastAsia="仿宋" w:cs="仿宋_GB2312"/>
          <w:szCs w:val="32"/>
        </w:rPr>
        <w:t>（二）</w:t>
      </w:r>
      <w:r>
        <w:rPr>
          <w:rFonts w:hint="eastAsia" w:ascii="仿宋_GB2312" w:hAnsi="仿宋" w:eastAsia="仿宋" w:cs="仿宋_GB2312"/>
          <w:szCs w:val="32"/>
        </w:rPr>
        <w:t>学科专业建设。用于资助汉语或英文授课的专业基础及专业课程，非通用语种课程，中国概况、中国文化特色课程以及沿线国家相关文化、制度研究课程等。参评的课程应体现学校的办学定位和学科专业优势；鼓励新开设完整的课程体系。</w:t>
      </w:r>
    </w:p>
    <w:p w14:paraId="346B69F0">
      <w:pPr>
        <w:adjustRightInd w:val="0"/>
        <w:spacing w:line="500" w:lineRule="exact"/>
        <w:ind w:right="57" w:firstLine="627" w:firstLineChars="196"/>
        <w:rPr>
          <w:rFonts w:ascii="仿宋_GB2312" w:hAnsi="仿宋" w:eastAsia="仿宋" w:cs="仿宋_GB2312"/>
          <w:szCs w:val="32"/>
        </w:rPr>
      </w:pPr>
      <w:r>
        <w:rPr>
          <w:rFonts w:hint="eastAsia" w:ascii="仿宋_GB2312" w:hAnsi="仿宋" w:eastAsia="仿宋" w:cs="仿宋_GB2312"/>
          <w:szCs w:val="32"/>
        </w:rPr>
        <w:t>已申请到市级及以上资助的课程</w:t>
      </w:r>
      <w:r>
        <w:rPr>
          <w:rFonts w:hint="eastAsia" w:ascii="仿宋_GB2312" w:hAnsi="新宋体" w:eastAsia="仿宋" w:cs="仿宋_GB2312"/>
          <w:szCs w:val="32"/>
        </w:rPr>
        <w:t>不再享受本项目资助。</w:t>
      </w:r>
    </w:p>
    <w:p w14:paraId="110EF25B">
      <w:pPr>
        <w:adjustRightInd w:val="0"/>
        <w:spacing w:line="500" w:lineRule="exact"/>
        <w:ind w:right="57" w:firstLine="627" w:firstLineChars="196"/>
        <w:rPr>
          <w:rFonts w:ascii="仿宋_GB2312" w:hAnsi="仿宋" w:eastAsia="仿宋" w:cs="仿宋_GB2312"/>
          <w:szCs w:val="32"/>
        </w:rPr>
      </w:pPr>
      <w:r>
        <w:rPr>
          <w:rFonts w:hint="eastAsia" w:ascii="黑体" w:hAnsi="新宋体" w:eastAsia="仿宋" w:cs="仿宋_GB2312"/>
          <w:szCs w:val="32"/>
        </w:rPr>
        <w:t>第六条</w:t>
      </w:r>
      <w:r>
        <w:rPr>
          <w:rFonts w:hint="eastAsia" w:ascii="仿宋_GB2312" w:hAnsi="新宋体" w:eastAsia="仿宋" w:cs="仿宋_GB2312"/>
          <w:b/>
          <w:szCs w:val="32"/>
        </w:rPr>
        <w:t xml:space="preserve"> </w:t>
      </w:r>
      <w:r>
        <w:rPr>
          <w:rFonts w:hint="eastAsia" w:ascii="仿宋_GB2312" w:hAnsi="新宋体" w:eastAsia="仿宋" w:cs="仿宋_GB2312"/>
          <w:szCs w:val="32"/>
        </w:rPr>
        <w:t>资助方式和资助期限。本项目采取项目评审</w:t>
      </w:r>
      <w:r>
        <w:rPr>
          <w:rFonts w:hint="eastAsia" w:ascii="仿宋_GB2312" w:hAnsi="仿宋" w:eastAsia="仿宋" w:cs="仿宋_GB2312"/>
          <w:szCs w:val="32"/>
        </w:rPr>
        <w:t>方式，即符合条件的学校向北京市教育委员会提出项目申报。项目经费纳入北京市教育委员会“一带一路”国家人才培养基地项目定额管理专项预算。</w:t>
      </w:r>
    </w:p>
    <w:p w14:paraId="2ADCF1B4">
      <w:pPr>
        <w:adjustRightInd w:val="0"/>
        <w:spacing w:line="500" w:lineRule="exact"/>
        <w:ind w:right="57" w:firstLine="627" w:firstLineChars="196"/>
        <w:rPr>
          <w:rFonts w:ascii="仿宋_GB2312" w:hAnsi="仿宋" w:eastAsia="仿宋" w:cs="仿宋_GB2312"/>
          <w:szCs w:val="32"/>
        </w:rPr>
      </w:pPr>
      <w:r>
        <w:rPr>
          <w:rFonts w:hint="eastAsia" w:ascii="仿宋_GB2312" w:hAnsi="仿宋" w:eastAsia="仿宋" w:cs="仿宋_GB2312"/>
          <w:szCs w:val="32"/>
        </w:rPr>
        <w:t>于2017年-2019年重点建设不少于30个</w:t>
      </w:r>
      <w:r>
        <w:rPr>
          <w:rFonts w:hint="eastAsia" w:ascii="仿宋_GB2312" w:hAnsi="宋体" w:eastAsia="仿宋"/>
          <w:szCs w:val="32"/>
        </w:rPr>
        <w:t>“一带一路”国家人才培养</w:t>
      </w:r>
      <w:r>
        <w:rPr>
          <w:rFonts w:hint="eastAsia" w:ascii="仿宋_GB2312" w:hAnsi="仿宋" w:eastAsia="仿宋" w:cs="仿宋_GB2312"/>
          <w:szCs w:val="32"/>
        </w:rPr>
        <w:t>基地。</w:t>
      </w:r>
      <w:r>
        <w:rPr>
          <w:rFonts w:hint="eastAsia" w:ascii="仿宋_GB2312" w:hAnsi="新宋体" w:eastAsia="仿宋" w:cs="仿宋_GB2312"/>
          <w:szCs w:val="32"/>
        </w:rPr>
        <w:t>在人才培养方面，自2017年起，每年最多新增资助</w:t>
      </w:r>
      <w:r>
        <w:rPr>
          <w:rFonts w:hint="eastAsia" w:ascii="仿宋_GB2312" w:hAnsi="仿宋" w:eastAsia="仿宋" w:cs="仿宋_GB2312"/>
          <w:szCs w:val="32"/>
        </w:rPr>
        <w:t>300名</w:t>
      </w:r>
      <w:r>
        <w:rPr>
          <w:rFonts w:hint="eastAsia" w:ascii="仿宋_GB2312" w:hAnsi="新宋体" w:eastAsia="仿宋" w:cs="仿宋_GB2312"/>
          <w:szCs w:val="32"/>
        </w:rPr>
        <w:t>“紫禁城奖学金”生，共资助3届学生，直到学段结束，资助总规模最多达</w:t>
      </w:r>
      <w:r>
        <w:rPr>
          <w:rFonts w:hint="eastAsia" w:ascii="仿宋_GB2312" w:hAnsi="仿宋" w:eastAsia="仿宋" w:cs="仿宋_GB2312"/>
          <w:szCs w:val="32"/>
        </w:rPr>
        <w:t>900人</w:t>
      </w:r>
      <w:r>
        <w:rPr>
          <w:rFonts w:hint="eastAsia" w:ascii="仿宋_GB2312" w:hAnsi="新宋体" w:eastAsia="仿宋" w:cs="仿宋_GB2312"/>
          <w:szCs w:val="32"/>
        </w:rPr>
        <w:t>。每年最多</w:t>
      </w:r>
      <w:r>
        <w:rPr>
          <w:rFonts w:hint="eastAsia" w:ascii="仿宋_GB2312" w:hAnsi="仿宋" w:eastAsia="仿宋" w:cs="仿宋_GB2312"/>
          <w:szCs w:val="32"/>
        </w:rPr>
        <w:t>资助</w:t>
      </w:r>
      <w:r>
        <w:rPr>
          <w:rFonts w:hint="eastAsia" w:ascii="仿宋_GB2312" w:hAnsi="新宋体" w:eastAsia="仿宋" w:cs="仿宋_GB2312"/>
          <w:szCs w:val="32"/>
        </w:rPr>
        <w:t>600名短期来京研修人员，资助3年，资助总规模最多达1800人</w:t>
      </w:r>
      <w:r>
        <w:rPr>
          <w:rFonts w:hint="eastAsia" w:ascii="仿宋_GB2312" w:hAnsi="仿宋" w:eastAsia="仿宋" w:cs="仿宋_GB2312"/>
          <w:szCs w:val="32"/>
        </w:rPr>
        <w:t>；在学科专业建设方面，</w:t>
      </w:r>
      <w:r>
        <w:rPr>
          <w:rFonts w:hint="eastAsia" w:ascii="仿宋_GB2312" w:hAnsi="新宋体" w:eastAsia="仿宋" w:cs="仿宋_GB2312"/>
          <w:szCs w:val="32"/>
        </w:rPr>
        <w:t>第一年最多</w:t>
      </w:r>
      <w:r>
        <w:rPr>
          <w:rFonts w:hint="eastAsia" w:ascii="仿宋_GB2312" w:hAnsi="仿宋" w:eastAsia="仿宋" w:cs="仿宋_GB2312"/>
          <w:szCs w:val="32"/>
        </w:rPr>
        <w:t>资助150门课程，第二年、第三年可持续资助或资助新课程</w:t>
      </w:r>
      <w:r>
        <w:rPr>
          <w:rFonts w:hint="eastAsia" w:ascii="仿宋_GB2312" w:hAnsi="新宋体" w:eastAsia="仿宋" w:cs="仿宋_GB2312"/>
          <w:szCs w:val="32"/>
        </w:rPr>
        <w:t>，资助总规模最多达450门课程</w:t>
      </w:r>
      <w:r>
        <w:rPr>
          <w:rFonts w:hint="eastAsia" w:ascii="仿宋_GB2312" w:hAnsi="仿宋" w:eastAsia="仿宋" w:cs="仿宋_GB2312"/>
          <w:szCs w:val="32"/>
        </w:rPr>
        <w:t>。此后，基地数量和每个基地具体资助额度视评审情况和前一年执行情况进行调整。鼓励学校提供配套资金支持该项目的发展。</w:t>
      </w:r>
    </w:p>
    <w:p w14:paraId="79AD2E25">
      <w:pPr>
        <w:adjustRightInd w:val="0"/>
        <w:spacing w:line="500" w:lineRule="exact"/>
        <w:ind w:right="57" w:firstLine="627" w:firstLineChars="196"/>
        <w:rPr>
          <w:rFonts w:ascii="仿宋_GB2312" w:hAnsi="仿宋" w:eastAsia="仿宋" w:cs="仿宋_GB2312"/>
          <w:szCs w:val="32"/>
        </w:rPr>
      </w:pPr>
      <w:r>
        <w:rPr>
          <w:rFonts w:hint="eastAsia" w:ascii="黑体" w:hAnsi="仿宋" w:eastAsia="仿宋" w:cs="仿宋_GB2312"/>
          <w:szCs w:val="32"/>
        </w:rPr>
        <w:t>第七条</w:t>
      </w:r>
      <w:r>
        <w:rPr>
          <w:rFonts w:hint="eastAsia" w:ascii="仿宋_GB2312" w:hAnsi="仿宋" w:eastAsia="仿宋" w:cs="仿宋_GB2312"/>
          <w:b/>
          <w:szCs w:val="32"/>
        </w:rPr>
        <w:t xml:space="preserve"> </w:t>
      </w:r>
      <w:r>
        <w:rPr>
          <w:rFonts w:hint="eastAsia" w:ascii="仿宋_GB2312" w:hAnsi="仿宋" w:eastAsia="仿宋" w:cs="仿宋_GB2312"/>
          <w:szCs w:val="32"/>
        </w:rPr>
        <w:t>资助标准</w:t>
      </w:r>
    </w:p>
    <w:p w14:paraId="3AAAF761">
      <w:pPr>
        <w:adjustRightInd w:val="0"/>
        <w:spacing w:line="500" w:lineRule="exact"/>
        <w:ind w:right="57" w:firstLine="627" w:firstLineChars="196"/>
        <w:rPr>
          <w:rFonts w:ascii="仿宋_GB2312" w:hAnsi="仿宋" w:eastAsia="仿宋" w:cs="仿宋_GB2312"/>
          <w:b/>
          <w:szCs w:val="32"/>
        </w:rPr>
      </w:pPr>
      <w:r>
        <w:rPr>
          <w:rFonts w:hint="eastAsia" w:ascii="仿宋_GB2312" w:hAnsi="仿宋" w:eastAsia="仿宋" w:cs="仿宋_GB2312"/>
          <w:szCs w:val="32"/>
        </w:rPr>
        <w:t>（一）人才培养</w:t>
      </w:r>
    </w:p>
    <w:p w14:paraId="65B52743">
      <w:pPr>
        <w:adjustRightInd w:val="0"/>
        <w:spacing w:line="500" w:lineRule="exact"/>
        <w:ind w:right="57" w:firstLine="627" w:firstLineChars="196"/>
        <w:rPr>
          <w:rFonts w:ascii="仿宋_GB2312" w:hAnsi="新宋体" w:eastAsia="仿宋" w:cs="仿宋_GB2312"/>
          <w:b/>
          <w:szCs w:val="32"/>
        </w:rPr>
      </w:pPr>
      <w:r>
        <w:rPr>
          <w:rFonts w:hint="eastAsia" w:ascii="仿宋_GB2312" w:hAnsi="新宋体" w:eastAsia="仿宋" w:cs="仿宋_GB2312"/>
          <w:szCs w:val="32"/>
        </w:rPr>
        <w:t>1</w:t>
      </w:r>
      <w:r>
        <w:rPr>
          <w:rFonts w:hint="eastAsia" w:ascii="仿宋_GB2312" w:hAnsi="新宋体" w:eastAsia="仿宋" w:cs="仿宋_GB2312"/>
          <w:b/>
          <w:szCs w:val="32"/>
        </w:rPr>
        <w:t>．</w:t>
      </w:r>
      <w:r>
        <w:rPr>
          <w:rFonts w:hint="eastAsia" w:ascii="仿宋_GB2312" w:hAnsi="新宋体" w:eastAsia="仿宋" w:cs="仿宋_GB2312"/>
          <w:szCs w:val="32"/>
        </w:rPr>
        <w:t>“紫禁城奖学金”</w:t>
      </w:r>
    </w:p>
    <w:tbl>
      <w:tblPr>
        <w:tblStyle w:val="2"/>
        <w:tblW w:w="7015" w:type="dxa"/>
        <w:jc w:val="center"/>
        <w:tblCellSpacing w:w="0" w:type="dxa"/>
        <w:tblLayout w:type="autofit"/>
        <w:tblCellMar>
          <w:top w:w="0" w:type="dxa"/>
          <w:left w:w="0" w:type="dxa"/>
          <w:bottom w:w="0" w:type="dxa"/>
          <w:right w:w="0" w:type="dxa"/>
        </w:tblCellMar>
      </w:tblPr>
      <w:tblGrid>
        <w:gridCol w:w="1135"/>
        <w:gridCol w:w="889"/>
        <w:gridCol w:w="1055"/>
        <w:gridCol w:w="925"/>
        <w:gridCol w:w="925"/>
        <w:gridCol w:w="1031"/>
        <w:gridCol w:w="1055"/>
      </w:tblGrid>
      <w:tr w14:paraId="44BAB71E">
        <w:tblPrEx>
          <w:tblCellMar>
            <w:top w:w="0" w:type="dxa"/>
            <w:left w:w="0" w:type="dxa"/>
            <w:bottom w:w="0" w:type="dxa"/>
            <w:right w:w="0" w:type="dxa"/>
          </w:tblCellMar>
        </w:tblPrEx>
        <w:trPr>
          <w:tblCellSpacing w:w="0" w:type="dxa"/>
          <w:jc w:val="center"/>
        </w:trPr>
        <w:tc>
          <w:tcPr>
            <w:tcW w:w="1135" w:type="dxa"/>
            <w:tcBorders>
              <w:top w:val="single" w:color="auto" w:sz="8" w:space="0"/>
              <w:left w:val="single" w:color="auto" w:sz="8" w:space="0"/>
              <w:bottom w:val="single" w:color="auto" w:sz="8" w:space="0"/>
              <w:right w:val="single" w:color="auto" w:sz="8" w:space="0"/>
            </w:tcBorders>
          </w:tcPr>
          <w:p w14:paraId="68BEE97D">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学生类别</w:t>
            </w:r>
          </w:p>
        </w:tc>
        <w:tc>
          <w:tcPr>
            <w:tcW w:w="889" w:type="dxa"/>
            <w:tcBorders>
              <w:top w:val="single" w:color="auto" w:sz="8" w:space="0"/>
              <w:left w:val="single" w:color="auto" w:sz="8" w:space="0"/>
              <w:bottom w:val="single" w:color="auto" w:sz="8" w:space="0"/>
              <w:right w:val="single" w:color="auto" w:sz="8" w:space="0"/>
            </w:tcBorders>
          </w:tcPr>
          <w:p w14:paraId="1B71B18D">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学科</w:t>
            </w:r>
          </w:p>
        </w:tc>
        <w:tc>
          <w:tcPr>
            <w:tcW w:w="1055" w:type="dxa"/>
            <w:tcBorders>
              <w:top w:val="single" w:color="auto" w:sz="8" w:space="0"/>
              <w:left w:val="single" w:color="auto" w:sz="8" w:space="0"/>
              <w:bottom w:val="single" w:color="auto" w:sz="8" w:space="0"/>
              <w:right w:val="single" w:color="auto" w:sz="8" w:space="0"/>
            </w:tcBorders>
          </w:tcPr>
          <w:p w14:paraId="6AD45430">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学费</w:t>
            </w:r>
            <w:r>
              <w:rPr>
                <w:rFonts w:ascii="Arial" w:hAnsi="Arial" w:eastAsia="仿宋" w:cs="Arial"/>
                <w:b/>
                <w:bCs/>
                <w:kern w:val="0"/>
                <w:sz w:val="18"/>
                <w:szCs w:val="18"/>
              </w:rPr>
              <w:t>/</w:t>
            </w:r>
            <w:r>
              <w:rPr>
                <w:rFonts w:hint="eastAsia" w:ascii="仿宋_GB2312" w:hAnsi="Arial" w:eastAsia="仿宋" w:cs="Arial"/>
                <w:b/>
                <w:bCs/>
                <w:kern w:val="0"/>
                <w:sz w:val="18"/>
                <w:szCs w:val="18"/>
              </w:rPr>
              <w:t>年</w:t>
            </w:r>
          </w:p>
        </w:tc>
        <w:tc>
          <w:tcPr>
            <w:tcW w:w="925" w:type="dxa"/>
            <w:tcBorders>
              <w:top w:val="single" w:color="auto" w:sz="8" w:space="0"/>
              <w:left w:val="single" w:color="auto" w:sz="8" w:space="0"/>
              <w:bottom w:val="single" w:color="auto" w:sz="8" w:space="0"/>
              <w:right w:val="single" w:color="auto" w:sz="8" w:space="0"/>
            </w:tcBorders>
          </w:tcPr>
          <w:p w14:paraId="4BD6BD42">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住宿费</w:t>
            </w:r>
            <w:r>
              <w:rPr>
                <w:rFonts w:ascii="Arial" w:hAnsi="Arial" w:eastAsia="仿宋" w:cs="Arial"/>
                <w:b/>
                <w:bCs/>
                <w:kern w:val="0"/>
                <w:sz w:val="18"/>
                <w:szCs w:val="18"/>
              </w:rPr>
              <w:t>/</w:t>
            </w:r>
            <w:r>
              <w:rPr>
                <w:rFonts w:hint="eastAsia" w:ascii="仿宋_GB2312" w:hAnsi="Arial" w:eastAsia="仿宋" w:cs="Arial"/>
                <w:b/>
                <w:bCs/>
                <w:kern w:val="0"/>
                <w:sz w:val="18"/>
                <w:szCs w:val="18"/>
              </w:rPr>
              <w:t>年</w:t>
            </w:r>
          </w:p>
        </w:tc>
        <w:tc>
          <w:tcPr>
            <w:tcW w:w="925" w:type="dxa"/>
            <w:tcBorders>
              <w:top w:val="single" w:color="auto" w:sz="8" w:space="0"/>
              <w:left w:val="single" w:color="auto" w:sz="8" w:space="0"/>
              <w:bottom w:val="single" w:color="auto" w:sz="8" w:space="0"/>
              <w:right w:val="single" w:color="auto" w:sz="8" w:space="0"/>
            </w:tcBorders>
          </w:tcPr>
          <w:p w14:paraId="5A4FC759">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生活费</w:t>
            </w:r>
            <w:r>
              <w:rPr>
                <w:rFonts w:ascii="Arial" w:hAnsi="Arial" w:eastAsia="仿宋" w:cs="Arial"/>
                <w:b/>
                <w:bCs/>
                <w:kern w:val="0"/>
                <w:sz w:val="18"/>
                <w:szCs w:val="18"/>
              </w:rPr>
              <w:t>/</w:t>
            </w:r>
            <w:r>
              <w:rPr>
                <w:rFonts w:hint="eastAsia" w:ascii="仿宋_GB2312" w:hAnsi="Arial" w:eastAsia="仿宋" w:cs="Arial"/>
                <w:b/>
                <w:bCs/>
                <w:kern w:val="0"/>
                <w:sz w:val="18"/>
                <w:szCs w:val="18"/>
              </w:rPr>
              <w:t>年</w:t>
            </w:r>
          </w:p>
        </w:tc>
        <w:tc>
          <w:tcPr>
            <w:tcW w:w="1031" w:type="dxa"/>
            <w:tcBorders>
              <w:top w:val="single" w:color="auto" w:sz="8" w:space="0"/>
              <w:left w:val="single" w:color="auto" w:sz="8" w:space="0"/>
              <w:bottom w:val="single" w:color="auto" w:sz="8" w:space="0"/>
              <w:right w:val="single" w:color="auto" w:sz="8" w:space="0"/>
            </w:tcBorders>
          </w:tcPr>
          <w:p w14:paraId="27FB808A">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医疗保险</w:t>
            </w:r>
            <w:r>
              <w:rPr>
                <w:rFonts w:ascii="Arial" w:hAnsi="Arial" w:eastAsia="仿宋" w:cs="Arial"/>
                <w:b/>
                <w:bCs/>
                <w:kern w:val="0"/>
                <w:sz w:val="18"/>
                <w:szCs w:val="18"/>
              </w:rPr>
              <w:t>/</w:t>
            </w:r>
            <w:r>
              <w:rPr>
                <w:rFonts w:hint="eastAsia" w:ascii="仿宋_GB2312" w:hAnsi="Arial" w:eastAsia="仿宋" w:cs="Arial"/>
                <w:b/>
                <w:bCs/>
                <w:kern w:val="0"/>
                <w:sz w:val="18"/>
                <w:szCs w:val="18"/>
              </w:rPr>
              <w:t>年</w:t>
            </w:r>
          </w:p>
        </w:tc>
        <w:tc>
          <w:tcPr>
            <w:tcW w:w="1055" w:type="dxa"/>
            <w:tcBorders>
              <w:top w:val="single" w:color="auto" w:sz="8" w:space="0"/>
              <w:left w:val="single" w:color="auto" w:sz="8" w:space="0"/>
              <w:bottom w:val="single" w:color="auto" w:sz="8" w:space="0"/>
              <w:right w:val="single" w:color="auto" w:sz="8" w:space="0"/>
            </w:tcBorders>
          </w:tcPr>
          <w:p w14:paraId="7C893C34">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年资助总额</w:t>
            </w:r>
          </w:p>
        </w:tc>
      </w:tr>
      <w:tr w14:paraId="4E584E9B">
        <w:tblPrEx>
          <w:tblCellMar>
            <w:top w:w="0" w:type="dxa"/>
            <w:left w:w="0" w:type="dxa"/>
            <w:bottom w:w="0" w:type="dxa"/>
            <w:right w:w="0" w:type="dxa"/>
          </w:tblCellMar>
        </w:tblPrEx>
        <w:trPr>
          <w:tblCellSpacing w:w="0" w:type="dxa"/>
          <w:jc w:val="center"/>
        </w:trPr>
        <w:tc>
          <w:tcPr>
            <w:tcW w:w="1135" w:type="dxa"/>
            <w:vMerge w:val="restart"/>
            <w:tcBorders>
              <w:top w:val="single" w:color="auto" w:sz="8" w:space="0"/>
              <w:left w:val="single" w:color="auto" w:sz="8" w:space="0"/>
              <w:bottom w:val="single" w:color="auto" w:sz="8" w:space="0"/>
              <w:right w:val="single" w:color="auto" w:sz="8" w:space="0"/>
            </w:tcBorders>
            <w:vAlign w:val="center"/>
          </w:tcPr>
          <w:p w14:paraId="69FB39B5">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硕士研究生</w:t>
            </w:r>
          </w:p>
          <w:p w14:paraId="4CBC3B20">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普通进修生</w:t>
            </w:r>
          </w:p>
        </w:tc>
        <w:tc>
          <w:tcPr>
            <w:tcW w:w="889" w:type="dxa"/>
            <w:tcBorders>
              <w:top w:val="single" w:color="auto" w:sz="8" w:space="0"/>
              <w:left w:val="single" w:color="auto" w:sz="8" w:space="0"/>
              <w:bottom w:val="single" w:color="auto" w:sz="8" w:space="0"/>
              <w:right w:val="single" w:color="auto" w:sz="8" w:space="0"/>
            </w:tcBorders>
            <w:vAlign w:val="center"/>
          </w:tcPr>
          <w:p w14:paraId="59B49A96">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一类</w:t>
            </w:r>
          </w:p>
        </w:tc>
        <w:tc>
          <w:tcPr>
            <w:tcW w:w="1055" w:type="dxa"/>
            <w:tcBorders>
              <w:top w:val="single" w:color="auto" w:sz="8" w:space="0"/>
              <w:left w:val="single" w:color="auto" w:sz="8" w:space="0"/>
              <w:bottom w:val="single" w:color="auto" w:sz="8" w:space="0"/>
              <w:right w:val="single" w:color="auto" w:sz="8" w:space="0"/>
            </w:tcBorders>
            <w:vAlign w:val="center"/>
          </w:tcPr>
          <w:p w14:paraId="7CE98F35">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25000</w:t>
            </w:r>
          </w:p>
        </w:tc>
        <w:tc>
          <w:tcPr>
            <w:tcW w:w="925" w:type="dxa"/>
            <w:tcBorders>
              <w:top w:val="single" w:color="auto" w:sz="8" w:space="0"/>
              <w:left w:val="single" w:color="auto" w:sz="8" w:space="0"/>
              <w:bottom w:val="single" w:color="auto" w:sz="8" w:space="0"/>
              <w:right w:val="single" w:color="auto" w:sz="8" w:space="0"/>
            </w:tcBorders>
            <w:vAlign w:val="center"/>
          </w:tcPr>
          <w:p w14:paraId="70D865D1">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8400</w:t>
            </w:r>
          </w:p>
        </w:tc>
        <w:tc>
          <w:tcPr>
            <w:tcW w:w="925" w:type="dxa"/>
            <w:tcBorders>
              <w:top w:val="single" w:color="auto" w:sz="8" w:space="0"/>
              <w:left w:val="single" w:color="auto" w:sz="8" w:space="0"/>
              <w:bottom w:val="single" w:color="auto" w:sz="8" w:space="0"/>
              <w:right w:val="single" w:color="auto" w:sz="8" w:space="0"/>
            </w:tcBorders>
            <w:vAlign w:val="center"/>
          </w:tcPr>
          <w:p w14:paraId="27B8CD38">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36000</w:t>
            </w:r>
          </w:p>
        </w:tc>
        <w:tc>
          <w:tcPr>
            <w:tcW w:w="1031" w:type="dxa"/>
            <w:tcBorders>
              <w:top w:val="single" w:color="auto" w:sz="8" w:space="0"/>
              <w:left w:val="single" w:color="auto" w:sz="8" w:space="0"/>
              <w:bottom w:val="single" w:color="auto" w:sz="8" w:space="0"/>
              <w:right w:val="single" w:color="auto" w:sz="8" w:space="0"/>
            </w:tcBorders>
            <w:vAlign w:val="center"/>
          </w:tcPr>
          <w:p w14:paraId="4E392CD1">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800</w:t>
            </w:r>
          </w:p>
        </w:tc>
        <w:tc>
          <w:tcPr>
            <w:tcW w:w="1055" w:type="dxa"/>
            <w:tcBorders>
              <w:top w:val="single" w:color="auto" w:sz="8" w:space="0"/>
              <w:left w:val="single" w:color="auto" w:sz="8" w:space="0"/>
              <w:bottom w:val="single" w:color="auto" w:sz="8" w:space="0"/>
              <w:right w:val="single" w:color="auto" w:sz="8" w:space="0"/>
            </w:tcBorders>
            <w:vAlign w:val="center"/>
          </w:tcPr>
          <w:p w14:paraId="144EBC86">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70200</w:t>
            </w:r>
          </w:p>
        </w:tc>
      </w:tr>
      <w:tr w14:paraId="1E6DE2D5">
        <w:tblPrEx>
          <w:tblCellMar>
            <w:top w:w="0" w:type="dxa"/>
            <w:left w:w="0" w:type="dxa"/>
            <w:bottom w:w="0" w:type="dxa"/>
            <w:right w:w="0" w:type="dxa"/>
          </w:tblCellMar>
        </w:tblPrEx>
        <w:trPr>
          <w:tblCellSpacing w:w="0" w:type="dxa"/>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7C621D9">
            <w:pPr>
              <w:widowControl/>
              <w:spacing w:line="500" w:lineRule="exact"/>
              <w:jc w:val="left"/>
              <w:rPr>
                <w:rFonts w:ascii="Arial" w:hAnsi="Arial" w:eastAsia="仿宋" w:cs="Arial"/>
                <w:kern w:val="0"/>
                <w:sz w:val="18"/>
                <w:szCs w:val="18"/>
              </w:rPr>
            </w:pPr>
          </w:p>
        </w:tc>
        <w:tc>
          <w:tcPr>
            <w:tcW w:w="889" w:type="dxa"/>
            <w:tcBorders>
              <w:top w:val="single" w:color="auto" w:sz="8" w:space="0"/>
              <w:left w:val="single" w:color="auto" w:sz="8" w:space="0"/>
              <w:bottom w:val="single" w:color="auto" w:sz="8" w:space="0"/>
              <w:right w:val="single" w:color="auto" w:sz="8" w:space="0"/>
            </w:tcBorders>
            <w:vAlign w:val="center"/>
          </w:tcPr>
          <w:p w14:paraId="2D16E2F0">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二类</w:t>
            </w:r>
          </w:p>
        </w:tc>
        <w:tc>
          <w:tcPr>
            <w:tcW w:w="1055" w:type="dxa"/>
            <w:tcBorders>
              <w:top w:val="single" w:color="auto" w:sz="8" w:space="0"/>
              <w:left w:val="single" w:color="auto" w:sz="8" w:space="0"/>
              <w:bottom w:val="single" w:color="auto" w:sz="8" w:space="0"/>
              <w:right w:val="single" w:color="auto" w:sz="8" w:space="0"/>
            </w:tcBorders>
            <w:vAlign w:val="center"/>
          </w:tcPr>
          <w:p w14:paraId="04A61F7E">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29000</w:t>
            </w:r>
          </w:p>
        </w:tc>
        <w:tc>
          <w:tcPr>
            <w:tcW w:w="925" w:type="dxa"/>
            <w:tcBorders>
              <w:top w:val="single" w:color="auto" w:sz="8" w:space="0"/>
              <w:left w:val="single" w:color="auto" w:sz="8" w:space="0"/>
              <w:bottom w:val="single" w:color="auto" w:sz="8" w:space="0"/>
              <w:right w:val="single" w:color="auto" w:sz="8" w:space="0"/>
            </w:tcBorders>
            <w:vAlign w:val="center"/>
          </w:tcPr>
          <w:p w14:paraId="2712AA8E">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8400</w:t>
            </w:r>
          </w:p>
        </w:tc>
        <w:tc>
          <w:tcPr>
            <w:tcW w:w="925" w:type="dxa"/>
            <w:tcBorders>
              <w:top w:val="single" w:color="auto" w:sz="8" w:space="0"/>
              <w:left w:val="single" w:color="auto" w:sz="8" w:space="0"/>
              <w:bottom w:val="single" w:color="auto" w:sz="8" w:space="0"/>
              <w:right w:val="single" w:color="auto" w:sz="8" w:space="0"/>
            </w:tcBorders>
            <w:vAlign w:val="center"/>
          </w:tcPr>
          <w:p w14:paraId="0EEDC6B5">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36000</w:t>
            </w:r>
          </w:p>
        </w:tc>
        <w:tc>
          <w:tcPr>
            <w:tcW w:w="1031" w:type="dxa"/>
            <w:tcBorders>
              <w:top w:val="single" w:color="auto" w:sz="8" w:space="0"/>
              <w:left w:val="single" w:color="auto" w:sz="8" w:space="0"/>
              <w:bottom w:val="single" w:color="auto" w:sz="8" w:space="0"/>
              <w:right w:val="single" w:color="auto" w:sz="8" w:space="0"/>
            </w:tcBorders>
            <w:vAlign w:val="center"/>
          </w:tcPr>
          <w:p w14:paraId="1391A513">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800</w:t>
            </w:r>
          </w:p>
        </w:tc>
        <w:tc>
          <w:tcPr>
            <w:tcW w:w="1055" w:type="dxa"/>
            <w:tcBorders>
              <w:top w:val="single" w:color="auto" w:sz="8" w:space="0"/>
              <w:left w:val="single" w:color="auto" w:sz="8" w:space="0"/>
              <w:bottom w:val="single" w:color="auto" w:sz="8" w:space="0"/>
              <w:right w:val="single" w:color="auto" w:sz="8" w:space="0"/>
            </w:tcBorders>
            <w:vAlign w:val="center"/>
          </w:tcPr>
          <w:p w14:paraId="4BA30699">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74200</w:t>
            </w:r>
          </w:p>
        </w:tc>
      </w:tr>
      <w:tr w14:paraId="6F87E26F">
        <w:tblPrEx>
          <w:tblCellMar>
            <w:top w:w="0" w:type="dxa"/>
            <w:left w:w="0" w:type="dxa"/>
            <w:bottom w:w="0" w:type="dxa"/>
            <w:right w:w="0" w:type="dxa"/>
          </w:tblCellMar>
        </w:tblPrEx>
        <w:trPr>
          <w:tblCellSpacing w:w="0" w:type="dxa"/>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68B0C57">
            <w:pPr>
              <w:widowControl/>
              <w:spacing w:line="500" w:lineRule="exact"/>
              <w:jc w:val="left"/>
              <w:rPr>
                <w:rFonts w:ascii="Arial" w:hAnsi="Arial" w:eastAsia="仿宋" w:cs="Arial"/>
                <w:kern w:val="0"/>
                <w:sz w:val="18"/>
                <w:szCs w:val="18"/>
              </w:rPr>
            </w:pPr>
          </w:p>
        </w:tc>
        <w:tc>
          <w:tcPr>
            <w:tcW w:w="889" w:type="dxa"/>
            <w:tcBorders>
              <w:top w:val="single" w:color="auto" w:sz="8" w:space="0"/>
              <w:left w:val="single" w:color="auto" w:sz="8" w:space="0"/>
              <w:bottom w:val="single" w:color="auto" w:sz="8" w:space="0"/>
              <w:right w:val="single" w:color="auto" w:sz="8" w:space="0"/>
            </w:tcBorders>
            <w:vAlign w:val="center"/>
          </w:tcPr>
          <w:p w14:paraId="6E76FDC9">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三类</w:t>
            </w:r>
          </w:p>
        </w:tc>
        <w:tc>
          <w:tcPr>
            <w:tcW w:w="1055" w:type="dxa"/>
            <w:tcBorders>
              <w:top w:val="single" w:color="auto" w:sz="8" w:space="0"/>
              <w:left w:val="single" w:color="auto" w:sz="8" w:space="0"/>
              <w:bottom w:val="single" w:color="auto" w:sz="8" w:space="0"/>
              <w:right w:val="single" w:color="auto" w:sz="8" w:space="0"/>
            </w:tcBorders>
            <w:vAlign w:val="center"/>
          </w:tcPr>
          <w:p w14:paraId="6DC6D27E">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34000</w:t>
            </w:r>
          </w:p>
        </w:tc>
        <w:tc>
          <w:tcPr>
            <w:tcW w:w="925" w:type="dxa"/>
            <w:tcBorders>
              <w:top w:val="single" w:color="auto" w:sz="8" w:space="0"/>
              <w:left w:val="single" w:color="auto" w:sz="8" w:space="0"/>
              <w:bottom w:val="single" w:color="auto" w:sz="8" w:space="0"/>
              <w:right w:val="single" w:color="auto" w:sz="8" w:space="0"/>
            </w:tcBorders>
            <w:vAlign w:val="center"/>
          </w:tcPr>
          <w:p w14:paraId="39358CAD">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8400</w:t>
            </w:r>
          </w:p>
        </w:tc>
        <w:tc>
          <w:tcPr>
            <w:tcW w:w="925" w:type="dxa"/>
            <w:tcBorders>
              <w:top w:val="single" w:color="auto" w:sz="8" w:space="0"/>
              <w:left w:val="single" w:color="auto" w:sz="8" w:space="0"/>
              <w:bottom w:val="single" w:color="auto" w:sz="8" w:space="0"/>
              <w:right w:val="single" w:color="auto" w:sz="8" w:space="0"/>
            </w:tcBorders>
            <w:vAlign w:val="center"/>
          </w:tcPr>
          <w:p w14:paraId="6F7F5787">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36000</w:t>
            </w:r>
          </w:p>
        </w:tc>
        <w:tc>
          <w:tcPr>
            <w:tcW w:w="1031" w:type="dxa"/>
            <w:tcBorders>
              <w:top w:val="single" w:color="auto" w:sz="8" w:space="0"/>
              <w:left w:val="single" w:color="auto" w:sz="8" w:space="0"/>
              <w:bottom w:val="single" w:color="auto" w:sz="8" w:space="0"/>
              <w:right w:val="single" w:color="auto" w:sz="8" w:space="0"/>
            </w:tcBorders>
            <w:vAlign w:val="center"/>
          </w:tcPr>
          <w:p w14:paraId="096092BA">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800</w:t>
            </w:r>
          </w:p>
        </w:tc>
        <w:tc>
          <w:tcPr>
            <w:tcW w:w="1055" w:type="dxa"/>
            <w:tcBorders>
              <w:top w:val="single" w:color="auto" w:sz="8" w:space="0"/>
              <w:left w:val="single" w:color="auto" w:sz="8" w:space="0"/>
              <w:bottom w:val="single" w:color="auto" w:sz="8" w:space="0"/>
              <w:right w:val="single" w:color="auto" w:sz="8" w:space="0"/>
            </w:tcBorders>
            <w:vAlign w:val="center"/>
          </w:tcPr>
          <w:p w14:paraId="3D17133D">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79200</w:t>
            </w:r>
          </w:p>
        </w:tc>
      </w:tr>
      <w:tr w14:paraId="421725B9">
        <w:tblPrEx>
          <w:tblCellMar>
            <w:top w:w="0" w:type="dxa"/>
            <w:left w:w="0" w:type="dxa"/>
            <w:bottom w:w="0" w:type="dxa"/>
            <w:right w:w="0" w:type="dxa"/>
          </w:tblCellMar>
        </w:tblPrEx>
        <w:trPr>
          <w:tblCellSpacing w:w="0" w:type="dxa"/>
          <w:jc w:val="center"/>
        </w:trPr>
        <w:tc>
          <w:tcPr>
            <w:tcW w:w="1135" w:type="dxa"/>
            <w:vMerge w:val="restart"/>
            <w:tcBorders>
              <w:top w:val="single" w:color="auto" w:sz="8" w:space="0"/>
              <w:left w:val="single" w:color="auto" w:sz="8" w:space="0"/>
              <w:bottom w:val="single" w:color="auto" w:sz="8" w:space="0"/>
              <w:right w:val="single" w:color="auto" w:sz="8" w:space="0"/>
            </w:tcBorders>
            <w:vAlign w:val="center"/>
          </w:tcPr>
          <w:p w14:paraId="092F1596">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博士研究生</w:t>
            </w:r>
          </w:p>
          <w:p w14:paraId="021B7E96">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高级进修生</w:t>
            </w:r>
          </w:p>
        </w:tc>
        <w:tc>
          <w:tcPr>
            <w:tcW w:w="889" w:type="dxa"/>
            <w:tcBorders>
              <w:top w:val="single" w:color="auto" w:sz="8" w:space="0"/>
              <w:left w:val="single" w:color="auto" w:sz="8" w:space="0"/>
              <w:bottom w:val="single" w:color="auto" w:sz="8" w:space="0"/>
              <w:right w:val="single" w:color="auto" w:sz="8" w:space="0"/>
            </w:tcBorders>
            <w:vAlign w:val="center"/>
          </w:tcPr>
          <w:p w14:paraId="4B40BB46">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一类</w:t>
            </w:r>
          </w:p>
        </w:tc>
        <w:tc>
          <w:tcPr>
            <w:tcW w:w="1055" w:type="dxa"/>
            <w:tcBorders>
              <w:top w:val="single" w:color="auto" w:sz="8" w:space="0"/>
              <w:left w:val="single" w:color="auto" w:sz="8" w:space="0"/>
              <w:bottom w:val="single" w:color="auto" w:sz="8" w:space="0"/>
              <w:right w:val="single" w:color="auto" w:sz="8" w:space="0"/>
            </w:tcBorders>
            <w:vAlign w:val="center"/>
          </w:tcPr>
          <w:p w14:paraId="345F7304">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33000</w:t>
            </w:r>
          </w:p>
        </w:tc>
        <w:tc>
          <w:tcPr>
            <w:tcW w:w="925" w:type="dxa"/>
            <w:tcBorders>
              <w:top w:val="single" w:color="auto" w:sz="8" w:space="0"/>
              <w:left w:val="single" w:color="auto" w:sz="8" w:space="0"/>
              <w:bottom w:val="single" w:color="auto" w:sz="8" w:space="0"/>
              <w:right w:val="single" w:color="auto" w:sz="8" w:space="0"/>
            </w:tcBorders>
            <w:vAlign w:val="center"/>
          </w:tcPr>
          <w:p w14:paraId="07B73BD9">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12000</w:t>
            </w:r>
          </w:p>
        </w:tc>
        <w:tc>
          <w:tcPr>
            <w:tcW w:w="925" w:type="dxa"/>
            <w:tcBorders>
              <w:top w:val="single" w:color="auto" w:sz="8" w:space="0"/>
              <w:left w:val="single" w:color="auto" w:sz="8" w:space="0"/>
              <w:bottom w:val="single" w:color="auto" w:sz="8" w:space="0"/>
              <w:right w:val="single" w:color="auto" w:sz="8" w:space="0"/>
            </w:tcBorders>
            <w:vAlign w:val="center"/>
          </w:tcPr>
          <w:p w14:paraId="388C8B62">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42000</w:t>
            </w:r>
          </w:p>
        </w:tc>
        <w:tc>
          <w:tcPr>
            <w:tcW w:w="1031" w:type="dxa"/>
            <w:tcBorders>
              <w:top w:val="single" w:color="auto" w:sz="8" w:space="0"/>
              <w:left w:val="single" w:color="auto" w:sz="8" w:space="0"/>
              <w:bottom w:val="single" w:color="auto" w:sz="8" w:space="0"/>
              <w:right w:val="single" w:color="auto" w:sz="8" w:space="0"/>
            </w:tcBorders>
            <w:vAlign w:val="center"/>
          </w:tcPr>
          <w:p w14:paraId="30F13755">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800</w:t>
            </w:r>
          </w:p>
        </w:tc>
        <w:tc>
          <w:tcPr>
            <w:tcW w:w="1055" w:type="dxa"/>
            <w:tcBorders>
              <w:top w:val="single" w:color="auto" w:sz="8" w:space="0"/>
              <w:left w:val="single" w:color="auto" w:sz="8" w:space="0"/>
              <w:bottom w:val="single" w:color="auto" w:sz="8" w:space="0"/>
              <w:right w:val="single" w:color="auto" w:sz="8" w:space="0"/>
            </w:tcBorders>
            <w:vAlign w:val="center"/>
          </w:tcPr>
          <w:p w14:paraId="23374713">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87800</w:t>
            </w:r>
          </w:p>
        </w:tc>
      </w:tr>
      <w:tr w14:paraId="6F2F9A8D">
        <w:tblPrEx>
          <w:tblCellMar>
            <w:top w:w="0" w:type="dxa"/>
            <w:left w:w="0" w:type="dxa"/>
            <w:bottom w:w="0" w:type="dxa"/>
            <w:right w:w="0" w:type="dxa"/>
          </w:tblCellMar>
        </w:tblPrEx>
        <w:trPr>
          <w:tblCellSpacing w:w="0" w:type="dxa"/>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B4F245D">
            <w:pPr>
              <w:widowControl/>
              <w:spacing w:line="500" w:lineRule="exact"/>
              <w:jc w:val="left"/>
              <w:rPr>
                <w:rFonts w:ascii="Arial" w:hAnsi="Arial" w:eastAsia="仿宋" w:cs="Arial"/>
                <w:kern w:val="0"/>
                <w:sz w:val="18"/>
                <w:szCs w:val="18"/>
              </w:rPr>
            </w:pPr>
          </w:p>
        </w:tc>
        <w:tc>
          <w:tcPr>
            <w:tcW w:w="889" w:type="dxa"/>
            <w:tcBorders>
              <w:top w:val="single" w:color="auto" w:sz="8" w:space="0"/>
              <w:left w:val="single" w:color="auto" w:sz="8" w:space="0"/>
              <w:bottom w:val="single" w:color="auto" w:sz="8" w:space="0"/>
              <w:right w:val="single" w:color="auto" w:sz="8" w:space="0"/>
            </w:tcBorders>
            <w:vAlign w:val="center"/>
          </w:tcPr>
          <w:p w14:paraId="726046B7">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二类</w:t>
            </w:r>
          </w:p>
        </w:tc>
        <w:tc>
          <w:tcPr>
            <w:tcW w:w="1055" w:type="dxa"/>
            <w:tcBorders>
              <w:top w:val="single" w:color="auto" w:sz="8" w:space="0"/>
              <w:left w:val="single" w:color="auto" w:sz="8" w:space="0"/>
              <w:bottom w:val="single" w:color="auto" w:sz="8" w:space="0"/>
              <w:right w:val="single" w:color="auto" w:sz="8" w:space="0"/>
            </w:tcBorders>
            <w:vAlign w:val="center"/>
          </w:tcPr>
          <w:p w14:paraId="180E9B26">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38000</w:t>
            </w:r>
          </w:p>
        </w:tc>
        <w:tc>
          <w:tcPr>
            <w:tcW w:w="925" w:type="dxa"/>
            <w:tcBorders>
              <w:top w:val="single" w:color="auto" w:sz="8" w:space="0"/>
              <w:left w:val="single" w:color="auto" w:sz="8" w:space="0"/>
              <w:bottom w:val="single" w:color="auto" w:sz="8" w:space="0"/>
              <w:right w:val="single" w:color="auto" w:sz="8" w:space="0"/>
            </w:tcBorders>
            <w:vAlign w:val="center"/>
          </w:tcPr>
          <w:p w14:paraId="319D08A7">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12000</w:t>
            </w:r>
          </w:p>
        </w:tc>
        <w:tc>
          <w:tcPr>
            <w:tcW w:w="925" w:type="dxa"/>
            <w:tcBorders>
              <w:top w:val="single" w:color="auto" w:sz="8" w:space="0"/>
              <w:left w:val="single" w:color="auto" w:sz="8" w:space="0"/>
              <w:bottom w:val="single" w:color="auto" w:sz="8" w:space="0"/>
              <w:right w:val="single" w:color="auto" w:sz="8" w:space="0"/>
            </w:tcBorders>
            <w:vAlign w:val="center"/>
          </w:tcPr>
          <w:p w14:paraId="742BCC88">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42000</w:t>
            </w:r>
          </w:p>
        </w:tc>
        <w:tc>
          <w:tcPr>
            <w:tcW w:w="1031" w:type="dxa"/>
            <w:tcBorders>
              <w:top w:val="single" w:color="auto" w:sz="8" w:space="0"/>
              <w:left w:val="single" w:color="auto" w:sz="8" w:space="0"/>
              <w:bottom w:val="single" w:color="auto" w:sz="8" w:space="0"/>
              <w:right w:val="single" w:color="auto" w:sz="8" w:space="0"/>
            </w:tcBorders>
            <w:vAlign w:val="center"/>
          </w:tcPr>
          <w:p w14:paraId="528532D3">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800</w:t>
            </w:r>
          </w:p>
        </w:tc>
        <w:tc>
          <w:tcPr>
            <w:tcW w:w="1055" w:type="dxa"/>
            <w:tcBorders>
              <w:top w:val="single" w:color="auto" w:sz="8" w:space="0"/>
              <w:left w:val="single" w:color="auto" w:sz="8" w:space="0"/>
              <w:bottom w:val="single" w:color="auto" w:sz="8" w:space="0"/>
              <w:right w:val="single" w:color="auto" w:sz="8" w:space="0"/>
            </w:tcBorders>
            <w:vAlign w:val="center"/>
          </w:tcPr>
          <w:p w14:paraId="5EE190E5">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92800</w:t>
            </w:r>
          </w:p>
        </w:tc>
      </w:tr>
      <w:tr w14:paraId="369403C5">
        <w:tblPrEx>
          <w:tblCellMar>
            <w:top w:w="0" w:type="dxa"/>
            <w:left w:w="0" w:type="dxa"/>
            <w:bottom w:w="0" w:type="dxa"/>
            <w:right w:w="0" w:type="dxa"/>
          </w:tblCellMar>
        </w:tblPrEx>
        <w:trPr>
          <w:tblCellSpacing w:w="0" w:type="dxa"/>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9BFF0BF">
            <w:pPr>
              <w:widowControl/>
              <w:spacing w:line="500" w:lineRule="exact"/>
              <w:jc w:val="left"/>
              <w:rPr>
                <w:rFonts w:ascii="Arial" w:hAnsi="Arial" w:eastAsia="仿宋" w:cs="Arial"/>
                <w:kern w:val="0"/>
                <w:sz w:val="18"/>
                <w:szCs w:val="18"/>
              </w:rPr>
            </w:pPr>
          </w:p>
        </w:tc>
        <w:tc>
          <w:tcPr>
            <w:tcW w:w="889" w:type="dxa"/>
            <w:tcBorders>
              <w:top w:val="single" w:color="auto" w:sz="8" w:space="0"/>
              <w:left w:val="single" w:color="auto" w:sz="8" w:space="0"/>
              <w:bottom w:val="single" w:color="auto" w:sz="8" w:space="0"/>
              <w:right w:val="single" w:color="auto" w:sz="8" w:space="0"/>
            </w:tcBorders>
            <w:vAlign w:val="center"/>
          </w:tcPr>
          <w:p w14:paraId="731A917C">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三类</w:t>
            </w:r>
          </w:p>
        </w:tc>
        <w:tc>
          <w:tcPr>
            <w:tcW w:w="1055" w:type="dxa"/>
            <w:tcBorders>
              <w:top w:val="single" w:color="auto" w:sz="8" w:space="0"/>
              <w:left w:val="single" w:color="auto" w:sz="8" w:space="0"/>
              <w:bottom w:val="single" w:color="auto" w:sz="8" w:space="0"/>
              <w:right w:val="single" w:color="auto" w:sz="8" w:space="0"/>
            </w:tcBorders>
            <w:vAlign w:val="center"/>
          </w:tcPr>
          <w:p w14:paraId="4AC55513">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45000</w:t>
            </w:r>
          </w:p>
        </w:tc>
        <w:tc>
          <w:tcPr>
            <w:tcW w:w="925" w:type="dxa"/>
            <w:tcBorders>
              <w:top w:val="single" w:color="auto" w:sz="8" w:space="0"/>
              <w:left w:val="single" w:color="auto" w:sz="8" w:space="0"/>
              <w:bottom w:val="single" w:color="auto" w:sz="8" w:space="0"/>
              <w:right w:val="single" w:color="auto" w:sz="8" w:space="0"/>
            </w:tcBorders>
            <w:vAlign w:val="center"/>
          </w:tcPr>
          <w:p w14:paraId="47E90825">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12000</w:t>
            </w:r>
          </w:p>
        </w:tc>
        <w:tc>
          <w:tcPr>
            <w:tcW w:w="925" w:type="dxa"/>
            <w:tcBorders>
              <w:top w:val="single" w:color="auto" w:sz="8" w:space="0"/>
              <w:left w:val="single" w:color="auto" w:sz="8" w:space="0"/>
              <w:bottom w:val="single" w:color="auto" w:sz="8" w:space="0"/>
              <w:right w:val="single" w:color="auto" w:sz="8" w:space="0"/>
            </w:tcBorders>
            <w:vAlign w:val="center"/>
          </w:tcPr>
          <w:p w14:paraId="5FA17FA7">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42000</w:t>
            </w:r>
          </w:p>
        </w:tc>
        <w:tc>
          <w:tcPr>
            <w:tcW w:w="1031" w:type="dxa"/>
            <w:tcBorders>
              <w:top w:val="single" w:color="auto" w:sz="8" w:space="0"/>
              <w:left w:val="single" w:color="auto" w:sz="8" w:space="0"/>
              <w:bottom w:val="single" w:color="auto" w:sz="8" w:space="0"/>
              <w:right w:val="single" w:color="auto" w:sz="8" w:space="0"/>
            </w:tcBorders>
            <w:vAlign w:val="center"/>
          </w:tcPr>
          <w:p w14:paraId="3D9FD064">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800</w:t>
            </w:r>
          </w:p>
        </w:tc>
        <w:tc>
          <w:tcPr>
            <w:tcW w:w="1055" w:type="dxa"/>
            <w:tcBorders>
              <w:top w:val="single" w:color="auto" w:sz="8" w:space="0"/>
              <w:left w:val="single" w:color="auto" w:sz="8" w:space="0"/>
              <w:bottom w:val="single" w:color="auto" w:sz="8" w:space="0"/>
              <w:right w:val="single" w:color="auto" w:sz="8" w:space="0"/>
            </w:tcBorders>
            <w:vAlign w:val="center"/>
          </w:tcPr>
          <w:p w14:paraId="0819A33E">
            <w:pPr>
              <w:widowControl/>
              <w:spacing w:line="500" w:lineRule="exact"/>
              <w:jc w:val="center"/>
              <w:rPr>
                <w:rFonts w:ascii="Arial" w:hAnsi="Arial" w:eastAsia="仿宋" w:cs="Arial"/>
                <w:kern w:val="0"/>
                <w:sz w:val="18"/>
                <w:szCs w:val="18"/>
              </w:rPr>
            </w:pPr>
            <w:r>
              <w:rPr>
                <w:rFonts w:hint="eastAsia" w:ascii="仿宋_GB2312" w:hAnsi="Arial" w:eastAsia="仿宋" w:cs="Arial"/>
                <w:b/>
                <w:bCs/>
                <w:kern w:val="0"/>
                <w:sz w:val="18"/>
                <w:szCs w:val="18"/>
              </w:rPr>
              <w:t>99800</w:t>
            </w:r>
          </w:p>
        </w:tc>
      </w:tr>
    </w:tbl>
    <w:p w14:paraId="20D4D8F6">
      <w:pPr>
        <w:adjustRightInd w:val="0"/>
        <w:spacing w:line="500" w:lineRule="exact"/>
        <w:ind w:right="57" w:firstLine="600" w:firstLineChars="200"/>
        <w:rPr>
          <w:rFonts w:ascii="仿宋_GB2312" w:hAnsi="新宋体" w:eastAsia="仿宋" w:cs="仿宋_GB2312"/>
          <w:sz w:val="30"/>
          <w:szCs w:val="30"/>
        </w:rPr>
      </w:pPr>
      <w:r>
        <w:rPr>
          <w:rFonts w:ascii="仿宋_GB2312" w:hAnsi="新宋体" w:eastAsia="仿宋" w:cs="仿宋_GB2312"/>
          <w:sz w:val="30"/>
          <w:szCs w:val="30"/>
        </w:rPr>
        <w:t>注： 一类包括：哲学、经济学、法学、教育学、文学（除文艺类外）、历史学、管理学；二类包括：理学、工学、农学；三类包括：文学（文艺类）、医学。</w:t>
      </w:r>
      <w:r>
        <w:rPr>
          <w:rFonts w:hint="eastAsia" w:ascii="仿宋_GB2312" w:hAnsi="新宋体" w:eastAsia="仿宋" w:cs="仿宋_GB2312"/>
          <w:sz w:val="30"/>
          <w:szCs w:val="30"/>
        </w:rPr>
        <w:t>博士后资助标准参照高级进修生。（标准依据：国家留学基金委公布的</w:t>
      </w:r>
      <w:r>
        <w:rPr>
          <w:rFonts w:hint="eastAsia" w:ascii="仿宋_GB2312" w:hAnsi="新宋体" w:eastAsia="仿宋" w:cs="仿宋_GB2312"/>
          <w:bCs/>
          <w:sz w:val="30"/>
          <w:szCs w:val="30"/>
        </w:rPr>
        <w:t>中国政府奖学金全奖资助标准。</w:t>
      </w:r>
      <w:r>
        <w:rPr>
          <w:rFonts w:hint="eastAsia" w:ascii="仿宋_GB2312" w:hAnsi="新宋体" w:eastAsia="仿宋" w:cs="仿宋_GB2312"/>
          <w:sz w:val="30"/>
          <w:szCs w:val="30"/>
        </w:rPr>
        <w:t>）</w:t>
      </w:r>
    </w:p>
    <w:p w14:paraId="371F6FEA">
      <w:pPr>
        <w:adjustRightInd w:val="0"/>
        <w:spacing w:line="500" w:lineRule="exact"/>
        <w:ind w:right="57" w:firstLine="627" w:firstLineChars="196"/>
        <w:rPr>
          <w:rFonts w:ascii="仿宋_GB2312" w:hAnsi="仿宋" w:eastAsia="仿宋" w:cs="仿宋_GB2312"/>
          <w:szCs w:val="32"/>
        </w:rPr>
      </w:pPr>
      <w:r>
        <w:rPr>
          <w:rFonts w:hint="eastAsia" w:ascii="仿宋_GB2312" w:hAnsi="仿宋" w:eastAsia="仿宋" w:cs="仿宋_GB2312"/>
          <w:szCs w:val="32"/>
        </w:rPr>
        <w:t>此外，还资助来京和毕业后回国的一次往返国际旅费（只限乘坐经济舱，实报实销）。</w:t>
      </w:r>
      <w:r>
        <w:rPr>
          <w:rFonts w:hint="eastAsia" w:ascii="仿宋_GB2312" w:hAnsi="新宋体" w:eastAsia="仿宋"/>
          <w:szCs w:val="32"/>
        </w:rPr>
        <w:t>在实际执行过程中按照实际学段和实际学费标准支付。</w:t>
      </w:r>
    </w:p>
    <w:p w14:paraId="68397093">
      <w:pPr>
        <w:adjustRightInd w:val="0"/>
        <w:spacing w:line="500" w:lineRule="exact"/>
        <w:ind w:right="57" w:firstLine="627" w:firstLineChars="196"/>
        <w:rPr>
          <w:rFonts w:ascii="仿宋_GB2312" w:hAnsi="新宋体" w:eastAsia="仿宋" w:cs="仿宋_GB2312"/>
          <w:b/>
          <w:szCs w:val="32"/>
        </w:rPr>
      </w:pPr>
      <w:r>
        <w:rPr>
          <w:rFonts w:hint="eastAsia" w:ascii="仿宋_GB2312" w:hAnsi="新宋体" w:eastAsia="仿宋" w:cs="仿宋_GB2312"/>
          <w:szCs w:val="32"/>
        </w:rPr>
        <w:t>2．资助短期来京研修人员</w:t>
      </w:r>
    </w:p>
    <w:p w14:paraId="42A9E09E">
      <w:pPr>
        <w:adjustRightInd w:val="0"/>
        <w:spacing w:line="500" w:lineRule="exact"/>
        <w:ind w:right="57" w:firstLine="627" w:firstLineChars="196"/>
        <w:rPr>
          <w:rFonts w:ascii="仿宋_GB2312" w:hAnsi="新宋体" w:eastAsia="仿宋" w:cs="仿宋_GB2312"/>
          <w:szCs w:val="32"/>
        </w:rPr>
      </w:pPr>
      <w:r>
        <w:rPr>
          <w:rFonts w:hint="eastAsia" w:ascii="仿宋_GB2312" w:hAnsi="新宋体" w:eastAsia="仿宋" w:cs="仿宋_GB2312"/>
          <w:szCs w:val="32"/>
        </w:rPr>
        <w:t>（1）为期一年的本科留学生资助标准：</w:t>
      </w:r>
      <w:r>
        <w:rPr>
          <w:rFonts w:ascii="仿宋_GB2312" w:hAnsi="新宋体" w:eastAsia="仿宋" w:cs="仿宋_GB2312"/>
          <w:szCs w:val="32"/>
        </w:rPr>
        <w:t>20000</w:t>
      </w:r>
      <w:r>
        <w:rPr>
          <w:rFonts w:hint="eastAsia" w:ascii="仿宋_GB2312" w:hAnsi="新宋体" w:eastAsia="仿宋" w:cs="仿宋_GB2312"/>
          <w:szCs w:val="32"/>
        </w:rPr>
        <w:t>元人民币</w:t>
      </w:r>
      <w:r>
        <w:rPr>
          <w:rFonts w:ascii="仿宋_GB2312" w:hAnsi="新宋体" w:eastAsia="仿宋" w:cs="仿宋_GB2312"/>
          <w:szCs w:val="32"/>
        </w:rPr>
        <w:t>/</w:t>
      </w:r>
      <w:r>
        <w:rPr>
          <w:rFonts w:hint="eastAsia" w:ascii="仿宋_GB2312" w:hAnsi="新宋体" w:eastAsia="仿宋" w:cs="仿宋_GB2312"/>
          <w:szCs w:val="32"/>
        </w:rPr>
        <w:t>人</w:t>
      </w:r>
      <w:r>
        <w:rPr>
          <w:rFonts w:ascii="仿宋_GB2312" w:hAnsi="新宋体" w:eastAsia="仿宋" w:cs="仿宋_GB2312"/>
          <w:szCs w:val="32"/>
        </w:rPr>
        <w:t>/</w:t>
      </w:r>
      <w:r>
        <w:rPr>
          <w:rFonts w:hint="eastAsia" w:ascii="仿宋_GB2312" w:hAnsi="新宋体" w:eastAsia="仿宋" w:cs="仿宋_GB2312"/>
          <w:szCs w:val="32"/>
        </w:rPr>
        <w:t>学年。为期一年的职业院校留学生资助标准：16000-20000元人民币/人/学年（标准依据：《</w:t>
      </w:r>
      <w:bookmarkStart w:id="0" w:name="_Toc432778458"/>
      <w:bookmarkStart w:id="1" w:name="_Toc439016063"/>
      <w:bookmarkStart w:id="2" w:name="_Toc427140430"/>
      <w:bookmarkStart w:id="3" w:name="_Toc431290720"/>
      <w:r>
        <w:rPr>
          <w:rFonts w:ascii="仿宋_GB2312" w:hAnsi="新宋体" w:eastAsia="仿宋" w:cs="仿宋_GB2312"/>
          <w:szCs w:val="32"/>
        </w:rPr>
        <w:t>北京市外国留学生奖学金实施办法</w:t>
      </w:r>
      <w:bookmarkEnd w:id="0"/>
      <w:bookmarkEnd w:id="1"/>
      <w:bookmarkEnd w:id="2"/>
      <w:bookmarkEnd w:id="3"/>
      <w:r>
        <w:rPr>
          <w:rFonts w:hint="eastAsia" w:ascii="仿宋_GB2312" w:hAnsi="新宋体" w:eastAsia="仿宋" w:cs="仿宋_GB2312"/>
          <w:szCs w:val="32"/>
        </w:rPr>
        <w:t>》、《教育部关于</w:t>
      </w:r>
      <w:r>
        <w:rPr>
          <w:rFonts w:hint="eastAsia" w:ascii="仿宋_GB2312" w:hAnsi="新宋体" w:eastAsia="仿宋" w:cs="仿宋_GB2312"/>
          <w:bCs/>
          <w:szCs w:val="32"/>
        </w:rPr>
        <w:t>自费来华留学收费标准</w:t>
      </w:r>
      <w:r>
        <w:rPr>
          <w:rFonts w:hint="eastAsia" w:ascii="仿宋_GB2312" w:hAnsi="新宋体" w:eastAsia="仿宋" w:cs="仿宋_GB2312"/>
          <w:szCs w:val="32"/>
        </w:rPr>
        <w:t>》）。使用范围仅限学费。</w:t>
      </w:r>
      <w:r>
        <w:rPr>
          <w:rFonts w:hint="eastAsia" w:ascii="仿宋_GB2312" w:hAnsi="新宋体" w:eastAsia="仿宋"/>
          <w:szCs w:val="32"/>
        </w:rPr>
        <w:t>在执行过程中，具体金额按学校实际学费标准进行支付。学校申报项目时，可据实际情况，对奖学金进行拆分使用。</w:t>
      </w:r>
    </w:p>
    <w:p w14:paraId="28A16BE1">
      <w:pPr>
        <w:adjustRightInd w:val="0"/>
        <w:spacing w:line="500" w:lineRule="exact"/>
        <w:ind w:right="57" w:firstLine="627" w:firstLineChars="196"/>
        <w:rPr>
          <w:rFonts w:ascii="仿宋_GB2312" w:hAnsi="新宋体" w:eastAsia="仿宋" w:cs="仿宋_GB2312"/>
          <w:szCs w:val="32"/>
        </w:rPr>
      </w:pPr>
      <w:r>
        <w:rPr>
          <w:rFonts w:hint="eastAsia" w:ascii="仿宋_GB2312" w:hAnsi="新宋体" w:eastAsia="仿宋" w:cs="仿宋_GB2312"/>
          <w:szCs w:val="32"/>
        </w:rPr>
        <w:t>（2）来京参加1-3周研修的教育管理人员和教师资助标准：伙食、住宿等费用650元人民币/人/天；交通费800-1500元/车/天（标准依据：国家汉办《关于申报2012年重大团组接待项目的函》汉办</w:t>
      </w:r>
      <w:r>
        <w:rPr>
          <w:rFonts w:hint="eastAsia" w:ascii="仿宋_GB2312" w:hAnsi="宋体" w:eastAsia="仿宋"/>
          <w:szCs w:val="32"/>
        </w:rPr>
        <w:t>〔</w:t>
      </w:r>
      <w:r>
        <w:rPr>
          <w:rFonts w:hint="eastAsia" w:ascii="仿宋_GB2312" w:eastAsia="仿宋"/>
        </w:rPr>
        <w:t>2012〕</w:t>
      </w:r>
      <w:r>
        <w:rPr>
          <w:rFonts w:hint="eastAsia" w:ascii="仿宋_GB2312" w:hAnsi="新宋体" w:eastAsia="仿宋" w:cs="仿宋_GB2312"/>
          <w:szCs w:val="32"/>
        </w:rPr>
        <w:t>39号）。使用范围包括：伙食、住宿、交通等费用。</w:t>
      </w:r>
    </w:p>
    <w:p w14:paraId="733AAAB2">
      <w:pPr>
        <w:adjustRightInd w:val="0"/>
        <w:spacing w:line="500" w:lineRule="exact"/>
        <w:ind w:right="57" w:firstLine="627" w:firstLineChars="196"/>
        <w:rPr>
          <w:rFonts w:ascii="仿宋_GB2312" w:hAnsi="仿宋" w:eastAsia="仿宋" w:cs="仿宋_GB2312"/>
          <w:szCs w:val="32"/>
        </w:rPr>
      </w:pPr>
      <w:r>
        <w:rPr>
          <w:rFonts w:hint="eastAsia" w:ascii="仿宋_GB2312" w:hAnsi="新宋体" w:eastAsia="仿宋" w:cs="仿宋_GB2312"/>
          <w:szCs w:val="32"/>
        </w:rPr>
        <w:t>（二）</w:t>
      </w:r>
      <w:r>
        <w:rPr>
          <w:rFonts w:hint="eastAsia" w:ascii="仿宋_GB2312" w:hAnsi="仿宋" w:eastAsia="仿宋" w:cs="仿宋_GB2312"/>
          <w:szCs w:val="32"/>
        </w:rPr>
        <w:t>学科专业建设。每门课程原则上资助不超过10万元人民币（标准依据：教育部来华留学英语授课品牌课程补贴标准）。学校可根据实际情况进行拆分使用。经费使用范围包括：课程开发，引进教材及应用，编制教材（不包括教材出版费用），师资队伍建设，中外专家聘请，联合研究，智库咨询，科研合作，教师围绕学科专业建设赴外省、境外学习、进修、调研、培训、参会，教学材料购置，课程资源购置（包括网络课程平台、教学实验耗材等，不包括设备购置、房屋使用和装修等）等。</w:t>
      </w:r>
    </w:p>
    <w:p w14:paraId="54C54D53">
      <w:pPr>
        <w:adjustRightInd w:val="0"/>
        <w:spacing w:line="500" w:lineRule="exact"/>
        <w:ind w:right="57"/>
        <w:jc w:val="center"/>
        <w:rPr>
          <w:rFonts w:ascii="黑体" w:hAnsi="新宋体" w:eastAsia="仿宋" w:cs="黑体"/>
          <w:szCs w:val="32"/>
        </w:rPr>
      </w:pPr>
      <w:r>
        <w:rPr>
          <w:rFonts w:hint="eastAsia" w:ascii="黑体" w:hAnsi="新宋体" w:eastAsia="仿宋" w:cs="黑体"/>
          <w:szCs w:val="32"/>
        </w:rPr>
        <w:t>第三章  项目申报与评审</w:t>
      </w:r>
    </w:p>
    <w:p w14:paraId="09FE0A93">
      <w:pPr>
        <w:adjustRightInd w:val="0"/>
        <w:spacing w:line="500" w:lineRule="exact"/>
        <w:ind w:right="57" w:firstLine="643" w:firstLineChars="200"/>
        <w:rPr>
          <w:rFonts w:ascii="仿宋_GB2312" w:hAnsi="仿宋" w:eastAsia="仿宋" w:cs="仿宋_GB2312"/>
          <w:b/>
          <w:szCs w:val="32"/>
        </w:rPr>
      </w:pPr>
    </w:p>
    <w:p w14:paraId="22916E7A">
      <w:pPr>
        <w:adjustRightInd w:val="0"/>
        <w:spacing w:line="500" w:lineRule="exact"/>
        <w:ind w:right="57" w:firstLine="640" w:firstLineChars="200"/>
        <w:rPr>
          <w:rFonts w:ascii="仿宋_GB2312" w:hAnsi="仿宋" w:eastAsia="仿宋" w:cs="仿宋_GB2312"/>
          <w:szCs w:val="32"/>
        </w:rPr>
      </w:pPr>
      <w:r>
        <w:rPr>
          <w:rFonts w:hint="eastAsia" w:ascii="黑体" w:hAnsi="仿宋" w:eastAsia="仿宋" w:cs="仿宋_GB2312"/>
          <w:szCs w:val="32"/>
        </w:rPr>
        <w:t>第八条</w:t>
      </w:r>
      <w:r>
        <w:rPr>
          <w:rFonts w:hint="eastAsia" w:ascii="仿宋_GB2312" w:hAnsi="仿宋" w:eastAsia="仿宋" w:cs="仿宋_GB2312"/>
          <w:szCs w:val="32"/>
        </w:rPr>
        <w:t xml:space="preserve"> 项目实施程序。各学校根据要求进行项目申报，</w:t>
      </w:r>
      <w:r>
        <w:rPr>
          <w:rFonts w:hint="eastAsia" w:ascii="仿宋_GB2312" w:hAnsi="仿宋" w:eastAsia="仿宋"/>
          <w:szCs w:val="32"/>
        </w:rPr>
        <w:t>北京市教育委员会组织专家评审，确定项目评审结果，按</w:t>
      </w:r>
      <w:r>
        <w:rPr>
          <w:rFonts w:hint="eastAsia" w:ascii="仿宋_GB2312" w:hAnsi="仿宋" w:eastAsia="仿宋" w:cs="仿宋_GB2312"/>
          <w:szCs w:val="32"/>
        </w:rPr>
        <w:t>列入部门年度预算和绩效考核。</w:t>
      </w:r>
    </w:p>
    <w:p w14:paraId="40870C6F">
      <w:pPr>
        <w:adjustRightInd w:val="0"/>
        <w:spacing w:line="500" w:lineRule="exact"/>
        <w:ind w:right="57" w:firstLine="627" w:firstLineChars="196"/>
        <w:rPr>
          <w:rFonts w:ascii="仿宋_GB2312" w:hAnsi="新宋体" w:eastAsia="仿宋"/>
          <w:b/>
          <w:szCs w:val="32"/>
        </w:rPr>
      </w:pPr>
      <w:r>
        <w:rPr>
          <w:rFonts w:hint="eastAsia" w:ascii="黑体" w:hAnsi="仿宋" w:eastAsia="仿宋" w:cs="仿宋_GB2312"/>
          <w:szCs w:val="32"/>
        </w:rPr>
        <w:t>第九条</w:t>
      </w:r>
      <w:r>
        <w:rPr>
          <w:rFonts w:hint="eastAsia" w:ascii="仿宋_GB2312" w:hAnsi="仿宋" w:eastAsia="仿宋" w:cs="仿宋_GB2312"/>
          <w:b/>
          <w:szCs w:val="32"/>
        </w:rPr>
        <w:t xml:space="preserve"> </w:t>
      </w:r>
      <w:r>
        <w:rPr>
          <w:rFonts w:hint="eastAsia" w:ascii="仿宋_GB2312" w:hAnsi="新宋体" w:eastAsia="仿宋"/>
          <w:szCs w:val="32"/>
        </w:rPr>
        <w:t>评审原则</w:t>
      </w:r>
    </w:p>
    <w:p w14:paraId="25713F13">
      <w:pPr>
        <w:adjustRightInd w:val="0"/>
        <w:spacing w:line="500" w:lineRule="exact"/>
        <w:ind w:right="57" w:firstLine="627" w:firstLineChars="196"/>
        <w:rPr>
          <w:rFonts w:ascii="仿宋_GB2312" w:hAnsi="新宋体" w:eastAsia="仿宋"/>
          <w:b/>
          <w:szCs w:val="32"/>
        </w:rPr>
      </w:pPr>
      <w:r>
        <w:rPr>
          <w:rFonts w:hint="eastAsia" w:ascii="仿宋_GB2312" w:hAnsi="新宋体" w:eastAsia="仿宋"/>
          <w:szCs w:val="32"/>
        </w:rPr>
        <w:t>（一）</w:t>
      </w:r>
      <w:r>
        <w:rPr>
          <w:rFonts w:hint="eastAsia" w:ascii="仿宋_GB2312" w:hAnsi="仿宋" w:eastAsia="仿宋" w:cs="仿宋_GB2312"/>
          <w:szCs w:val="32"/>
        </w:rPr>
        <w:t>统筹考虑项目资金在“一带一路”沿线国家的国别分布；</w:t>
      </w:r>
    </w:p>
    <w:p w14:paraId="65F3E0EC">
      <w:pPr>
        <w:adjustRightInd w:val="0"/>
        <w:spacing w:line="500" w:lineRule="exact"/>
        <w:ind w:right="57" w:firstLine="640" w:firstLineChars="200"/>
        <w:rPr>
          <w:rFonts w:ascii="仿宋_GB2312" w:hAnsi="仿宋" w:eastAsia="仿宋" w:cs="仿宋_GB2312"/>
          <w:szCs w:val="32"/>
        </w:rPr>
      </w:pPr>
      <w:r>
        <w:rPr>
          <w:rFonts w:hint="eastAsia" w:ascii="仿宋_GB2312" w:hAnsi="仿宋" w:eastAsia="仿宋" w:cs="仿宋_GB2312"/>
          <w:szCs w:val="32"/>
        </w:rPr>
        <w:t>（二）统筹考虑学科专业布局；</w:t>
      </w:r>
    </w:p>
    <w:p w14:paraId="1590ACFC">
      <w:pPr>
        <w:adjustRightInd w:val="0"/>
        <w:spacing w:line="500" w:lineRule="exact"/>
        <w:ind w:right="57" w:firstLine="640" w:firstLineChars="200"/>
        <w:rPr>
          <w:rFonts w:ascii="仿宋_GB2312" w:hAnsi="仿宋" w:eastAsia="仿宋" w:cs="仿宋_GB2312"/>
          <w:szCs w:val="32"/>
        </w:rPr>
      </w:pPr>
      <w:r>
        <w:rPr>
          <w:rFonts w:hint="eastAsia" w:ascii="仿宋_GB2312" w:hAnsi="仿宋" w:eastAsia="仿宋" w:cs="仿宋_GB2312"/>
          <w:szCs w:val="32"/>
        </w:rPr>
        <w:t>（三）优先支持高层次、行业特色鲜明的人才培养项目；</w:t>
      </w:r>
    </w:p>
    <w:p w14:paraId="4857B9B9">
      <w:pPr>
        <w:adjustRightInd w:val="0"/>
        <w:spacing w:line="500" w:lineRule="exact"/>
        <w:ind w:right="57" w:firstLine="640" w:firstLineChars="200"/>
        <w:rPr>
          <w:rFonts w:ascii="仿宋_GB2312" w:hAnsi="仿宋" w:eastAsia="仿宋" w:cs="仿宋_GB2312"/>
          <w:szCs w:val="32"/>
        </w:rPr>
      </w:pPr>
      <w:r>
        <w:rPr>
          <w:rFonts w:hint="eastAsia" w:ascii="仿宋_GB2312" w:hAnsi="仿宋" w:eastAsia="仿宋" w:cs="仿宋_GB2312"/>
          <w:szCs w:val="32"/>
        </w:rPr>
        <w:t>（四）优先支持与国家和北京市产业走出去紧密相关的专业领域；</w:t>
      </w:r>
    </w:p>
    <w:p w14:paraId="21180AB3">
      <w:pPr>
        <w:adjustRightInd w:val="0"/>
        <w:spacing w:line="500" w:lineRule="exact"/>
        <w:ind w:right="57" w:firstLine="640" w:firstLineChars="200"/>
        <w:rPr>
          <w:rFonts w:ascii="仿宋_GB2312" w:hAnsi="仿宋" w:eastAsia="仿宋" w:cs="仿宋_GB2312"/>
          <w:szCs w:val="32"/>
        </w:rPr>
      </w:pPr>
      <w:r>
        <w:rPr>
          <w:rFonts w:hint="eastAsia" w:ascii="仿宋_GB2312" w:hAnsi="仿宋" w:eastAsia="仿宋" w:cs="仿宋_GB2312"/>
          <w:szCs w:val="32"/>
        </w:rPr>
        <w:t>（五）优先支持校际交流项目；</w:t>
      </w:r>
    </w:p>
    <w:p w14:paraId="3C0A5632">
      <w:pPr>
        <w:adjustRightInd w:val="0"/>
        <w:spacing w:line="500" w:lineRule="exact"/>
        <w:ind w:right="57" w:firstLine="640" w:firstLineChars="200"/>
        <w:rPr>
          <w:rFonts w:ascii="仿宋_GB2312" w:hAnsi="仿宋" w:eastAsia="仿宋" w:cs="仿宋_GB2312"/>
          <w:szCs w:val="32"/>
        </w:rPr>
      </w:pPr>
      <w:r>
        <w:rPr>
          <w:rFonts w:hint="eastAsia" w:ascii="仿宋_GB2312" w:hAnsi="仿宋" w:eastAsia="仿宋" w:cs="仿宋_GB2312"/>
          <w:szCs w:val="32"/>
        </w:rPr>
        <w:t>（六）</w:t>
      </w:r>
      <w:r>
        <w:rPr>
          <w:rFonts w:hint="eastAsia" w:ascii="仿宋_GB2312" w:hAnsi="仿宋" w:eastAsia="仿宋"/>
          <w:szCs w:val="32"/>
        </w:rPr>
        <w:t>优先支持与“一带一路”沿线国家首都城市开展的合作交流项目</w:t>
      </w:r>
      <w:r>
        <w:rPr>
          <w:rFonts w:hint="eastAsia" w:ascii="仿宋_GB2312" w:hAnsi="仿宋" w:eastAsia="仿宋" w:cs="仿宋_GB2312"/>
          <w:szCs w:val="32"/>
        </w:rPr>
        <w:t>；</w:t>
      </w:r>
    </w:p>
    <w:p w14:paraId="4B5F5230">
      <w:pPr>
        <w:adjustRightInd w:val="0"/>
        <w:spacing w:line="500" w:lineRule="exact"/>
        <w:ind w:right="57" w:firstLine="640" w:firstLineChars="200"/>
        <w:rPr>
          <w:rFonts w:ascii="仿宋_GB2312" w:hAnsi="仿宋" w:eastAsia="仿宋"/>
          <w:szCs w:val="32"/>
        </w:rPr>
      </w:pPr>
      <w:r>
        <w:rPr>
          <w:rFonts w:hint="eastAsia" w:ascii="仿宋_GB2312" w:hAnsi="仿宋" w:eastAsia="仿宋"/>
          <w:szCs w:val="32"/>
        </w:rPr>
        <w:t>（七）优先支持学校自主提供实际配套资金的项目</w:t>
      </w:r>
      <w:r>
        <w:rPr>
          <w:rFonts w:hint="eastAsia" w:ascii="仿宋_GB2312" w:hAnsi="仿宋" w:eastAsia="仿宋" w:cs="仿宋_GB2312"/>
          <w:szCs w:val="32"/>
        </w:rPr>
        <w:t>；</w:t>
      </w:r>
    </w:p>
    <w:p w14:paraId="54E74D9F">
      <w:pPr>
        <w:adjustRightInd w:val="0"/>
        <w:spacing w:line="500" w:lineRule="exact"/>
        <w:ind w:right="57" w:firstLine="640" w:firstLineChars="200"/>
        <w:rPr>
          <w:rFonts w:ascii="仿宋_GB2312" w:hAnsi="仿宋" w:eastAsia="仿宋"/>
          <w:szCs w:val="32"/>
        </w:rPr>
      </w:pPr>
      <w:r>
        <w:rPr>
          <w:rFonts w:hint="eastAsia" w:ascii="仿宋_GB2312" w:hAnsi="仿宋" w:eastAsia="仿宋"/>
          <w:szCs w:val="32"/>
        </w:rPr>
        <w:t>（八）适度考虑部属、市属院校比例，适度向市属院校倾斜</w:t>
      </w:r>
      <w:r>
        <w:rPr>
          <w:rFonts w:hint="eastAsia" w:ascii="仿宋_GB2312" w:hAnsi="仿宋" w:eastAsia="仿宋" w:cs="仿宋_GB2312"/>
          <w:szCs w:val="32"/>
        </w:rPr>
        <w:t>；</w:t>
      </w:r>
    </w:p>
    <w:p w14:paraId="2D82F4CC">
      <w:pPr>
        <w:adjustRightInd w:val="0"/>
        <w:spacing w:line="500" w:lineRule="exact"/>
        <w:ind w:right="57" w:firstLine="640" w:firstLineChars="200"/>
        <w:rPr>
          <w:rFonts w:ascii="仿宋_GB2312" w:hAnsi="仿宋" w:eastAsia="仿宋"/>
          <w:szCs w:val="32"/>
        </w:rPr>
      </w:pPr>
      <w:r>
        <w:rPr>
          <w:rFonts w:hint="eastAsia" w:ascii="仿宋_GB2312" w:hAnsi="仿宋" w:eastAsia="仿宋"/>
          <w:szCs w:val="32"/>
        </w:rPr>
        <w:t>（九）</w:t>
      </w:r>
      <w:r>
        <w:rPr>
          <w:rFonts w:hint="eastAsia" w:ascii="仿宋_GB2312" w:hAnsi="新宋体" w:eastAsia="仿宋" w:cs="仿宋_GB2312"/>
          <w:szCs w:val="32"/>
        </w:rPr>
        <w:t>“紫禁城奖学金”每年新增资助的留学生必须是由境外直接招收的新生，不能是在校生。</w:t>
      </w:r>
    </w:p>
    <w:p w14:paraId="7233A282">
      <w:pPr>
        <w:adjustRightInd w:val="0"/>
        <w:spacing w:line="500" w:lineRule="exact"/>
        <w:ind w:right="57" w:firstLine="640" w:firstLineChars="200"/>
        <w:rPr>
          <w:rFonts w:ascii="仿宋_GB2312" w:hAnsi="新宋体" w:eastAsia="仿宋" w:cs="仿宋_GB2312"/>
          <w:szCs w:val="32"/>
        </w:rPr>
      </w:pPr>
      <w:r>
        <w:rPr>
          <w:rFonts w:hint="eastAsia" w:ascii="黑体" w:hAnsi="仿宋" w:eastAsia="仿宋" w:cs="仿宋_GB2312"/>
          <w:szCs w:val="32"/>
        </w:rPr>
        <w:t>第十条</w:t>
      </w:r>
      <w:r>
        <w:rPr>
          <w:rFonts w:hint="eastAsia" w:ascii="仿宋_GB2312" w:hAnsi="新宋体" w:eastAsia="仿宋" w:cs="仿宋_GB2312"/>
          <w:b/>
          <w:szCs w:val="32"/>
        </w:rPr>
        <w:t xml:space="preserve"> </w:t>
      </w:r>
      <w:r>
        <w:rPr>
          <w:rFonts w:hint="eastAsia" w:ascii="仿宋_GB2312" w:hAnsi="新宋体" w:eastAsia="仿宋" w:cs="仿宋_GB2312"/>
          <w:szCs w:val="32"/>
        </w:rPr>
        <w:t>项目申请材料</w:t>
      </w:r>
    </w:p>
    <w:p w14:paraId="78195F2D">
      <w:pPr>
        <w:adjustRightInd w:val="0"/>
        <w:spacing w:line="500" w:lineRule="exact"/>
        <w:ind w:right="57" w:firstLine="704" w:firstLineChars="220"/>
        <w:rPr>
          <w:rFonts w:ascii="仿宋_GB2312" w:hAnsi="新宋体" w:eastAsia="仿宋" w:cs="仿宋_GB2312"/>
          <w:szCs w:val="32"/>
        </w:rPr>
      </w:pPr>
      <w:r>
        <w:rPr>
          <w:rFonts w:hint="eastAsia" w:ascii="仿宋_GB2312" w:hAnsi="新宋体" w:eastAsia="仿宋" w:cs="仿宋_GB2312"/>
          <w:szCs w:val="32"/>
        </w:rPr>
        <w:t>1．北京市“一带一路”国家人才培养基地项目申报书；</w:t>
      </w:r>
    </w:p>
    <w:p w14:paraId="2ADB0FF8">
      <w:pPr>
        <w:adjustRightInd w:val="0"/>
        <w:spacing w:line="500" w:lineRule="exact"/>
        <w:ind w:right="57" w:firstLine="704" w:firstLineChars="220"/>
        <w:rPr>
          <w:rFonts w:ascii="仿宋_GB2312" w:hAnsi="新宋体" w:eastAsia="仿宋" w:cs="仿宋_GB2312"/>
          <w:szCs w:val="32"/>
        </w:rPr>
      </w:pPr>
      <w:r>
        <w:rPr>
          <w:rFonts w:hint="eastAsia" w:ascii="仿宋_GB2312" w:hAnsi="新宋体" w:eastAsia="仿宋" w:cs="仿宋_GB2312"/>
          <w:szCs w:val="32"/>
        </w:rPr>
        <w:t>2．经费支出明细；</w:t>
      </w:r>
    </w:p>
    <w:p w14:paraId="78E64014">
      <w:pPr>
        <w:adjustRightInd w:val="0"/>
        <w:spacing w:line="500" w:lineRule="exact"/>
        <w:ind w:right="57" w:firstLine="704" w:firstLineChars="220"/>
        <w:rPr>
          <w:rFonts w:ascii="仿宋_GB2312" w:hAnsi="新宋体" w:eastAsia="仿宋" w:cs="仿宋_GB2312"/>
          <w:szCs w:val="32"/>
        </w:rPr>
      </w:pPr>
      <w:r>
        <w:rPr>
          <w:rFonts w:hint="eastAsia" w:ascii="仿宋_GB2312" w:hAnsi="新宋体" w:eastAsia="仿宋" w:cs="仿宋_GB2312"/>
          <w:szCs w:val="32"/>
        </w:rPr>
        <w:t>3．绩效目标申报表；</w:t>
      </w:r>
    </w:p>
    <w:p w14:paraId="5756D0E9">
      <w:pPr>
        <w:adjustRightInd w:val="0"/>
        <w:spacing w:line="500" w:lineRule="exact"/>
        <w:ind w:left="1184" w:leftChars="220" w:right="57" w:hanging="480" w:hangingChars="150"/>
        <w:rPr>
          <w:rFonts w:ascii="仿宋_GB2312" w:hAnsi="新宋体" w:eastAsia="仿宋" w:cs="仿宋_GB2312"/>
          <w:szCs w:val="32"/>
        </w:rPr>
      </w:pPr>
      <w:r>
        <w:rPr>
          <w:rFonts w:hint="eastAsia" w:ascii="仿宋_GB2312" w:hAnsi="新宋体" w:eastAsia="仿宋" w:cs="仿宋_GB2312"/>
          <w:szCs w:val="32"/>
        </w:rPr>
        <w:t>4．项目汇总表；</w:t>
      </w:r>
    </w:p>
    <w:p w14:paraId="04BA278B">
      <w:pPr>
        <w:adjustRightInd w:val="0"/>
        <w:spacing w:line="500" w:lineRule="exact"/>
        <w:ind w:right="57" w:firstLine="704" w:firstLineChars="220"/>
        <w:rPr>
          <w:rFonts w:ascii="仿宋_GB2312" w:hAnsi="新宋体" w:eastAsia="仿宋" w:cs="仿宋_GB2312"/>
          <w:szCs w:val="32"/>
        </w:rPr>
      </w:pPr>
      <w:r>
        <w:rPr>
          <w:rFonts w:hint="eastAsia" w:ascii="仿宋_GB2312" w:hAnsi="新宋体" w:eastAsia="仿宋" w:cs="仿宋_GB2312"/>
          <w:szCs w:val="32"/>
        </w:rPr>
        <w:t xml:space="preserve">5．其他支撑性材料。 </w:t>
      </w:r>
    </w:p>
    <w:p w14:paraId="0B86B624">
      <w:pPr>
        <w:adjustRightInd w:val="0"/>
        <w:spacing w:line="500" w:lineRule="exact"/>
        <w:ind w:right="57" w:firstLine="704" w:firstLineChars="220"/>
        <w:rPr>
          <w:rFonts w:ascii="仿宋_GB2312" w:hAnsi="新宋体" w:eastAsia="仿宋" w:cs="仿宋_GB2312"/>
          <w:szCs w:val="32"/>
        </w:rPr>
      </w:pPr>
    </w:p>
    <w:p w14:paraId="08E7C331">
      <w:pPr>
        <w:adjustRightInd w:val="0"/>
        <w:spacing w:line="500" w:lineRule="exact"/>
        <w:ind w:right="57" w:firstLine="640" w:firstLineChars="200"/>
        <w:jc w:val="center"/>
        <w:rPr>
          <w:rFonts w:ascii="黑体" w:hAnsi="新宋体" w:eastAsia="仿宋"/>
          <w:szCs w:val="32"/>
        </w:rPr>
      </w:pPr>
      <w:r>
        <w:rPr>
          <w:rFonts w:hint="eastAsia" w:ascii="黑体" w:hAnsi="新宋体" w:eastAsia="仿宋"/>
          <w:szCs w:val="32"/>
        </w:rPr>
        <w:t xml:space="preserve">第四章  </w:t>
      </w:r>
      <w:r>
        <w:rPr>
          <w:rFonts w:hint="eastAsia" w:ascii="黑体" w:hAnsi="新宋体" w:eastAsia="仿宋" w:cs="仿宋_GB2312"/>
          <w:szCs w:val="32"/>
        </w:rPr>
        <w:t>实施与管理</w:t>
      </w:r>
    </w:p>
    <w:p w14:paraId="15D75227">
      <w:pPr>
        <w:adjustRightInd w:val="0"/>
        <w:spacing w:line="500" w:lineRule="exact"/>
        <w:ind w:right="57" w:firstLine="640" w:firstLineChars="200"/>
        <w:rPr>
          <w:rFonts w:ascii="黑体" w:hAnsi="仿宋" w:eastAsia="仿宋" w:cs="仿宋_GB2312"/>
          <w:szCs w:val="32"/>
        </w:rPr>
      </w:pPr>
    </w:p>
    <w:p w14:paraId="577EE9D9">
      <w:pPr>
        <w:adjustRightInd w:val="0"/>
        <w:spacing w:line="500" w:lineRule="exact"/>
        <w:ind w:right="57" w:firstLine="640" w:firstLineChars="200"/>
        <w:rPr>
          <w:rFonts w:ascii="仿宋_GB2312" w:hAnsi="仿宋" w:eastAsia="仿宋" w:cs="仿宋_GB2312"/>
          <w:szCs w:val="32"/>
        </w:rPr>
      </w:pPr>
      <w:r>
        <w:rPr>
          <w:rFonts w:hint="eastAsia" w:ascii="黑体" w:hAnsi="仿宋" w:eastAsia="仿宋" w:cs="仿宋_GB2312"/>
          <w:szCs w:val="32"/>
        </w:rPr>
        <w:t>第十一条</w:t>
      </w:r>
      <w:r>
        <w:rPr>
          <w:rFonts w:hint="eastAsia" w:ascii="仿宋_GB2312" w:hAnsi="仿宋" w:eastAsia="仿宋" w:cs="仿宋_GB2312"/>
          <w:szCs w:val="32"/>
        </w:rPr>
        <w:t xml:space="preserve"> 北京市教育委员会和北京市财政局组成北京市 “一带一路”国家人才培养基地项目领导小组（以下简称“项目领导小组”），负责项目建设的协调、指导、监督、检查和验收工作。该领导小组的办公室设在北京市教育委员会国际合作与交流处，负责项目经费标准的制定、项目立项、相关管理制度建设；组织项目评审，下达项目金额；</w:t>
      </w:r>
      <w:r>
        <w:rPr>
          <w:rFonts w:hint="eastAsia" w:ascii="仿宋_GB2312" w:hAnsi="仿宋" w:eastAsia="仿宋"/>
          <w:szCs w:val="32"/>
        </w:rPr>
        <w:t>指导项目学校检查、监督项目经费的预算管理、验收和绩效考评等工作</w:t>
      </w:r>
      <w:r>
        <w:rPr>
          <w:rFonts w:hint="eastAsia" w:ascii="仿宋_GB2312" w:hAnsi="仿宋" w:eastAsia="仿宋" w:cs="仿宋_GB2312"/>
          <w:szCs w:val="32"/>
        </w:rPr>
        <w:t>。</w:t>
      </w:r>
    </w:p>
    <w:p w14:paraId="5C4A895E">
      <w:pPr>
        <w:adjustRightInd w:val="0"/>
        <w:spacing w:line="500" w:lineRule="exact"/>
        <w:ind w:right="57"/>
        <w:rPr>
          <w:rFonts w:ascii="仿宋_GB2312" w:hAnsi="仿宋" w:eastAsia="仿宋"/>
          <w:szCs w:val="32"/>
        </w:rPr>
      </w:pPr>
      <w:r>
        <w:rPr>
          <w:rFonts w:hint="eastAsia" w:ascii="仿宋_GB2312" w:hAnsi="仿宋" w:eastAsia="仿宋" w:cs="仿宋_GB2312"/>
          <w:szCs w:val="32"/>
        </w:rPr>
        <w:t></w:t>
      </w:r>
      <w:r>
        <w:rPr>
          <w:rFonts w:hint="eastAsia" w:ascii="黑体" w:hAnsi="仿宋" w:eastAsia="仿宋" w:cs="仿宋_GB2312"/>
          <w:szCs w:val="32"/>
        </w:rPr>
        <w:t>第十二条</w:t>
      </w:r>
      <w:r>
        <w:rPr>
          <w:rFonts w:hint="eastAsia" w:ascii="仿宋_GB2312" w:hAnsi="仿宋" w:eastAsia="仿宋" w:cs="仿宋_GB2312"/>
          <w:szCs w:val="32"/>
        </w:rPr>
        <w:t xml:space="preserve"> 项目学校负责受理并审核学科专业建设项目申请、留学生来华学习申请、行业专家来京交流申请，向北京市教育委员会报送基地项目申请、项目资金发放、校内预算管理、监督和验收。项目学校应加强对本校基地项目的领导，按照有关要求，组织好项目的规划和论证，监督管理项目实施过程，并对项目完成情况进行验收，保证如期完成项目预期绩效目标。</w:t>
      </w:r>
    </w:p>
    <w:p w14:paraId="54B50665">
      <w:pPr>
        <w:adjustRightInd w:val="0"/>
        <w:spacing w:line="500" w:lineRule="exact"/>
        <w:ind w:right="57"/>
        <w:rPr>
          <w:rFonts w:ascii="仿宋_GB2312" w:hAnsi="仿宋" w:eastAsia="仿宋" w:cs="仿宋_GB2312"/>
          <w:szCs w:val="32"/>
        </w:rPr>
      </w:pPr>
      <w:r>
        <w:rPr>
          <w:rFonts w:hint="eastAsia" w:ascii="仿宋_GB2312" w:hAnsi="仿宋" w:eastAsia="仿宋" w:cs="仿宋_GB2312"/>
          <w:szCs w:val="32"/>
        </w:rPr>
        <w:t></w:t>
      </w:r>
      <w:r>
        <w:rPr>
          <w:rFonts w:hint="eastAsia" w:ascii="黑体" w:hAnsi="仿宋" w:eastAsia="仿宋" w:cs="仿宋_GB2312"/>
          <w:szCs w:val="32"/>
        </w:rPr>
        <w:t>第十三条</w:t>
      </w:r>
      <w:r>
        <w:rPr>
          <w:rFonts w:hint="eastAsia" w:ascii="仿宋_GB2312" w:hAnsi="仿宋" w:eastAsia="仿宋" w:cs="仿宋_GB2312"/>
          <w:b/>
          <w:szCs w:val="32"/>
        </w:rPr>
        <w:t xml:space="preserve"> </w:t>
      </w:r>
      <w:r>
        <w:rPr>
          <w:rFonts w:hint="eastAsia" w:ascii="仿宋_GB2312" w:hAnsi="仿宋" w:eastAsia="仿宋" w:cs="仿宋_GB2312"/>
          <w:szCs w:val="32"/>
        </w:rPr>
        <w:t>该项目由学校外事部门归口管理。各项目学校须将负责基地项目工作的外事部门名称、负责人和联系人上报北京市教育委员会国际合作与交流处备案。</w:t>
      </w:r>
    </w:p>
    <w:p w14:paraId="108291AA">
      <w:pPr>
        <w:tabs>
          <w:tab w:val="left" w:pos="1620"/>
        </w:tabs>
        <w:spacing w:line="500" w:lineRule="exact"/>
        <w:ind w:firstLine="640" w:firstLineChars="200"/>
        <w:rPr>
          <w:rFonts w:ascii="仿宋_GB2312" w:hAnsi="仿宋" w:eastAsia="仿宋"/>
          <w:szCs w:val="32"/>
        </w:rPr>
      </w:pPr>
      <w:r>
        <w:rPr>
          <w:rFonts w:hint="eastAsia" w:ascii="黑体" w:hAnsi="仿宋" w:eastAsia="仿宋" w:cs="仿宋_GB2312"/>
          <w:szCs w:val="32"/>
        </w:rPr>
        <w:t>第十四条</w:t>
      </w:r>
      <w:r>
        <w:rPr>
          <w:rFonts w:hint="eastAsia" w:ascii="仿宋_GB2312" w:hAnsi="仿宋" w:eastAsia="仿宋"/>
          <w:szCs w:val="32"/>
        </w:rPr>
        <w:t xml:space="preserve"> 该项目经费实行按2017年度申请，核定后拨款的方式进行，滚动支持三年。项目经费由学校财务部门独立建账，单独核算，专款专用。项目学校严格按照国家和北京市相关法律法规及本办法规定执行，加强对项目经费使用的监督管理，专款专用，不得挪用及随意改变项目支出内容。</w:t>
      </w:r>
    </w:p>
    <w:p w14:paraId="1314F2B8">
      <w:pPr>
        <w:tabs>
          <w:tab w:val="left" w:pos="1620"/>
        </w:tabs>
        <w:spacing w:line="500" w:lineRule="exact"/>
        <w:ind w:firstLine="636" w:firstLineChars="199"/>
        <w:rPr>
          <w:rFonts w:ascii="仿宋_GB2312" w:hAnsi="仿宋" w:eastAsia="仿宋"/>
          <w:szCs w:val="32"/>
        </w:rPr>
      </w:pPr>
      <w:r>
        <w:rPr>
          <w:rFonts w:hint="eastAsia" w:ascii="黑体" w:hAnsi="仿宋" w:eastAsia="仿宋" w:cs="仿宋_GB2312"/>
          <w:szCs w:val="32"/>
        </w:rPr>
        <w:t>第十五条</w:t>
      </w:r>
      <w:r>
        <w:rPr>
          <w:rFonts w:hint="eastAsia" w:ascii="仿宋_GB2312" w:hAnsi="仿宋" w:eastAsia="仿宋"/>
          <w:szCs w:val="32"/>
        </w:rPr>
        <w:t xml:space="preserve"> 北京市教育委员会将“一带一路”国家人才培养基地项目列入部门预算，申请北京市财政局拨付专项资金。</w:t>
      </w:r>
    </w:p>
    <w:p w14:paraId="253FEA99">
      <w:pPr>
        <w:tabs>
          <w:tab w:val="left" w:pos="1620"/>
        </w:tabs>
        <w:spacing w:line="500" w:lineRule="exact"/>
        <w:ind w:firstLine="640" w:firstLineChars="200"/>
        <w:rPr>
          <w:rFonts w:ascii="仿宋_GB2312" w:hAnsi="仿宋" w:eastAsia="仿宋"/>
          <w:szCs w:val="32"/>
        </w:rPr>
      </w:pPr>
      <w:r>
        <w:rPr>
          <w:rFonts w:hint="eastAsia" w:ascii="黑体" w:hAnsi="仿宋" w:eastAsia="仿宋" w:cs="仿宋_GB2312"/>
          <w:szCs w:val="32"/>
        </w:rPr>
        <w:t>第十六条</w:t>
      </w:r>
      <w:r>
        <w:rPr>
          <w:rFonts w:hint="eastAsia" w:ascii="仿宋_GB2312" w:hAnsi="仿宋" w:eastAsia="仿宋"/>
          <w:szCs w:val="32"/>
        </w:rPr>
        <w:t xml:space="preserve"> 项目实施过程中，项目内容一般不予调整，如确需进行调整，需报北京市教育委员会核定。</w:t>
      </w:r>
    </w:p>
    <w:p w14:paraId="371A4990">
      <w:pPr>
        <w:tabs>
          <w:tab w:val="left" w:pos="1620"/>
        </w:tabs>
        <w:spacing w:line="500" w:lineRule="exact"/>
        <w:ind w:firstLine="640" w:firstLineChars="200"/>
        <w:rPr>
          <w:rFonts w:ascii="仿宋_GB2312" w:hAnsi="仿宋" w:eastAsia="仿宋"/>
          <w:szCs w:val="32"/>
        </w:rPr>
      </w:pPr>
      <w:r>
        <w:rPr>
          <w:rFonts w:hint="eastAsia" w:ascii="黑体" w:hAnsi="仿宋" w:eastAsia="仿宋" w:cs="仿宋_GB2312"/>
          <w:szCs w:val="32"/>
        </w:rPr>
        <w:t>第十七条</w:t>
      </w:r>
      <w:r>
        <w:rPr>
          <w:rFonts w:hint="eastAsia" w:ascii="仿宋_GB2312" w:hAnsi="仿宋" w:eastAsia="仿宋"/>
          <w:szCs w:val="32"/>
        </w:rPr>
        <w:t xml:space="preserve"> 项目年度执行过程中，如有结余资金，依据《北京市市级行政事业单位财政性结余资金管理办法》的有关规定执行。</w:t>
      </w:r>
    </w:p>
    <w:p w14:paraId="3C3DCE7C">
      <w:pPr>
        <w:tabs>
          <w:tab w:val="left" w:pos="1620"/>
        </w:tabs>
        <w:spacing w:line="500" w:lineRule="exact"/>
        <w:ind w:firstLine="640" w:firstLineChars="200"/>
        <w:rPr>
          <w:rFonts w:ascii="仿宋_GB2312" w:hAnsi="仿宋" w:eastAsia="仿宋"/>
          <w:szCs w:val="32"/>
        </w:rPr>
      </w:pPr>
      <w:r>
        <w:rPr>
          <w:rFonts w:hint="eastAsia" w:ascii="黑体" w:hAnsi="仿宋" w:eastAsia="仿宋" w:cs="仿宋_GB2312"/>
          <w:szCs w:val="32"/>
        </w:rPr>
        <w:t>第十八条</w:t>
      </w:r>
      <w:r>
        <w:rPr>
          <w:rFonts w:hint="eastAsia" w:ascii="仿宋_GB2312" w:hAnsi="仿宋" w:eastAsia="仿宋"/>
          <w:szCs w:val="32"/>
        </w:rPr>
        <w:t xml:space="preserve"> 项目纳入部门绩效管理范围。</w:t>
      </w:r>
    </w:p>
    <w:p w14:paraId="4E078E73">
      <w:pPr>
        <w:tabs>
          <w:tab w:val="left" w:pos="1620"/>
        </w:tabs>
        <w:spacing w:line="500" w:lineRule="exact"/>
        <w:ind w:firstLine="640" w:firstLineChars="200"/>
        <w:rPr>
          <w:rFonts w:ascii="仿宋_GB2312" w:hAnsi="仿宋" w:eastAsia="仿宋"/>
          <w:szCs w:val="32"/>
        </w:rPr>
      </w:pPr>
    </w:p>
    <w:p w14:paraId="7B7AA6FC">
      <w:pPr>
        <w:adjustRightInd w:val="0"/>
        <w:spacing w:line="500" w:lineRule="exact"/>
        <w:ind w:right="57"/>
        <w:jc w:val="center"/>
        <w:rPr>
          <w:rFonts w:ascii="黑体" w:hAnsi="新宋体" w:eastAsia="仿宋"/>
          <w:bCs/>
          <w:szCs w:val="32"/>
        </w:rPr>
      </w:pPr>
      <w:r>
        <w:rPr>
          <w:rFonts w:hint="eastAsia" w:ascii="黑体" w:hAnsi="新宋体" w:eastAsia="仿宋"/>
          <w:bCs/>
          <w:szCs w:val="32"/>
        </w:rPr>
        <w:t>第五章 验收与监督</w:t>
      </w:r>
    </w:p>
    <w:p w14:paraId="2D18A374">
      <w:pPr>
        <w:spacing w:line="500" w:lineRule="exact"/>
        <w:ind w:firstLine="640" w:firstLineChars="200"/>
        <w:rPr>
          <w:rFonts w:ascii="黑体" w:hAnsi="仿宋" w:eastAsia="仿宋" w:cs="仿宋_GB2312"/>
          <w:szCs w:val="32"/>
        </w:rPr>
      </w:pPr>
    </w:p>
    <w:p w14:paraId="6AF8C976">
      <w:pPr>
        <w:spacing w:line="500" w:lineRule="exact"/>
        <w:ind w:firstLine="640" w:firstLineChars="200"/>
        <w:rPr>
          <w:rFonts w:ascii="仿宋_GB2312" w:hAnsi="仿宋" w:eastAsia="仿宋"/>
          <w:szCs w:val="32"/>
        </w:rPr>
      </w:pPr>
      <w:r>
        <w:rPr>
          <w:rFonts w:hint="eastAsia" w:ascii="黑体" w:hAnsi="仿宋" w:eastAsia="仿宋" w:cs="仿宋_GB2312"/>
          <w:szCs w:val="32"/>
        </w:rPr>
        <w:t>第十九条</w:t>
      </w:r>
      <w:r>
        <w:rPr>
          <w:rFonts w:hint="eastAsia" w:ascii="仿宋_GB2312" w:hAnsi="仿宋" w:eastAsia="仿宋"/>
          <w:szCs w:val="32"/>
        </w:rPr>
        <w:t xml:space="preserve"> 项目学校负责本校项目经费执行情况验收。对项目的完成情况以及经费使用情况等进行验收。项目验收要列入学校的绩效管理范围并在北京市教育委员会规定的时间内完成。</w:t>
      </w:r>
    </w:p>
    <w:p w14:paraId="0DA04568">
      <w:pPr>
        <w:tabs>
          <w:tab w:val="left" w:pos="1620"/>
        </w:tabs>
        <w:spacing w:line="500" w:lineRule="exact"/>
        <w:ind w:firstLine="640" w:firstLineChars="200"/>
        <w:rPr>
          <w:rFonts w:ascii="仿宋_GB2312" w:hAnsi="仿宋" w:eastAsia="仿宋"/>
          <w:szCs w:val="32"/>
        </w:rPr>
      </w:pPr>
      <w:r>
        <w:rPr>
          <w:rFonts w:hint="eastAsia" w:ascii="黑体" w:hAnsi="仿宋" w:eastAsia="仿宋" w:cs="仿宋_GB2312"/>
          <w:szCs w:val="32"/>
        </w:rPr>
        <w:t>第二十条</w:t>
      </w:r>
      <w:r>
        <w:rPr>
          <w:rFonts w:hint="eastAsia" w:ascii="仿宋_GB2312" w:hAnsi="仿宋" w:eastAsia="仿宋" w:cs="仿宋_GB2312"/>
          <w:b/>
          <w:szCs w:val="32"/>
        </w:rPr>
        <w:t xml:space="preserve"> </w:t>
      </w:r>
      <w:r>
        <w:rPr>
          <w:rFonts w:hint="eastAsia" w:ascii="仿宋_GB2312" w:hAnsi="仿宋" w:eastAsia="仿宋"/>
          <w:szCs w:val="32"/>
        </w:rPr>
        <w:t xml:space="preserve">项目领导小组对学校验收情况进行抽查。对项目的总体效益和有关项目的实施情况进行评估；评估结果作为第二年项目经费发放的重要依据，以保证项目经费使用效益和设立目标的实现。 </w:t>
      </w:r>
    </w:p>
    <w:p w14:paraId="4AADA6C9">
      <w:pPr>
        <w:tabs>
          <w:tab w:val="left" w:pos="1620"/>
        </w:tabs>
        <w:spacing w:line="500" w:lineRule="exact"/>
        <w:ind w:firstLine="640" w:firstLineChars="200"/>
        <w:rPr>
          <w:rFonts w:ascii="仿宋_GB2312" w:hAnsi="仿宋" w:eastAsia="仿宋"/>
          <w:szCs w:val="32"/>
        </w:rPr>
      </w:pPr>
      <w:r>
        <w:rPr>
          <w:rFonts w:hint="eastAsia" w:ascii="黑体" w:hAnsi="仿宋" w:eastAsia="仿宋" w:cs="仿宋_GB2312"/>
          <w:szCs w:val="32"/>
        </w:rPr>
        <w:t>第二十一条</w:t>
      </w:r>
      <w:r>
        <w:rPr>
          <w:rFonts w:hint="eastAsia" w:ascii="黑体" w:hAnsi="仿宋" w:eastAsia="仿宋"/>
          <w:szCs w:val="32"/>
        </w:rPr>
        <w:t xml:space="preserve"> </w:t>
      </w:r>
      <w:r>
        <w:rPr>
          <w:rFonts w:hint="eastAsia" w:ascii="仿宋_GB2312" w:hAnsi="仿宋" w:eastAsia="仿宋"/>
          <w:szCs w:val="32"/>
        </w:rPr>
        <w:t>项目应接受主管单位、财政、审计、纪检、监察等部门的检查和监督。</w:t>
      </w:r>
    </w:p>
    <w:p w14:paraId="0E59934C">
      <w:pPr>
        <w:tabs>
          <w:tab w:val="left" w:pos="1620"/>
        </w:tabs>
        <w:spacing w:line="500" w:lineRule="exact"/>
        <w:ind w:firstLine="640" w:firstLineChars="200"/>
        <w:rPr>
          <w:rFonts w:ascii="仿宋_GB2312" w:hAnsi="仿宋" w:eastAsia="仿宋"/>
          <w:szCs w:val="32"/>
        </w:rPr>
      </w:pPr>
    </w:p>
    <w:p w14:paraId="0667A824">
      <w:pPr>
        <w:spacing w:line="500" w:lineRule="exact"/>
        <w:jc w:val="center"/>
        <w:rPr>
          <w:rFonts w:ascii="黑体" w:hAnsi="新宋体" w:eastAsia="仿宋"/>
          <w:szCs w:val="32"/>
        </w:rPr>
      </w:pPr>
      <w:r>
        <w:rPr>
          <w:rFonts w:hint="eastAsia" w:ascii="黑体" w:hAnsi="新宋体" w:eastAsia="仿宋"/>
          <w:szCs w:val="32"/>
        </w:rPr>
        <w:t>第六章 附　则</w:t>
      </w:r>
    </w:p>
    <w:p w14:paraId="4CE61BD5">
      <w:pPr>
        <w:tabs>
          <w:tab w:val="left" w:pos="1620"/>
        </w:tabs>
        <w:spacing w:line="500" w:lineRule="exact"/>
        <w:ind w:firstLine="636" w:firstLineChars="199"/>
        <w:rPr>
          <w:rFonts w:ascii="黑体" w:hAnsi="仿宋" w:eastAsia="仿宋" w:cs="仿宋_GB2312"/>
          <w:szCs w:val="32"/>
        </w:rPr>
      </w:pPr>
    </w:p>
    <w:p w14:paraId="3F5B778A">
      <w:pPr>
        <w:tabs>
          <w:tab w:val="left" w:pos="1620"/>
        </w:tabs>
        <w:spacing w:line="500" w:lineRule="exact"/>
        <w:ind w:firstLine="636" w:firstLineChars="199"/>
        <w:rPr>
          <w:rFonts w:ascii="仿宋_GB2312" w:hAnsi="仿宋" w:eastAsia="仿宋"/>
          <w:szCs w:val="32"/>
        </w:rPr>
      </w:pPr>
      <w:r>
        <w:rPr>
          <w:rFonts w:hint="eastAsia" w:ascii="黑体" w:hAnsi="仿宋" w:eastAsia="仿宋" w:cs="仿宋_GB2312"/>
          <w:szCs w:val="32"/>
        </w:rPr>
        <w:t>第二十二条</w:t>
      </w:r>
      <w:r>
        <w:rPr>
          <w:rFonts w:hint="eastAsia" w:ascii="仿宋_GB2312" w:hAnsi="仿宋" w:eastAsia="仿宋"/>
          <w:szCs w:val="32"/>
        </w:rPr>
        <w:t xml:space="preserve"> 本办法由北京市教育委员会和北京市财政局负责解释。</w:t>
      </w:r>
    </w:p>
    <w:p w14:paraId="29A34B7B">
      <w:pPr>
        <w:tabs>
          <w:tab w:val="left" w:pos="1620"/>
        </w:tabs>
        <w:spacing w:line="500" w:lineRule="exact"/>
        <w:ind w:firstLine="636" w:firstLineChars="199"/>
        <w:rPr>
          <w:rFonts w:ascii="仿宋_GB2312" w:hAnsi="仿宋" w:eastAsia="仿宋"/>
          <w:szCs w:val="32"/>
        </w:rPr>
      </w:pPr>
      <w:r>
        <w:rPr>
          <w:rFonts w:hint="eastAsia" w:ascii="黑体" w:hAnsi="仿宋" w:eastAsia="仿宋"/>
          <w:szCs w:val="32"/>
        </w:rPr>
        <w:t>第二十三条</w:t>
      </w:r>
      <w:r>
        <w:rPr>
          <w:rFonts w:hint="eastAsia" w:ascii="仿宋_GB2312" w:hAnsi="仿宋" w:eastAsia="仿宋"/>
          <w:b/>
          <w:szCs w:val="32"/>
        </w:rPr>
        <w:t xml:space="preserve"> </w:t>
      </w:r>
      <w:r>
        <w:rPr>
          <w:rFonts w:hint="eastAsia" w:ascii="仿宋_GB2312" w:hAnsi="仿宋" w:eastAsia="仿宋"/>
          <w:szCs w:val="32"/>
        </w:rPr>
        <w:t>本管理办法自2017年7月5日起施行。</w:t>
      </w:r>
    </w:p>
    <w:p w14:paraId="33F6413C">
      <w:pPr>
        <w:spacing w:line="580" w:lineRule="exact"/>
        <w:ind w:left="-3" w:leftChars="-1" w:right="640" w:rightChars="200" w:firstLine="2"/>
        <w:jc w:val="center"/>
        <w:rPr>
          <w:rFonts w:ascii="仿宋_GB2312" w:eastAsia="仿宋"/>
          <w:sz w:val="28"/>
          <w:szCs w:val="28"/>
        </w:rPr>
      </w:pPr>
    </w:p>
    <w:p w14:paraId="5DE39925">
      <w:pPr>
        <w:spacing w:line="580" w:lineRule="exact"/>
        <w:ind w:left="-3" w:leftChars="-1" w:right="640" w:rightChars="200" w:firstLine="2"/>
        <w:jc w:val="center"/>
        <w:rPr>
          <w:rFonts w:ascii="仿宋_GB2312" w:eastAsia="仿宋"/>
          <w:sz w:val="28"/>
          <w:szCs w:val="28"/>
        </w:rPr>
      </w:pPr>
    </w:p>
    <w:p w14:paraId="427B63FC">
      <w:pPr>
        <w:spacing w:line="580" w:lineRule="exact"/>
        <w:ind w:left="-3" w:leftChars="-1" w:right="640" w:rightChars="200" w:firstLine="2"/>
        <w:jc w:val="center"/>
        <w:rPr>
          <w:rFonts w:ascii="仿宋_GB2312" w:eastAsia="仿宋"/>
          <w:sz w:val="28"/>
          <w:szCs w:val="28"/>
        </w:rPr>
      </w:pPr>
    </w:p>
    <w:p w14:paraId="389C2E63">
      <w:pPr>
        <w:rPr>
          <w:rFonts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246C"/>
    <w:rsid w:val="00A83FF4"/>
    <w:rsid w:val="00B166E5"/>
    <w:rsid w:val="00B9246C"/>
    <w:rsid w:val="11FE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3400</Words>
  <Characters>3583</Characters>
  <Lines>26</Lines>
  <Paragraphs>7</Paragraphs>
  <TotalTime>2</TotalTime>
  <ScaleCrop>false</ScaleCrop>
  <LinksUpToDate>false</LinksUpToDate>
  <CharactersWithSpaces>3621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2017-12-26T02:44:00Z</dcterms:created>
  <dc:creator>user</dc:creator>
  <cp:lastModifiedBy>真·大型肉食动物饲养员</cp:lastModifiedBy>
  <dcterms:modified xsi:type="dcterms:W3CDTF">2024-12-13T09:05:12Z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DDFE296640ED48FDA8C6E278147F5AF3_12</vt:lpwstr>
  </property>
</Properties>
</file>