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4C914">
      <w:pPr>
        <w:widowControl/>
        <w:spacing w:line="560" w:lineRule="exact"/>
        <w:jc w:val="left"/>
        <w:rPr>
          <w:rFonts w:eastAsia="黑体"/>
        </w:rPr>
      </w:pPr>
      <w:bookmarkStart w:id="0" w:name="_Toc33691081"/>
      <w:bookmarkStart w:id="1" w:name="_Toc1296850760"/>
      <w:bookmarkStart w:id="2" w:name="_Toc348738991"/>
      <w:bookmarkStart w:id="3" w:name="_Toc1429351679"/>
      <w:bookmarkStart w:id="4" w:name="_Toc1856165500"/>
      <w:bookmarkStart w:id="5" w:name="_Toc1003869616"/>
      <w:r>
        <w:rPr>
          <w:rFonts w:hint="eastAsia" w:eastAsia="黑体"/>
        </w:rPr>
        <w:t>附件</w:t>
      </w:r>
    </w:p>
    <w:p w14:paraId="3BBDFB5E">
      <w:pPr>
        <w:widowControl/>
        <w:spacing w:line="560" w:lineRule="exact"/>
        <w:jc w:val="left"/>
        <w:rPr>
          <w:rFonts w:eastAsia="黑体"/>
        </w:rPr>
      </w:pPr>
    </w:p>
    <w:p w14:paraId="755E7939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bidi="ar"/>
        </w:rPr>
        <w:t>全国学生“学宪法 讲宪法”比赛之</w:t>
      </w:r>
    </w:p>
    <w:p w14:paraId="4E6E2978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bidi="ar"/>
        </w:rPr>
        <w:t>法治素养能力大赛赛制</w:t>
      </w:r>
    </w:p>
    <w:p w14:paraId="57F14915">
      <w:pPr>
        <w:spacing w:line="560" w:lineRule="exact"/>
        <w:ind w:firstLine="737"/>
        <w:outlineLvl w:val="1"/>
        <w:rPr>
          <w:rFonts w:eastAsia="黑体"/>
          <w:szCs w:val="32"/>
        </w:rPr>
      </w:pPr>
      <w:bookmarkStart w:id="6" w:name="_GoBack"/>
      <w:bookmarkEnd w:id="6"/>
    </w:p>
    <w:p w14:paraId="391E7746">
      <w:pPr>
        <w:spacing w:line="560" w:lineRule="exact"/>
        <w:ind w:firstLine="737"/>
        <w:outlineLvl w:val="1"/>
        <w:rPr>
          <w:rFonts w:eastAsia="黑体"/>
          <w:szCs w:val="32"/>
        </w:rPr>
      </w:pPr>
      <w:r>
        <w:rPr>
          <w:rFonts w:hint="eastAsia" w:eastAsia="黑体"/>
          <w:szCs w:val="32"/>
        </w:rPr>
        <w:t>一、参赛对象</w:t>
      </w:r>
    </w:p>
    <w:p w14:paraId="6587D8AF">
      <w:pPr>
        <w:spacing w:line="560" w:lineRule="exact"/>
        <w:ind w:firstLine="640"/>
        <w:rPr>
          <w:rFonts w:hint="eastAsia" w:ascii="仿宋_GB2312" w:hAnsi="宋体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法治素养能力大赛面向教育系统各级各类学校开展，参赛选手应为全日</w:t>
      </w:r>
      <w:r>
        <w:rPr>
          <w:rFonts w:hint="eastAsia" w:ascii="仿宋_GB2312" w:hAnsi="宋体" w:cs="仿宋_GB2312"/>
          <w:szCs w:val="32"/>
        </w:rPr>
        <w:t xml:space="preserve">制在校生，分小学组、初中组、高中组（含中职）、高校专业组和高校业余组共5个组别，选手所在学段以2026年9月以后为准。两个高校组均为本科生或专科生参加，不包括研究生。其中业余组限0301法学类、3804法律事务类、3805法律执行类本科，以及5804法律实务类、5805法律执行类专科以外专业的学生参加。 </w:t>
      </w:r>
    </w:p>
    <w:bookmarkEnd w:id="0"/>
    <w:bookmarkEnd w:id="1"/>
    <w:bookmarkEnd w:id="2"/>
    <w:bookmarkEnd w:id="3"/>
    <w:bookmarkEnd w:id="4"/>
    <w:bookmarkEnd w:id="5"/>
    <w:p w14:paraId="40C5840E">
      <w:pPr>
        <w:spacing w:line="560" w:lineRule="exact"/>
        <w:ind w:firstLine="640" w:firstLineChars="200"/>
        <w:outlineLvl w:val="1"/>
        <w:rPr>
          <w:rFonts w:hint="eastAsia" w:eastAsia="黑体"/>
          <w:szCs w:val="32"/>
        </w:rPr>
      </w:pPr>
      <w:r>
        <w:rPr>
          <w:rFonts w:hint="eastAsia" w:eastAsia="黑体"/>
          <w:szCs w:val="32"/>
        </w:rPr>
        <w:t>二、比赛设计</w:t>
      </w:r>
    </w:p>
    <w:p w14:paraId="142B0BE2">
      <w:pPr>
        <w:spacing w:line="560" w:lineRule="exact"/>
        <w:ind w:firstLine="640" w:firstLineChars="200"/>
        <w:outlineLvl w:val="1"/>
        <w:rPr>
          <w:rFonts w:ascii="仿宋_GB2312" w:hAnsi="宋体" w:cs="仿宋_GB2312"/>
          <w:szCs w:val="32"/>
        </w:rPr>
      </w:pPr>
      <w:r>
        <w:rPr>
          <w:rFonts w:ascii="仿宋_GB2312" w:hAnsi="宋体" w:cs="仿宋_GB2312"/>
          <w:szCs w:val="32"/>
        </w:rPr>
        <w:t>1.</w:t>
      </w:r>
      <w:r>
        <w:rPr>
          <w:rFonts w:hint="eastAsia" w:ascii="仿宋_GB2312" w:hAnsi="宋体" w:cs="仿宋_GB2312"/>
          <w:szCs w:val="32"/>
        </w:rPr>
        <w:t>法治素养能力大赛包括主题阐释和即兴应用两个环节，均以个人为单位。</w:t>
      </w:r>
    </w:p>
    <w:p w14:paraId="1D11A14D">
      <w:pPr>
        <w:spacing w:line="560" w:lineRule="exact"/>
        <w:ind w:firstLine="640" w:firstLineChars="200"/>
        <w:outlineLvl w:val="1"/>
        <w:rPr>
          <w:rFonts w:ascii="仿宋_GB2312" w:hAnsi="宋体" w:cs="仿宋_GB2312"/>
          <w:szCs w:val="32"/>
        </w:rPr>
      </w:pPr>
      <w:r>
        <w:rPr>
          <w:rFonts w:ascii="仿宋_GB2312" w:hAnsi="宋体" w:cs="仿宋_GB2312"/>
          <w:szCs w:val="32"/>
        </w:rPr>
        <w:t>2.</w:t>
      </w:r>
      <w:r>
        <w:rPr>
          <w:rFonts w:hint="eastAsia" w:ascii="仿宋_GB2312" w:hAnsi="宋体" w:cs="仿宋_GB2312"/>
          <w:szCs w:val="32"/>
        </w:rPr>
        <w:t>主题阐释时间为</w:t>
      </w:r>
      <w:r>
        <w:rPr>
          <w:rFonts w:ascii="仿宋_GB2312" w:hAnsi="宋体" w:cs="仿宋_GB2312"/>
          <w:szCs w:val="32"/>
        </w:rPr>
        <w:t>4</w:t>
      </w:r>
      <w:r>
        <w:rPr>
          <w:rFonts w:hint="eastAsia" w:ascii="仿宋_GB2312" w:hAnsi="宋体" w:cs="仿宋_GB2312"/>
          <w:szCs w:val="32"/>
        </w:rPr>
        <w:t>至</w:t>
      </w:r>
      <w:r>
        <w:rPr>
          <w:rFonts w:ascii="仿宋_GB2312" w:hAnsi="宋体" w:cs="仿宋_GB2312"/>
          <w:szCs w:val="32"/>
        </w:rPr>
        <w:t>6</w:t>
      </w:r>
      <w:r>
        <w:rPr>
          <w:rFonts w:hint="eastAsia" w:ascii="仿宋_GB2312" w:hAnsi="宋体" w:cs="仿宋_GB2312"/>
          <w:szCs w:val="32"/>
        </w:rPr>
        <w:t>分钟，该轮比赛结束后，所有选手进入即兴应用环节。</w:t>
      </w:r>
    </w:p>
    <w:p w14:paraId="259AF347">
      <w:pPr>
        <w:spacing w:line="560" w:lineRule="exact"/>
        <w:ind w:firstLine="640" w:firstLineChars="200"/>
        <w:rPr>
          <w:rFonts w:ascii="仿宋_GB2312" w:hAnsi="宋体" w:cs="仿宋_GB2312"/>
          <w:szCs w:val="32"/>
        </w:rPr>
      </w:pPr>
      <w:r>
        <w:rPr>
          <w:rFonts w:ascii="仿宋_GB2312" w:hAnsi="宋体" w:cs="仿宋_GB2312"/>
          <w:szCs w:val="32"/>
        </w:rPr>
        <w:t>3.</w:t>
      </w:r>
      <w:r>
        <w:rPr>
          <w:rFonts w:hint="eastAsia" w:ascii="仿宋_GB2312" w:hAnsi="宋体" w:cs="仿宋_GB2312"/>
          <w:szCs w:val="32"/>
        </w:rPr>
        <w:t>即兴应用时间为</w:t>
      </w:r>
      <w:r>
        <w:rPr>
          <w:rFonts w:ascii="仿宋_GB2312" w:hAnsi="宋体" w:cs="仿宋_GB2312"/>
          <w:szCs w:val="32"/>
        </w:rPr>
        <w:t>3</w:t>
      </w:r>
      <w:r>
        <w:rPr>
          <w:rFonts w:hint="eastAsia" w:ascii="仿宋_GB2312" w:hAnsi="宋体" w:cs="仿宋_GB2312"/>
          <w:szCs w:val="32"/>
        </w:rPr>
        <w:t>至</w:t>
      </w:r>
      <w:r>
        <w:rPr>
          <w:rFonts w:ascii="仿宋_GB2312" w:hAnsi="宋体" w:cs="仿宋_GB2312"/>
          <w:szCs w:val="32"/>
        </w:rPr>
        <w:t>5</w:t>
      </w:r>
      <w:r>
        <w:rPr>
          <w:rFonts w:hint="eastAsia" w:ascii="仿宋_GB2312" w:hAnsi="宋体" w:cs="仿宋_GB2312"/>
          <w:szCs w:val="32"/>
        </w:rPr>
        <w:t>分钟。本环节专设备赛时段，在随机抽取题目后、正式比赛前安排</w:t>
      </w:r>
      <w:r>
        <w:rPr>
          <w:rFonts w:ascii="仿宋_GB2312" w:hAnsi="宋体" w:cs="仿宋_GB2312"/>
          <w:szCs w:val="32"/>
        </w:rPr>
        <w:t>45</w:t>
      </w:r>
      <w:r>
        <w:rPr>
          <w:rFonts w:hint="eastAsia" w:ascii="仿宋_GB2312" w:hAnsi="宋体" w:cs="仿宋_GB2312"/>
          <w:szCs w:val="32"/>
        </w:rPr>
        <w:t>分钟备赛时间（可以携带纸质版材料），其中前</w:t>
      </w:r>
      <w:r>
        <w:rPr>
          <w:rFonts w:ascii="仿宋_GB2312" w:hAnsi="宋体" w:cs="仿宋_GB2312"/>
          <w:szCs w:val="32"/>
        </w:rPr>
        <w:t>25</w:t>
      </w:r>
      <w:r>
        <w:rPr>
          <w:rFonts w:hint="eastAsia" w:ascii="仿宋_GB2312" w:hAnsi="宋体" w:cs="仿宋_GB2312"/>
          <w:szCs w:val="32"/>
        </w:rPr>
        <w:t>分钟由指导教师与选手共同备赛，后</w:t>
      </w:r>
      <w:r>
        <w:rPr>
          <w:rFonts w:ascii="仿宋_GB2312" w:hAnsi="宋体" w:cs="仿宋_GB2312"/>
          <w:szCs w:val="32"/>
        </w:rPr>
        <w:t>20</w:t>
      </w:r>
      <w:r>
        <w:rPr>
          <w:rFonts w:hint="eastAsia" w:ascii="仿宋_GB2312" w:hAnsi="宋体" w:cs="仿宋_GB2312"/>
          <w:szCs w:val="32"/>
        </w:rPr>
        <w:t>分钟由选手单独备赛，确保选手充分发挥水平。</w:t>
      </w:r>
    </w:p>
    <w:p w14:paraId="72217AB2">
      <w:pPr>
        <w:spacing w:line="560" w:lineRule="exact"/>
        <w:ind w:firstLine="640" w:firstLineChars="200"/>
        <w:rPr>
          <w:rFonts w:ascii="仿宋_GB2312" w:hAnsi="宋体" w:cs="仿宋_GB2312"/>
          <w:szCs w:val="32"/>
        </w:rPr>
      </w:pPr>
      <w:r>
        <w:rPr>
          <w:rFonts w:hint="eastAsia" w:ascii="仿宋_GB2312" w:hAnsi="宋体" w:cs="仿宋_GB2312"/>
          <w:szCs w:val="32"/>
        </w:rPr>
        <w:t>本环节选手陈述完毕后，评委将围绕选手抽取的选题，针对性提出</w:t>
      </w:r>
      <w:r>
        <w:rPr>
          <w:rFonts w:ascii="仿宋_GB2312" w:hAnsi="宋体" w:cs="仿宋_GB2312"/>
          <w:szCs w:val="32"/>
        </w:rPr>
        <w:t>1</w:t>
      </w:r>
      <w:r>
        <w:rPr>
          <w:rFonts w:hint="eastAsia" w:ascii="仿宋_GB2312" w:hAnsi="宋体" w:cs="仿宋_GB2312"/>
          <w:szCs w:val="32"/>
        </w:rPr>
        <w:t>—</w:t>
      </w:r>
      <w:r>
        <w:rPr>
          <w:rFonts w:ascii="仿宋_GB2312" w:hAnsi="宋体" w:cs="仿宋_GB2312"/>
          <w:szCs w:val="32"/>
        </w:rPr>
        <w:t>2</w:t>
      </w:r>
      <w:r>
        <w:rPr>
          <w:rFonts w:hint="eastAsia" w:ascii="仿宋_GB2312" w:hAnsi="宋体" w:cs="仿宋_GB2312"/>
          <w:szCs w:val="32"/>
        </w:rPr>
        <w:t>个问题，由选手作答。选手回答的内容将作为本环节的一部分进行整体评分。</w:t>
      </w:r>
    </w:p>
    <w:p w14:paraId="198E38D2">
      <w:pPr>
        <w:spacing w:line="560" w:lineRule="exact"/>
        <w:ind w:firstLine="640" w:firstLineChars="200"/>
        <w:outlineLvl w:val="1"/>
        <w:rPr>
          <w:szCs w:val="32"/>
        </w:rPr>
      </w:pPr>
      <w:r>
        <w:rPr>
          <w:rFonts w:hint="eastAsia" w:eastAsia="黑体"/>
          <w:szCs w:val="32"/>
        </w:rPr>
        <w:t>三、参赛要求</w:t>
      </w:r>
    </w:p>
    <w:p w14:paraId="3D54FD7B">
      <w:pPr>
        <w:overflowPunct w:val="0"/>
        <w:adjustRightInd w:val="0"/>
        <w:snapToGrid w:val="0"/>
        <w:spacing w:line="560" w:lineRule="exact"/>
        <w:ind w:firstLine="640" w:firstLineChars="200"/>
        <w:rPr>
          <w:rFonts w:ascii="楷体_GB2312" w:hAnsi="楷体" w:eastAsia="楷体_GB2312" w:cs="楷体"/>
          <w:szCs w:val="32"/>
        </w:rPr>
      </w:pPr>
      <w:r>
        <w:rPr>
          <w:rFonts w:hint="eastAsia" w:ascii="楷体_GB2312" w:hAnsi="楷体" w:eastAsia="楷体_GB2312" w:cs="楷体"/>
          <w:szCs w:val="32"/>
        </w:rPr>
        <w:t>（一）内容要求</w:t>
      </w:r>
    </w:p>
    <w:p w14:paraId="6A10ACC3">
      <w:pPr>
        <w:spacing w:line="560" w:lineRule="exact"/>
        <w:ind w:firstLine="640" w:firstLineChars="200"/>
        <w:rPr>
          <w:rFonts w:hint="eastAsia" w:ascii="仿宋_GB2312" w:hAnsi="宋体" w:cs="仿宋_GB2312"/>
          <w:szCs w:val="32"/>
        </w:rPr>
      </w:pPr>
      <w:r>
        <w:rPr>
          <w:rFonts w:ascii="仿宋_GB2312" w:hAnsi="宋体" w:cs="仿宋_GB2312"/>
          <w:szCs w:val="32"/>
        </w:rPr>
        <w:t>1.</w:t>
      </w:r>
      <w:r>
        <w:rPr>
          <w:rFonts w:hint="eastAsia" w:ascii="仿宋_GB2312" w:hAnsi="宋体" w:cs="仿宋_GB2312"/>
          <w:szCs w:val="32"/>
        </w:rPr>
        <w:t>主题阐释环节参赛选手围绕组委会指定的法治主题范围，紧扣宪法精神与法治内涵，结合自身学习、生活、法治实践经历，从宪法法治热点、案例故事等方面切入，谈对宪法精神、法治原则、法律规定的理解与认识。评分重点为主题契合度、内容准确性、宪法法治内涵理解的深度、结合实际的贴合度等，而非语言表演技巧，避免空洞化、形式化表达。</w:t>
      </w:r>
    </w:p>
    <w:p w14:paraId="0C9656C7">
      <w:pPr>
        <w:spacing w:line="56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ascii="仿宋_GB2312" w:hAnsi="宋体" w:cs="仿宋_GB2312"/>
          <w:szCs w:val="32"/>
        </w:rPr>
        <w:t>2.</w:t>
      </w:r>
      <w:r>
        <w:rPr>
          <w:rFonts w:hint="eastAsia" w:ascii="仿宋_GB2312" w:hAnsi="宋体" w:cs="仿宋_GB2312"/>
          <w:szCs w:val="32"/>
        </w:rPr>
        <w:t>即兴应用环节围绕组委会统一命题展开，由选手现场抽取题目。题目为青少年校园生活、家庭生活、社会生活中的法治情景案例，要求选手紧扣案例，准确引用法律条款，运用法治思维</w:t>
      </w:r>
      <w:r>
        <w:rPr>
          <w:rFonts w:hint="eastAsia" w:cs="仿宋_GB2312"/>
          <w:szCs w:val="32"/>
        </w:rPr>
        <w:t>和法治方式解决问题，避免套话空话，重点考核选手的综合法治素养。</w:t>
      </w:r>
      <w:r>
        <w:rPr>
          <w:rFonts w:cs="仿宋_GB2312"/>
          <w:szCs w:val="32"/>
        </w:rPr>
        <w:t xml:space="preserve"> </w:t>
      </w:r>
    </w:p>
    <w:p w14:paraId="22DAB50D">
      <w:pPr>
        <w:spacing w:line="560" w:lineRule="exact"/>
        <w:ind w:firstLine="640" w:firstLineChars="200"/>
        <w:outlineLvl w:val="1"/>
        <w:rPr>
          <w:rFonts w:cs="仿宋_GB2312"/>
          <w:szCs w:val="32"/>
        </w:rPr>
      </w:pPr>
      <w:r>
        <w:rPr>
          <w:rFonts w:hint="eastAsia"/>
          <w:szCs w:val="32"/>
        </w:rPr>
        <w:t>参与备赛的指导教师应重点帮助选手准确破题、筛选素材，引导选手围绕主题深入思考、形成个人理解与感悟，避免出现套题、硬背等情况。</w:t>
      </w:r>
    </w:p>
    <w:p w14:paraId="1B9D19A1">
      <w:pPr>
        <w:overflowPunct w:val="0"/>
        <w:adjustRightInd w:val="0"/>
        <w:snapToGrid w:val="0"/>
        <w:spacing w:line="560" w:lineRule="exact"/>
        <w:ind w:firstLine="640" w:firstLineChars="200"/>
        <w:rPr>
          <w:rFonts w:ascii="楷体_GB2312" w:hAnsi="楷体" w:eastAsia="楷体_GB2312" w:cs="楷体"/>
          <w:szCs w:val="32"/>
        </w:rPr>
      </w:pPr>
      <w:r>
        <w:rPr>
          <w:rFonts w:hint="eastAsia" w:ascii="楷体_GB2312" w:hAnsi="楷体" w:eastAsia="楷体_GB2312" w:cs="楷体"/>
          <w:szCs w:val="32"/>
        </w:rPr>
        <w:t>（二）形式要求</w:t>
      </w:r>
    </w:p>
    <w:p w14:paraId="7DB68059">
      <w:pPr>
        <w:spacing w:line="560" w:lineRule="exact"/>
        <w:ind w:firstLine="640" w:firstLineChars="200"/>
        <w:outlineLvl w:val="1"/>
        <w:rPr>
          <w:rFonts w:hint="eastAsia"/>
          <w:szCs w:val="32"/>
        </w:rPr>
      </w:pPr>
      <w:r>
        <w:rPr>
          <w:rFonts w:hint="eastAsia"/>
          <w:szCs w:val="32"/>
        </w:rPr>
        <w:t>参赛选手需站立式独立完成，不可使用</w:t>
      </w:r>
      <w:r>
        <w:rPr>
          <w:szCs w:val="32"/>
        </w:rPr>
        <w:t>PPT</w:t>
      </w:r>
      <w:r>
        <w:rPr>
          <w:rFonts w:hint="eastAsia"/>
          <w:szCs w:val="32"/>
        </w:rPr>
        <w:t>、音乐、虚拟背景或视频等多媒体素材，不可使用辅助道具或器材；需使用普通话。</w:t>
      </w:r>
    </w:p>
    <w:p w14:paraId="2943F1C9">
      <w:pPr>
        <w:overflowPunct w:val="0"/>
        <w:adjustRightInd w:val="0"/>
        <w:snapToGrid w:val="0"/>
        <w:spacing w:line="560" w:lineRule="exact"/>
        <w:ind w:firstLine="640" w:firstLineChars="200"/>
        <w:rPr>
          <w:rFonts w:ascii="楷体_GB2312" w:hAnsi="楷体" w:eastAsia="楷体_GB2312" w:cs="楷体"/>
          <w:szCs w:val="32"/>
        </w:rPr>
      </w:pPr>
      <w:r>
        <w:rPr>
          <w:rFonts w:hint="eastAsia" w:ascii="楷体_GB2312" w:hAnsi="楷体" w:eastAsia="楷体_GB2312" w:cs="楷体"/>
          <w:szCs w:val="32"/>
        </w:rPr>
        <w:t>（三）其他要求</w:t>
      </w:r>
    </w:p>
    <w:p w14:paraId="7E0EA799">
      <w:pPr>
        <w:spacing w:line="560" w:lineRule="exact"/>
        <w:ind w:firstLine="640" w:firstLineChars="200"/>
        <w:outlineLvl w:val="1"/>
        <w:rPr>
          <w:rFonts w:hint="eastAsia"/>
          <w:szCs w:val="32"/>
        </w:rPr>
      </w:pPr>
      <w:r>
        <w:rPr>
          <w:rFonts w:hint="eastAsia"/>
          <w:szCs w:val="32"/>
        </w:rPr>
        <w:t>一经发现并确认参赛选手存在抄袭或者其他违反比赛纪律行为的，组委会有权取消其参赛资格，已经获得奖项的，撤销其奖项，并通报其所在单位。</w:t>
      </w:r>
    </w:p>
    <w:p w14:paraId="57560159">
      <w:pPr>
        <w:spacing w:line="560" w:lineRule="exact"/>
        <w:ind w:firstLine="640" w:firstLineChars="200"/>
        <w:outlineLvl w:val="1"/>
        <w:rPr>
          <w:rFonts w:eastAsia="黑体"/>
          <w:szCs w:val="32"/>
        </w:rPr>
      </w:pPr>
      <w:r>
        <w:rPr>
          <w:rFonts w:hint="eastAsia" w:eastAsia="黑体"/>
          <w:szCs w:val="32"/>
        </w:rPr>
        <w:t>四、赛程安排</w:t>
      </w:r>
    </w:p>
    <w:p w14:paraId="3F8F8F0A">
      <w:pPr>
        <w:overflowPunct w:val="0"/>
        <w:adjustRightInd w:val="0"/>
        <w:snapToGrid w:val="0"/>
        <w:spacing w:line="560" w:lineRule="exact"/>
        <w:ind w:firstLine="640" w:firstLineChars="200"/>
        <w:rPr>
          <w:rFonts w:ascii="楷体_GB2312" w:hAnsi="楷体" w:eastAsia="楷体_GB2312" w:cs="楷体"/>
          <w:szCs w:val="32"/>
        </w:rPr>
      </w:pPr>
      <w:r>
        <w:rPr>
          <w:rFonts w:hint="eastAsia" w:ascii="楷体_GB2312" w:hAnsi="楷体" w:eastAsia="楷体_GB2312" w:cs="楷体"/>
          <w:szCs w:val="32"/>
        </w:rPr>
        <w:t>（一）初赛（2026年10月中旬前）</w:t>
      </w:r>
    </w:p>
    <w:p w14:paraId="534BA4B9">
      <w:pPr>
        <w:spacing w:line="560" w:lineRule="exact"/>
        <w:ind w:firstLine="640"/>
        <w:rPr>
          <w:rFonts w:hint="eastAsia"/>
          <w:szCs w:val="32"/>
        </w:rPr>
      </w:pPr>
      <w:r>
        <w:rPr>
          <w:b/>
          <w:bCs/>
          <w:kern w:val="0"/>
          <w:szCs w:val="32"/>
          <w:shd w:val="clear" w:color="auto" w:fill="FFFFFF"/>
          <w:lang w:bidi="ar"/>
        </w:rPr>
        <w:t>1.</w:t>
      </w:r>
      <w:r>
        <w:rPr>
          <w:rFonts w:hint="eastAsia"/>
          <w:b/>
          <w:bCs/>
          <w:kern w:val="0"/>
          <w:szCs w:val="32"/>
          <w:shd w:val="clear" w:color="auto" w:fill="FFFFFF"/>
          <w:lang w:bidi="ar"/>
        </w:rPr>
        <w:t>地方比赛及省级推荐。</w:t>
      </w:r>
      <w:r>
        <w:rPr>
          <w:rFonts w:hint="eastAsia"/>
          <w:kern w:val="0"/>
          <w:szCs w:val="32"/>
          <w:shd w:val="clear" w:color="auto" w:fill="FFFFFF"/>
          <w:lang w:bidi="ar"/>
        </w:rPr>
        <w:t>各省级教育行政部门组织开展地方比赛，广泛动员各级各类</w:t>
      </w:r>
      <w:r>
        <w:rPr>
          <w:rFonts w:hint="eastAsia"/>
          <w:color w:val="000000"/>
          <w:szCs w:val="32"/>
          <w:shd w:val="clear" w:color="auto" w:fill="FFFFFF"/>
        </w:rPr>
        <w:t>学校开展法治素养能力大赛，遴选出法</w:t>
      </w:r>
      <w:r>
        <w:rPr>
          <w:rFonts w:hint="eastAsia" w:ascii="仿宋_GB2312" w:hAnsi="宋体" w:cs="仿宋_GB2312"/>
          <w:szCs w:val="32"/>
        </w:rPr>
        <w:t>治素养高、综合能力强的选手参加全国总决赛。每个组别各省级教育行政部门可分别推荐</w:t>
      </w:r>
      <w:r>
        <w:rPr>
          <w:rFonts w:ascii="仿宋_GB2312" w:hAnsi="宋体" w:cs="仿宋_GB2312"/>
          <w:szCs w:val="32"/>
        </w:rPr>
        <w:t>1</w:t>
      </w:r>
      <w:r>
        <w:rPr>
          <w:rFonts w:hint="eastAsia" w:ascii="仿宋_GB2312" w:hAnsi="宋体" w:cs="仿宋_GB2312"/>
          <w:szCs w:val="32"/>
        </w:rPr>
        <w:t>人参赛（每个省共可推荐</w:t>
      </w:r>
      <w:r>
        <w:rPr>
          <w:rFonts w:ascii="仿宋_GB2312" w:hAnsi="宋体" w:cs="仿宋_GB2312"/>
          <w:szCs w:val="32"/>
        </w:rPr>
        <w:t>5</w:t>
      </w:r>
      <w:r>
        <w:rPr>
          <w:rFonts w:hint="eastAsia" w:ascii="仿宋_GB2312" w:hAnsi="宋体" w:cs="仿宋_GB2312"/>
          <w:szCs w:val="32"/>
        </w:rPr>
        <w:t>名），经公示后报送组委会。各省级教育行政部门应于</w:t>
      </w:r>
      <w:r>
        <w:rPr>
          <w:rFonts w:ascii="仿宋_GB2312" w:hAnsi="宋体" w:cs="仿宋_GB2312"/>
          <w:szCs w:val="32"/>
        </w:rPr>
        <w:t>10</w:t>
      </w:r>
      <w:r>
        <w:rPr>
          <w:rFonts w:hint="eastAsia" w:ascii="仿宋_GB2312" w:hAnsi="宋体" w:cs="仿宋_GB2312"/>
          <w:szCs w:val="32"/>
        </w:rPr>
        <w:t>月</w:t>
      </w:r>
      <w:r>
        <w:rPr>
          <w:rFonts w:ascii="仿宋_GB2312" w:hAnsi="宋体" w:cs="仿宋_GB2312"/>
          <w:szCs w:val="32"/>
        </w:rPr>
        <w:t>21</w:t>
      </w:r>
      <w:r>
        <w:rPr>
          <w:rFonts w:hint="eastAsia" w:ascii="仿宋_GB2312" w:hAnsi="宋体" w:cs="仿宋_GB2312"/>
          <w:szCs w:val="32"/>
        </w:rPr>
        <w:t>日前通过青</w:t>
      </w:r>
      <w:r>
        <w:rPr>
          <w:rFonts w:hint="eastAsia"/>
          <w:szCs w:val="32"/>
        </w:rPr>
        <w:t>少年普法网报送推荐选手名单和主题阐释稿。</w:t>
      </w:r>
    </w:p>
    <w:p w14:paraId="5BF0CF95">
      <w:pPr>
        <w:spacing w:line="560" w:lineRule="exact"/>
        <w:ind w:firstLine="643" w:firstLineChars="200"/>
        <w:jc w:val="left"/>
        <w:outlineLvl w:val="0"/>
        <w:rPr>
          <w:szCs w:val="32"/>
        </w:rPr>
      </w:pPr>
      <w:r>
        <w:rPr>
          <w:b/>
          <w:bCs/>
          <w:szCs w:val="32"/>
        </w:rPr>
        <w:t>2.</w:t>
      </w:r>
      <w:r>
        <w:rPr>
          <w:rFonts w:hint="eastAsia"/>
          <w:b/>
          <w:bCs/>
          <w:szCs w:val="32"/>
        </w:rPr>
        <w:t>网络报送通道。</w:t>
      </w:r>
      <w:r>
        <w:rPr>
          <w:rFonts w:hint="eastAsia"/>
          <w:szCs w:val="32"/>
        </w:rPr>
        <w:t>除各省（区、市）选拔报送总决赛参赛选手外，青少年普法网设立</w:t>
      </w:r>
      <w:r>
        <w:rPr>
          <w:szCs w:val="32"/>
        </w:rPr>
        <w:t>“</w:t>
      </w:r>
      <w:r>
        <w:rPr>
          <w:rFonts w:hint="eastAsia"/>
          <w:szCs w:val="32"/>
        </w:rPr>
        <w:t>网络风采展示</w:t>
      </w:r>
      <w:r>
        <w:rPr>
          <w:szCs w:val="32"/>
        </w:rPr>
        <w:t>”</w:t>
      </w:r>
      <w:r>
        <w:rPr>
          <w:rFonts w:hint="eastAsia"/>
          <w:szCs w:val="32"/>
        </w:rPr>
        <w:t>专栏，供学生自主参与比赛。组委会将分别遴选出小学、初中、高中、高校专业、高校</w:t>
      </w:r>
      <w:r>
        <w:rPr>
          <w:rFonts w:hint="eastAsia" w:ascii="仿宋_GB2312" w:hAnsi="宋体" w:cs="仿宋_GB2312"/>
          <w:szCs w:val="32"/>
        </w:rPr>
        <w:t>业余五个组别各</w:t>
      </w:r>
      <w:r>
        <w:rPr>
          <w:rFonts w:ascii="仿宋_GB2312" w:hAnsi="宋体" w:cs="仿宋_GB2312"/>
          <w:szCs w:val="32"/>
        </w:rPr>
        <w:t>6</w:t>
      </w:r>
      <w:r>
        <w:rPr>
          <w:rFonts w:hint="eastAsia" w:ascii="仿宋_GB2312" w:hAnsi="宋体" w:cs="仿宋_GB2312"/>
          <w:szCs w:val="32"/>
        </w:rPr>
        <w:t>名（共</w:t>
      </w:r>
      <w:r>
        <w:rPr>
          <w:rFonts w:ascii="仿宋_GB2312" w:hAnsi="宋体" w:cs="仿宋_GB2312"/>
          <w:szCs w:val="32"/>
        </w:rPr>
        <w:t>30</w:t>
      </w:r>
      <w:r>
        <w:rPr>
          <w:rFonts w:hint="eastAsia" w:ascii="仿宋_GB2312" w:hAnsi="宋体" w:cs="仿宋_GB2312"/>
          <w:szCs w:val="32"/>
        </w:rPr>
        <w:t>名），直接参加全国总决赛法治素养</w:t>
      </w:r>
      <w:r>
        <w:rPr>
          <w:rFonts w:hint="eastAsia"/>
          <w:szCs w:val="32"/>
        </w:rPr>
        <w:t>能力大赛。通过</w:t>
      </w:r>
      <w:r>
        <w:rPr>
          <w:szCs w:val="32"/>
        </w:rPr>
        <w:t>“</w:t>
      </w:r>
      <w:r>
        <w:rPr>
          <w:rFonts w:hint="eastAsia"/>
          <w:szCs w:val="32"/>
        </w:rPr>
        <w:t>网络风采展示</w:t>
      </w:r>
      <w:r>
        <w:rPr>
          <w:szCs w:val="32"/>
        </w:rPr>
        <w:t>”</w:t>
      </w:r>
      <w:r>
        <w:rPr>
          <w:rFonts w:hint="eastAsia"/>
          <w:szCs w:val="32"/>
        </w:rPr>
        <w:t>入选全国总决赛的选手列入选手学校所在省（区、市）相应组别统一管理，不占用省级报送名额。</w:t>
      </w:r>
    </w:p>
    <w:p w14:paraId="09B7BBC2">
      <w:pPr>
        <w:overflowPunct w:val="0"/>
        <w:adjustRightInd w:val="0"/>
        <w:snapToGrid w:val="0"/>
        <w:spacing w:line="560" w:lineRule="exact"/>
        <w:ind w:firstLine="640" w:firstLineChars="200"/>
        <w:rPr>
          <w:rFonts w:hint="eastAsia" w:ascii="楷体_GB2312" w:hAnsi="楷体" w:eastAsia="楷体_GB2312" w:cs="楷体"/>
          <w:szCs w:val="32"/>
        </w:rPr>
      </w:pPr>
      <w:r>
        <w:rPr>
          <w:rFonts w:hint="eastAsia" w:ascii="楷体_GB2312" w:hAnsi="楷体" w:eastAsia="楷体_GB2312" w:cs="楷体"/>
          <w:szCs w:val="32"/>
        </w:rPr>
        <w:t>（二）全国总决赛（2026年11月上旬）</w:t>
      </w:r>
    </w:p>
    <w:p w14:paraId="0BCEF65F">
      <w:pPr>
        <w:spacing w:line="560" w:lineRule="exact"/>
        <w:ind w:firstLine="640"/>
        <w:rPr>
          <w:rFonts w:hint="eastAsia" w:eastAsia="黑体"/>
        </w:rPr>
      </w:pPr>
      <w:r>
        <w:rPr>
          <w:rFonts w:hint="eastAsia"/>
          <w:szCs w:val="32"/>
        </w:rPr>
        <w:t>组委会将对选手参赛资格、参赛稿件等进行复审，并在青少年普法网公示总决赛参赛选手名单。通过复审的</w:t>
      </w:r>
      <w:r>
        <w:rPr>
          <w:rFonts w:hint="eastAsia"/>
          <w:bCs/>
        </w:rPr>
        <w:t>各组别选手将到现场参加全国总决赛。本比赛未尽事宜将另行通知。</w:t>
      </w:r>
    </w:p>
    <w:p w14:paraId="2DF97A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D4BDB7-1305-4674-9D0A-F97FBB17D7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3897F4F-1BA9-468E-B799-11B65CBD976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1F00E5D-6413-45FE-B3C9-24C118325F8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95009C00-2762-4E2E-A5C8-4F1EBB752F8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ABF1B4E-8009-4A77-A7AA-2476F0AC2E50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5F854B39-00A6-46A5-93EE-CAC811AE642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9BDB7"/>
    <w:multiLevelType w:val="singleLevel"/>
    <w:tmpl w:val="9989BDB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BE6D98B"/>
    <w:multiLevelType w:val="singleLevel"/>
    <w:tmpl w:val="2BE6D98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C03A5"/>
    <w:rsid w:val="00EF7D0A"/>
    <w:rsid w:val="091D1E3A"/>
    <w:rsid w:val="1AE94FB9"/>
    <w:rsid w:val="4AD81F51"/>
    <w:rsid w:val="59910D81"/>
    <w:rsid w:val="5CDF79EE"/>
    <w:rsid w:val="606D6287"/>
    <w:rsid w:val="64694385"/>
    <w:rsid w:val="704E2A69"/>
    <w:rsid w:val="70FC03A5"/>
    <w:rsid w:val="7B41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360" w:lineRule="auto"/>
      <w:ind w:firstLine="0"/>
      <w:outlineLvl w:val="0"/>
    </w:pPr>
    <w:rPr>
      <w:rFonts w:eastAsia="黑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numPr>
        <w:ilvl w:val="0"/>
        <w:numId w:val="2"/>
      </w:numPr>
      <w:spacing w:before="12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Cs/>
      <w:kern w:val="0"/>
      <w:sz w:val="24"/>
      <w:szCs w:val="36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2026-08-12T07:28:00Z</dcterms:created>
  <dc:creator>苏坡云☁️</dc:creator>
  <cp:lastModifiedBy>苏坡云☁️</cp:lastModifiedBy>
  <dcterms:modified xsi:type="dcterms:W3CDTF">2026-08-12T07:31:14Z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043F324433484FFC8E9968F0DF2DE2E2_13</vt:lpwstr>
  </property>
  <property fmtid="{D5CDD505-2E9C-101B-9397-08002B2CF9AE}" pid="4" name="KSOTemplateDocerSaveRecord">
    <vt:lpwstr>eyJoZGlkIjoiNGIyYTFhY2FhY2RjN2E2ZjE5YjM5MTEwYTMzNTI3ZmUiLCJ1c2VySWQiOiI3NjEzMzMyNDYifQ==</vt:lpwstr>
  </property>
</Properties>
</file>