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E1376">
      <w:pPr>
        <w:spacing w:line="560" w:lineRule="exact"/>
        <w:jc w:val="center"/>
        <w:rPr>
          <w:rFonts w:eastAsia="方正小标宋简体"/>
          <w:sz w:val="44"/>
          <w:szCs w:val="44"/>
        </w:rPr>
      </w:pPr>
      <w:r>
        <w:rPr>
          <w:rFonts w:eastAsia="方正小标宋简体"/>
          <w:sz w:val="44"/>
          <w:szCs w:val="44"/>
        </w:rPr>
        <w:t>中国共产党北京市委员会教育工作委员会</w:t>
      </w:r>
    </w:p>
    <w:p w14:paraId="7426E4FD">
      <w:pPr>
        <w:spacing w:line="560" w:lineRule="exact"/>
        <w:jc w:val="center"/>
        <w:rPr>
          <w:rFonts w:eastAsia="方正小标宋简体"/>
          <w:sz w:val="44"/>
          <w:szCs w:val="44"/>
        </w:rPr>
      </w:pPr>
      <w:r>
        <w:rPr>
          <w:rFonts w:hint="eastAsia" w:eastAsia="方正小标宋简体"/>
          <w:sz w:val="44"/>
          <w:szCs w:val="44"/>
        </w:rPr>
        <w:t>2022年</w:t>
      </w:r>
      <w:r>
        <w:rPr>
          <w:rFonts w:eastAsia="方正小标宋简体"/>
          <w:sz w:val="44"/>
          <w:szCs w:val="44"/>
        </w:rPr>
        <w:t>部门整体绩效评价报告</w:t>
      </w:r>
    </w:p>
    <w:p w14:paraId="27E0EF09">
      <w:pPr>
        <w:spacing w:line="560" w:lineRule="exact"/>
        <w:jc w:val="center"/>
        <w:rPr>
          <w:szCs w:val="30"/>
        </w:rPr>
      </w:pPr>
    </w:p>
    <w:p w14:paraId="65B0CC2B">
      <w:pPr>
        <w:spacing w:line="560" w:lineRule="exact"/>
        <w:ind w:firstLine="640" w:firstLineChars="200"/>
        <w:rPr>
          <w:rFonts w:eastAsia="黑体"/>
          <w:color w:val="000000"/>
          <w:kern w:val="0"/>
          <w:sz w:val="32"/>
          <w:szCs w:val="32"/>
        </w:rPr>
      </w:pPr>
      <w:r>
        <w:rPr>
          <w:rFonts w:eastAsia="黑体"/>
          <w:color w:val="000000"/>
          <w:kern w:val="0"/>
          <w:sz w:val="32"/>
          <w:szCs w:val="32"/>
        </w:rPr>
        <w:t>一、部门概况</w:t>
      </w:r>
    </w:p>
    <w:p w14:paraId="202B9C1A">
      <w:pPr>
        <w:spacing w:line="560" w:lineRule="exact"/>
        <w:ind w:firstLine="640" w:firstLineChars="200"/>
        <w:rPr>
          <w:rFonts w:eastAsia="楷体_GB2312"/>
          <w:sz w:val="32"/>
          <w:szCs w:val="32"/>
        </w:rPr>
      </w:pPr>
      <w:r>
        <w:rPr>
          <w:rFonts w:eastAsia="楷体_GB2312"/>
          <w:sz w:val="32"/>
          <w:szCs w:val="32"/>
        </w:rPr>
        <w:t>（一）机构设置及职责工作任务情况</w:t>
      </w:r>
    </w:p>
    <w:p w14:paraId="4D51576D">
      <w:pPr>
        <w:spacing w:line="560" w:lineRule="exact"/>
        <w:ind w:firstLine="640" w:firstLineChars="200"/>
        <w:rPr>
          <w:rFonts w:eastAsia="仿宋_GB2312"/>
          <w:sz w:val="32"/>
          <w:szCs w:val="32"/>
        </w:rPr>
      </w:pPr>
      <w:r>
        <w:rPr>
          <w:rFonts w:eastAsia="仿宋_GB2312"/>
          <w:sz w:val="32"/>
          <w:szCs w:val="32"/>
        </w:rPr>
        <w:t>中国共产党北京市委员会教育工作委员会是市委工作机关，主要职能是贯彻落实党中央关于教育事业的方针政策、决策部署和市委有关工作要求，制定北京教育系</w:t>
      </w:r>
      <w:bookmarkStart w:id="1" w:name="_GoBack"/>
      <w:bookmarkEnd w:id="1"/>
      <w:r>
        <w:rPr>
          <w:rFonts w:eastAsia="仿宋_GB2312"/>
          <w:sz w:val="32"/>
          <w:szCs w:val="32"/>
        </w:rPr>
        <w:t>统坚持党的领导、加强党的建设的措施并在职权范围内组织实施。统筹指导北京教育系统党的建设、思想政治、德育、干部人才、统战群工、安全稳定等工作。</w:t>
      </w:r>
    </w:p>
    <w:p w14:paraId="2BD4DBA8">
      <w:pPr>
        <w:spacing w:line="560" w:lineRule="exact"/>
        <w:ind w:firstLine="640" w:firstLineChars="200"/>
        <w:rPr>
          <w:rFonts w:eastAsia="仿宋_GB2312"/>
          <w:sz w:val="32"/>
          <w:szCs w:val="32"/>
        </w:rPr>
      </w:pPr>
      <w:r>
        <w:rPr>
          <w:rFonts w:eastAsia="仿宋_GB2312"/>
          <w:sz w:val="32"/>
          <w:szCs w:val="32"/>
        </w:rPr>
        <w:t>中国共产党北京市委员会教育工作委员会的职责工作任务是坚持以习近平新时代中国特色社会主义思想为指导，深入贯彻党的</w:t>
      </w:r>
      <w:r>
        <w:rPr>
          <w:rFonts w:hint="eastAsia" w:eastAsia="仿宋_GB2312"/>
          <w:sz w:val="32"/>
          <w:szCs w:val="32"/>
        </w:rPr>
        <w:t>二十大</w:t>
      </w:r>
      <w:r>
        <w:rPr>
          <w:rFonts w:eastAsia="仿宋_GB2312"/>
          <w:sz w:val="32"/>
          <w:szCs w:val="32"/>
        </w:rPr>
        <w:t>精神，认真落实习近平总书记关于教育的重要论述和对北京重要讲话精神，坚持稳中求进工作总基调，坚持党对教育工作的全面领导，以落实立德树人为根本，以推动高质量发展为主题，以改革创新为动力，以办好人民满意的教育为目标，统筹好发展和安全，统筹好疫情防控与事业发展，加快推进首都教育现代化，率先构建与新发展格局相适应的高质量教育体系，坚定不移推进全面从严治党。</w:t>
      </w:r>
    </w:p>
    <w:p w14:paraId="1A1928B3">
      <w:pPr>
        <w:spacing w:line="560" w:lineRule="exact"/>
        <w:ind w:firstLine="640" w:firstLineChars="200"/>
        <w:rPr>
          <w:rFonts w:eastAsia="楷体_GB2312"/>
          <w:sz w:val="32"/>
          <w:szCs w:val="32"/>
        </w:rPr>
      </w:pPr>
      <w:r>
        <w:rPr>
          <w:rFonts w:eastAsia="楷体_GB2312"/>
          <w:sz w:val="32"/>
          <w:szCs w:val="32"/>
        </w:rPr>
        <w:t>（二）部门整体绩效目标设立情况（包括绩效目标设立依据、目标与职责任务匹配情况、目标合理性等）。</w:t>
      </w:r>
    </w:p>
    <w:p w14:paraId="5FB7DC70">
      <w:pPr>
        <w:spacing w:line="560" w:lineRule="exact"/>
        <w:ind w:firstLine="640" w:firstLineChars="200"/>
        <w:rPr>
          <w:rFonts w:eastAsia="仿宋_GB2312"/>
          <w:color w:val="000000"/>
          <w:kern w:val="0"/>
          <w:sz w:val="32"/>
          <w:szCs w:val="32"/>
        </w:rPr>
      </w:pPr>
      <w:r>
        <w:rPr>
          <w:rFonts w:eastAsia="仿宋_GB2312"/>
          <w:sz w:val="32"/>
          <w:szCs w:val="32"/>
        </w:rPr>
        <w:t>中国共产党北京市委员会教育工作委员会</w:t>
      </w:r>
      <w:r>
        <w:rPr>
          <w:rFonts w:eastAsia="仿宋_GB2312"/>
          <w:color w:val="000000"/>
          <w:kern w:val="0"/>
          <w:sz w:val="32"/>
          <w:szCs w:val="32"/>
        </w:rPr>
        <w:t>2022年部门整体绩效目标依据《中共北京市委教育工作委员会北京市教育委员会关于印发2022年工作要点的通知》（京教工〔2022〕6号），对照部门工作职责和年度要点，合理预计在本年度内履职所能达到的总体产出和效果，将其设立为部门总体目标。同时，结合各处室具体工作职责和任务，概括、提炼最能反映工作任务预期实现程度的关键性指标，将其确定为相应的绩效指标。部门整体绩效目标设立较为明确、合理，与市委教育工委职能相符。</w:t>
      </w:r>
    </w:p>
    <w:p w14:paraId="5886AFE5">
      <w:pPr>
        <w:spacing w:line="560" w:lineRule="exact"/>
        <w:ind w:firstLine="640" w:firstLineChars="200"/>
        <w:rPr>
          <w:rFonts w:eastAsia="黑体"/>
          <w:color w:val="000000"/>
          <w:kern w:val="0"/>
          <w:sz w:val="32"/>
          <w:szCs w:val="32"/>
        </w:rPr>
      </w:pPr>
      <w:r>
        <w:rPr>
          <w:rFonts w:eastAsia="黑体"/>
          <w:color w:val="000000"/>
          <w:kern w:val="0"/>
          <w:sz w:val="32"/>
          <w:szCs w:val="32"/>
        </w:rPr>
        <w:t>二、当年预算执行情况</w:t>
      </w:r>
    </w:p>
    <w:p w14:paraId="4BE1F354">
      <w:pPr>
        <w:spacing w:line="560" w:lineRule="exact"/>
        <w:ind w:firstLine="640" w:firstLineChars="200"/>
        <w:rPr>
          <w:rFonts w:eastAsia="仿宋_GB2312"/>
          <w:color w:val="000000"/>
          <w:kern w:val="0"/>
          <w:sz w:val="32"/>
          <w:szCs w:val="32"/>
        </w:rPr>
      </w:pPr>
      <w:r>
        <w:rPr>
          <w:rFonts w:eastAsia="仿宋_GB2312"/>
          <w:kern w:val="0"/>
          <w:sz w:val="32"/>
          <w:szCs w:val="32"/>
        </w:rPr>
        <w:t>2022</w:t>
      </w:r>
      <w:r>
        <w:rPr>
          <w:rFonts w:eastAsia="仿宋_GB2312"/>
          <w:color w:val="000000"/>
          <w:kern w:val="0"/>
          <w:sz w:val="32"/>
          <w:szCs w:val="32"/>
        </w:rPr>
        <w:t>年全年预算数28111.75万元，其中，基本支出预算数4808.31万元，项目支出预算数23303.44万元，其他支出预算数0万元。资金总体支出26424.45万元，其中，基本支出4715.74万元，项目支出21708.71万元，其他支出0万元。预算执行率为94%。</w:t>
      </w:r>
    </w:p>
    <w:p w14:paraId="7E9BDE3B">
      <w:pPr>
        <w:spacing w:line="560" w:lineRule="exact"/>
        <w:ind w:left="105" w:leftChars="50" w:firstLine="480" w:firstLineChars="150"/>
        <w:rPr>
          <w:rFonts w:eastAsia="黑体"/>
          <w:color w:val="000000"/>
          <w:kern w:val="0"/>
          <w:sz w:val="32"/>
          <w:szCs w:val="32"/>
        </w:rPr>
      </w:pPr>
      <w:r>
        <w:rPr>
          <w:rFonts w:eastAsia="黑体"/>
          <w:color w:val="000000"/>
          <w:kern w:val="0"/>
          <w:sz w:val="32"/>
          <w:szCs w:val="32"/>
        </w:rPr>
        <w:t>三、整体绩效目标实现情况</w:t>
      </w:r>
    </w:p>
    <w:p w14:paraId="40CD98A9">
      <w:pPr>
        <w:spacing w:line="560" w:lineRule="exact"/>
        <w:ind w:left="105" w:leftChars="50" w:firstLine="480" w:firstLineChars="150"/>
        <w:rPr>
          <w:rFonts w:eastAsia="楷体_GB2312"/>
          <w:sz w:val="32"/>
          <w:szCs w:val="32"/>
        </w:rPr>
      </w:pPr>
      <w:r>
        <w:rPr>
          <w:rFonts w:eastAsia="楷体_GB2312"/>
          <w:sz w:val="32"/>
          <w:szCs w:val="32"/>
        </w:rPr>
        <w:t>（一）产出完成情况分析</w:t>
      </w:r>
    </w:p>
    <w:p w14:paraId="53FF1D3E">
      <w:pPr>
        <w:spacing w:line="560" w:lineRule="exact"/>
        <w:ind w:left="105" w:leftChars="50" w:firstLine="480" w:firstLineChars="150"/>
        <w:rPr>
          <w:rFonts w:eastAsia="楷体_GB2312"/>
          <w:sz w:val="32"/>
          <w:szCs w:val="32"/>
        </w:rPr>
      </w:pPr>
      <w:r>
        <w:rPr>
          <w:rFonts w:eastAsia="仿宋_GB2312"/>
          <w:color w:val="000000"/>
          <w:kern w:val="0"/>
          <w:sz w:val="32"/>
          <w:szCs w:val="32"/>
        </w:rPr>
        <w:t>1.产出数量</w:t>
      </w:r>
    </w:p>
    <w:p w14:paraId="71EF84F5">
      <w:pPr>
        <w:spacing w:line="560" w:lineRule="exact"/>
        <w:ind w:left="105" w:leftChars="50" w:firstLine="640" w:firstLineChars="200"/>
        <w:rPr>
          <w:rFonts w:eastAsia="仿宋_GB2312"/>
          <w:color w:val="000000"/>
          <w:kern w:val="0"/>
          <w:sz w:val="32"/>
          <w:szCs w:val="32"/>
        </w:rPr>
      </w:pPr>
      <w:r>
        <w:rPr>
          <w:rFonts w:eastAsia="仿宋_GB2312"/>
          <w:color w:val="000000"/>
          <w:kern w:val="0"/>
          <w:sz w:val="32"/>
          <w:szCs w:val="32"/>
        </w:rPr>
        <w:t>完成重大任务方面：紧扣贯彻落实</w:t>
      </w:r>
      <w:r>
        <w:rPr>
          <w:rFonts w:hint="eastAsia" w:eastAsia="仿宋_GB2312"/>
          <w:color w:val="000000"/>
          <w:kern w:val="0"/>
          <w:sz w:val="32"/>
          <w:szCs w:val="32"/>
          <w:lang w:eastAsia="zh-CN"/>
        </w:rPr>
        <w:t>习近平总书记重要讲话和重要指示批示精神</w:t>
      </w:r>
      <w:r>
        <w:rPr>
          <w:rFonts w:eastAsia="仿宋_GB2312"/>
          <w:color w:val="000000"/>
          <w:kern w:val="0"/>
          <w:sz w:val="32"/>
          <w:szCs w:val="32"/>
        </w:rPr>
        <w:t>，立项办结落实习近平总书记重要批示及其他中央领导同志批示督查件16项，办结市委市政府主要领导重要批示督查件437项。组织动员师生全力参与服务保障党的二十</w:t>
      </w:r>
      <w:r>
        <w:rPr>
          <w:rFonts w:hint="eastAsia" w:eastAsia="仿宋_GB2312"/>
          <w:color w:val="000000"/>
          <w:kern w:val="0"/>
          <w:sz w:val="32"/>
          <w:szCs w:val="32"/>
        </w:rPr>
        <w:t>大</w:t>
      </w:r>
      <w:r>
        <w:rPr>
          <w:rFonts w:eastAsia="仿宋_GB2312"/>
          <w:color w:val="000000"/>
          <w:kern w:val="0"/>
          <w:sz w:val="32"/>
          <w:szCs w:val="32"/>
        </w:rPr>
        <w:t>胜利召开，开展贯穿全年的“请党放心，强国有我”主题教育活动，组织8万名师生参观“奋进新时代”主题成就展，组织53万名学生参与国庆主题实践活动，以实际行动迎接党的二十大。圆满完成北京冬奥盛会服务保障。25所高校设立冬奥专项培养计划，精心为冬奥培养各类人才；68所高校攻关212项关键技术，积极为冬奥筹办贡献智慧和力量。2.33万名师生深度参与服务保障，1.4万名赛会志愿者全心服务，精心遴选14个闭环管理驻地，协调解决2000余个改造升级难点问题，为北京赛区5600名闭环管理志愿者提供暖心保障。选拔10966名大中小学师生，优质高效地完成冬奥会和冬残奥会四个开闭幕式演出、餐饮服务、观众组织等服务保障工作。全力抓好疫情防控，落实中央领导同志多次指示批示精神，强化校地协同，组建高校八指工作专班、维稳工作专班，坚持“日调度、双调度”等“十项机制”，制定实施《关于动态调整高校疫情防控措施的通知》</w:t>
      </w:r>
      <w:r>
        <w:rPr>
          <w:rFonts w:hint="eastAsia" w:eastAsia="仿宋_GB2312"/>
          <w:color w:val="000000"/>
          <w:kern w:val="0"/>
          <w:sz w:val="32"/>
          <w:szCs w:val="32"/>
        </w:rPr>
        <w:t>等</w:t>
      </w:r>
      <w:r>
        <w:rPr>
          <w:rFonts w:eastAsia="仿宋_GB2312"/>
          <w:color w:val="000000"/>
          <w:kern w:val="0"/>
          <w:sz w:val="32"/>
          <w:szCs w:val="32"/>
        </w:rPr>
        <w:t>90余个政策文件，组织100余名联络员驻高校、驻区工作。</w:t>
      </w:r>
    </w:p>
    <w:p w14:paraId="67AD4DAF">
      <w:pPr>
        <w:spacing w:line="560" w:lineRule="exact"/>
        <w:ind w:left="105" w:leftChars="50" w:firstLine="640" w:firstLineChars="200"/>
        <w:rPr>
          <w:rFonts w:eastAsia="仿宋_GB2312"/>
          <w:color w:val="000000"/>
          <w:kern w:val="0"/>
          <w:sz w:val="32"/>
          <w:szCs w:val="32"/>
        </w:rPr>
      </w:pPr>
      <w:r>
        <w:rPr>
          <w:rFonts w:eastAsia="仿宋_GB2312"/>
          <w:color w:val="000000"/>
          <w:kern w:val="0"/>
          <w:sz w:val="32"/>
          <w:szCs w:val="32"/>
        </w:rPr>
        <w:t>落实立德树人方面：组织93所高校党委书记、校长为百万师生讲授有深度、有温度的疫情防控“大思政课”。实施学校心理健康教育工作提升计划，建好用好市级师生在线心理咨询服务平台，学生自杀死亡极端事件较去年同期降低38%，创五年来新低。在东城、朝阳等8个区建成40个家校社共育咨询室，家校社协同育人体系进一步完善。</w:t>
      </w:r>
    </w:p>
    <w:p w14:paraId="45FB70D3">
      <w:pPr>
        <w:spacing w:line="560" w:lineRule="exact"/>
        <w:ind w:left="105" w:leftChars="50" w:firstLine="640" w:firstLineChars="200"/>
        <w:rPr>
          <w:rFonts w:eastAsia="仿宋_GB2312"/>
          <w:color w:val="000000"/>
          <w:kern w:val="0"/>
          <w:sz w:val="32"/>
          <w:szCs w:val="32"/>
        </w:rPr>
      </w:pPr>
      <w:r>
        <w:rPr>
          <w:rFonts w:eastAsia="仿宋_GB2312"/>
          <w:color w:val="000000"/>
          <w:kern w:val="0"/>
          <w:sz w:val="32"/>
          <w:szCs w:val="32"/>
        </w:rPr>
        <w:t>加强党的建设方面：召开教育体制改革专项小组全体会议2次，专题会10余次，研究推进教育评价改革等重点改革任务，圆满完成市委改革办明确的七项重点改革任务。以钉钉子精神打好高校党的政治建设攻坚战，落实高校党委领导下的校长负责制，开展北京高校党建和思想政治工作基本标准检查，首次对62所高校党委书记开展全覆盖党建述职评议考核，推广200个先进经验，得到中组部高度肯定。</w:t>
      </w:r>
    </w:p>
    <w:p w14:paraId="4EA50397">
      <w:pPr>
        <w:spacing w:line="560" w:lineRule="exact"/>
        <w:ind w:left="105" w:leftChars="50" w:firstLine="640" w:firstLineChars="200"/>
        <w:rPr>
          <w:rFonts w:eastAsia="仿宋_GB2312"/>
          <w:color w:val="000000"/>
          <w:kern w:val="0"/>
          <w:sz w:val="32"/>
          <w:szCs w:val="32"/>
        </w:rPr>
      </w:pPr>
      <w:r>
        <w:rPr>
          <w:rFonts w:eastAsia="仿宋_GB2312"/>
          <w:color w:val="000000"/>
          <w:kern w:val="0"/>
          <w:sz w:val="32"/>
          <w:szCs w:val="32"/>
        </w:rPr>
        <w:t>维护校园安稳方面：建立高校意识形态工作提示机制，及时有效应对处置100余起突出事端，全力确保意识形态安全。深入推进防范境外非政府组织向高校渗透专项工作机制，监管485项涉外合作项目。梳理全市1300余校址校园安全薄弱提升需求，开展义务教育阶段校园安全薄弱环节改善与提升工作。落地核查、稳妥处置1000余起各类事端。制定工作方案，进一步加强学校周边交通综合治理。北京教育系统连续33年保持安全稳定。</w:t>
      </w:r>
    </w:p>
    <w:p w14:paraId="3D1752C4">
      <w:pPr>
        <w:spacing w:line="560" w:lineRule="exact"/>
        <w:ind w:left="105" w:leftChars="50" w:firstLine="640" w:firstLineChars="200"/>
        <w:rPr>
          <w:rFonts w:eastAsia="仿宋_GB2312"/>
          <w:color w:val="000000"/>
          <w:kern w:val="0"/>
          <w:sz w:val="32"/>
          <w:szCs w:val="32"/>
        </w:rPr>
      </w:pPr>
      <w:r>
        <w:rPr>
          <w:rFonts w:eastAsia="仿宋_GB2312"/>
          <w:color w:val="000000"/>
          <w:kern w:val="0"/>
          <w:sz w:val="32"/>
          <w:szCs w:val="32"/>
        </w:rPr>
        <w:t>加强干部人才队伍建设方面：推动干部队伍结构不断优化，共任免机关和直属单位处级干部73人次，新进优秀年轻干部16人，向外输送干部4人，58名同志职级晋升。持续选优配强高校领导班子，协助调配高校干部69人次。高质量完成高校市人大政协换届人选推荐提名工作。严格落实领导干部报告个人有关事项，个人有关事项随机抽查一致率达到100%。</w:t>
      </w:r>
    </w:p>
    <w:p w14:paraId="4FB2FDA5">
      <w:pPr>
        <w:spacing w:line="560" w:lineRule="exact"/>
        <w:ind w:firstLine="640" w:firstLineChars="200"/>
        <w:rPr>
          <w:rFonts w:eastAsia="仿宋_GB2312"/>
          <w:color w:val="000000"/>
          <w:kern w:val="0"/>
          <w:sz w:val="32"/>
          <w:szCs w:val="32"/>
        </w:rPr>
      </w:pPr>
      <w:r>
        <w:rPr>
          <w:rFonts w:eastAsia="仿宋_GB2312"/>
          <w:color w:val="000000"/>
          <w:kern w:val="0"/>
          <w:sz w:val="32"/>
          <w:szCs w:val="32"/>
        </w:rPr>
        <w:t>2.产出质量</w:t>
      </w:r>
    </w:p>
    <w:p w14:paraId="09466F37">
      <w:pPr>
        <w:spacing w:line="560" w:lineRule="exact"/>
        <w:ind w:left="105" w:leftChars="50" w:firstLine="640" w:firstLineChars="200"/>
        <w:rPr>
          <w:rFonts w:eastAsia="仿宋_GB2312"/>
          <w:color w:val="000000"/>
          <w:kern w:val="0"/>
          <w:sz w:val="32"/>
          <w:szCs w:val="32"/>
        </w:rPr>
      </w:pPr>
      <w:r>
        <w:rPr>
          <w:rFonts w:eastAsia="仿宋_GB2312"/>
          <w:color w:val="000000"/>
          <w:kern w:val="0"/>
          <w:sz w:val="32"/>
          <w:szCs w:val="32"/>
        </w:rPr>
        <w:t>2022年，是党的二十大召开之年，是北京冬奥之年。一年来，中国共产党北京市委员会教育工作委员会坚持以习近平新时代中国特色社会主义思想为指导，深入学习贯彻党的二十大精神，深入贯彻落实习近平总书记关于教育的重要论述和对北京一系列重要讲话精神，落实市第十三次党代会精神，坚持党对教育工作的全面领导，全面贯彻党的教育方针，落实立德树人根本任务，坚持稳中求进工作总基调，以新时代首都发展为统领，以推动高质量发展为主题，以改革创新为根本动力，全力以赴做好冬奥服务保障，纵深推进“双减”工作，统筹推进疫情防控和教育发展，加快推进高水平教育现代化，办好人民满意的首都教育。</w:t>
      </w:r>
    </w:p>
    <w:p w14:paraId="531C065A">
      <w:pPr>
        <w:spacing w:line="560" w:lineRule="exact"/>
        <w:ind w:firstLine="640" w:firstLineChars="200"/>
        <w:rPr>
          <w:rFonts w:eastAsia="仿宋_GB2312"/>
          <w:color w:val="000000"/>
          <w:kern w:val="0"/>
          <w:sz w:val="32"/>
          <w:szCs w:val="32"/>
        </w:rPr>
      </w:pPr>
      <w:r>
        <w:rPr>
          <w:rFonts w:eastAsia="仿宋_GB2312"/>
          <w:color w:val="000000"/>
          <w:kern w:val="0"/>
          <w:sz w:val="32"/>
          <w:szCs w:val="32"/>
        </w:rPr>
        <w:t>3.产出进度</w:t>
      </w:r>
    </w:p>
    <w:p w14:paraId="628A6E22">
      <w:pPr>
        <w:spacing w:line="560" w:lineRule="exact"/>
        <w:ind w:left="105" w:leftChars="50" w:firstLine="640" w:firstLineChars="200"/>
        <w:rPr>
          <w:rFonts w:eastAsia="仿宋_GB2312"/>
          <w:color w:val="000000"/>
          <w:kern w:val="0"/>
          <w:sz w:val="32"/>
          <w:szCs w:val="32"/>
        </w:rPr>
      </w:pPr>
      <w:r>
        <w:rPr>
          <w:rFonts w:eastAsia="仿宋_GB2312"/>
          <w:color w:val="000000"/>
          <w:kern w:val="0"/>
          <w:sz w:val="32"/>
          <w:szCs w:val="32"/>
        </w:rPr>
        <w:t>推动首都教育高质量发展，办好人民满意的首都教育。落实党的二十大关于教育的新部署新要求，组建工作专班开展调研，形成北京教育系统学习贯彻党的二十大精神《战略谋划调研报告》《战略安排和行动方案》。在北大红楼等地建设一批思政课实践教学基地，率先组建北京市大中小学思政课一体化建设领导小组，持续推进一体化建设。扎实推进“三全育人”综合改革，推行驻楼辅导员制度，打通思政工作“最后一公里”。加强督查督办，建立“1+2+N”的教育改革督察体系，以《督查快报》形式反馈阶段进展，确保各项工作落地见效。强化全面从严治党（党建）工作考核和政治生态分析研判结果反馈，健全督促整改6项机制，层层压实整改责任。完成中央巡视市委反馈问题中教育两委承担的整改任务，形成44项建章立制成果。首都教育治理能力和水平得到更进一步提升。</w:t>
      </w:r>
    </w:p>
    <w:p w14:paraId="1ADBB2AD">
      <w:pPr>
        <w:spacing w:line="560" w:lineRule="exact"/>
        <w:ind w:firstLine="640" w:firstLineChars="200"/>
        <w:rPr>
          <w:rFonts w:eastAsia="仿宋_GB2312"/>
          <w:color w:val="000000"/>
          <w:kern w:val="0"/>
          <w:sz w:val="32"/>
          <w:szCs w:val="32"/>
        </w:rPr>
      </w:pPr>
      <w:r>
        <w:rPr>
          <w:rFonts w:eastAsia="仿宋_GB2312"/>
          <w:color w:val="000000"/>
          <w:kern w:val="0"/>
          <w:sz w:val="32"/>
          <w:szCs w:val="32"/>
        </w:rPr>
        <w:t>4.产出成本</w:t>
      </w:r>
    </w:p>
    <w:p w14:paraId="18D11A8B">
      <w:pPr>
        <w:spacing w:line="560" w:lineRule="exact"/>
        <w:ind w:left="105" w:leftChars="50" w:firstLine="640" w:firstLineChars="200"/>
        <w:rPr>
          <w:rFonts w:eastAsia="仿宋_GB2312"/>
          <w:color w:val="000000"/>
          <w:kern w:val="0"/>
          <w:sz w:val="32"/>
          <w:szCs w:val="32"/>
        </w:rPr>
      </w:pPr>
      <w:r>
        <w:rPr>
          <w:rFonts w:eastAsia="仿宋_GB2312"/>
          <w:color w:val="000000"/>
          <w:kern w:val="0"/>
          <w:sz w:val="32"/>
          <w:szCs w:val="32"/>
        </w:rPr>
        <w:t>2022年总支出26424.45万元，其中基本支出4715.74万元，占总支出的17.85%；项目支出21708.71万元，占总支出的82.15%。2022年总支出比2021年减少552.95万元，降幅2.05%，主要是根据事业发展规划，调整部分预算，用于保障年度重大活动和重点工作，无超预算支出、资金浪费等现象。</w:t>
      </w:r>
    </w:p>
    <w:p w14:paraId="4EFD7508">
      <w:pPr>
        <w:spacing w:line="560" w:lineRule="exact"/>
        <w:ind w:left="105" w:leftChars="50" w:firstLine="480" w:firstLineChars="150"/>
        <w:rPr>
          <w:rFonts w:eastAsia="楷体_GB2312"/>
          <w:sz w:val="32"/>
          <w:szCs w:val="32"/>
        </w:rPr>
      </w:pPr>
      <w:r>
        <w:rPr>
          <w:rFonts w:eastAsia="楷体_GB2312"/>
          <w:sz w:val="32"/>
          <w:szCs w:val="32"/>
        </w:rPr>
        <w:t>（二）效果实现情况分析</w:t>
      </w:r>
    </w:p>
    <w:p w14:paraId="7CA56999">
      <w:pPr>
        <w:spacing w:line="560" w:lineRule="exact"/>
        <w:ind w:left="105" w:leftChars="50" w:firstLine="480" w:firstLineChars="150"/>
        <w:rPr>
          <w:rFonts w:eastAsia="仿宋_GB2312"/>
          <w:color w:val="000000"/>
          <w:kern w:val="0"/>
          <w:sz w:val="32"/>
          <w:szCs w:val="32"/>
        </w:rPr>
      </w:pPr>
      <w:r>
        <w:rPr>
          <w:rFonts w:hint="eastAsia" w:eastAsia="仿宋_GB2312"/>
          <w:color w:val="000000"/>
          <w:kern w:val="0"/>
          <w:sz w:val="32"/>
          <w:szCs w:val="32"/>
        </w:rPr>
        <w:t>1</w:t>
      </w:r>
      <w:r>
        <w:rPr>
          <w:rFonts w:eastAsia="仿宋_GB2312"/>
          <w:color w:val="000000"/>
          <w:kern w:val="0"/>
          <w:sz w:val="32"/>
          <w:szCs w:val="32"/>
        </w:rPr>
        <w:t>.社会效益</w:t>
      </w:r>
    </w:p>
    <w:p w14:paraId="53E20AD7">
      <w:pPr>
        <w:spacing w:line="560" w:lineRule="exact"/>
        <w:ind w:left="105" w:leftChars="50" w:firstLine="640" w:firstLineChars="200"/>
        <w:rPr>
          <w:rFonts w:eastAsia="仿宋_GB2312"/>
          <w:color w:val="000000"/>
          <w:kern w:val="0"/>
          <w:sz w:val="32"/>
          <w:szCs w:val="32"/>
        </w:rPr>
      </w:pPr>
      <w:r>
        <w:rPr>
          <w:rFonts w:eastAsia="仿宋_GB2312"/>
          <w:color w:val="000000"/>
          <w:kern w:val="0"/>
          <w:sz w:val="32"/>
          <w:szCs w:val="32"/>
        </w:rPr>
        <w:t>推动习近平新时代中国特色社会主义思想在教育系统形成生动实践。加强理论武装，用习近平新时代中国特色社会主义思想武装头脑、指导实践、推动工作，以理论上的清醒确保政治上的坚定。充分利用首都优势，试点建设“习近平新时代中国特色社会主义思想在京华大地的生动实践”思政课程群，推动总书记重要讲话指示批示精神在教育系统落地生根、开花结果。</w:t>
      </w:r>
      <w:r>
        <w:rPr>
          <w:rFonts w:hint="eastAsia" w:eastAsia="仿宋_GB2312"/>
          <w:color w:val="000000"/>
          <w:kern w:val="0"/>
          <w:sz w:val="32"/>
          <w:szCs w:val="32"/>
        </w:rPr>
        <w:t>做好迎接、服务、学习宣传贯彻党的二十大各项工作，落实党的二十大关于教育的新部署新要求，组建工作专班开展调研，形成北京教育系统学习贯彻党的二十大精神《战略谋划调研报告》和《战略安排和行动方案》。圆满完成北京冬奥盛会服务保障，</w:t>
      </w:r>
      <w:r>
        <w:rPr>
          <w:rFonts w:eastAsia="仿宋_GB2312"/>
          <w:color w:val="000000"/>
          <w:kern w:val="0"/>
          <w:sz w:val="32"/>
          <w:szCs w:val="32"/>
        </w:rPr>
        <w:t>全方位生动体现了文化自信和大国情怀，助力冰雪盛会惊艳世界，得到了沪宁、蔡奇、春兰同志的多次肯定和表扬。全力抓好疫情防控</w:t>
      </w:r>
      <w:r>
        <w:rPr>
          <w:rFonts w:hint="eastAsia" w:eastAsia="仿宋_GB2312"/>
          <w:color w:val="000000"/>
          <w:kern w:val="0"/>
          <w:sz w:val="32"/>
          <w:szCs w:val="32"/>
        </w:rPr>
        <w:t>，打赢“抗疫组考”，提前设置多种疫情应急场景，细化工作措施，制定工作标准和处置流程，中高考、研究生考试实现了如期考试，得到了教育部领导的充分肯定。推动首都教育高质量发展，办好人民满意的首都教育，落实立德树人根本任务，毕业生就业总体稳定。推进教育治理能力现代化，坚决维护校园安全稳定，针对疫情防控、教育教学、安全稳定等形势变化，加强对各区、各高校的工作调度和具体指导，因时因势调整政策措施，完善沟通协调机制，形成了高效统筹、上下贯通、协调一致的工作格局。守好意识形态阵地，坚持把维护政治安全摆在首位，健全全流程风险防控机制，不断提高应对风险的发现力、研判力、处置力，</w:t>
      </w:r>
      <w:r>
        <w:rPr>
          <w:rFonts w:eastAsia="仿宋_GB2312"/>
          <w:color w:val="000000"/>
          <w:kern w:val="0"/>
          <w:sz w:val="32"/>
          <w:szCs w:val="32"/>
        </w:rPr>
        <w:t>建设更高水平平安</w:t>
      </w:r>
      <w:r>
        <w:rPr>
          <w:rFonts w:hint="eastAsia" w:eastAsia="仿宋_GB2312"/>
          <w:color w:val="000000"/>
          <w:kern w:val="0"/>
          <w:sz w:val="32"/>
          <w:szCs w:val="32"/>
        </w:rPr>
        <w:t>校园。</w:t>
      </w:r>
    </w:p>
    <w:p w14:paraId="0E1035E9">
      <w:pPr>
        <w:spacing w:line="560" w:lineRule="exact"/>
        <w:ind w:left="105" w:leftChars="50" w:firstLine="480" w:firstLineChars="150"/>
        <w:rPr>
          <w:rFonts w:eastAsia="仿宋_GB2312"/>
          <w:color w:val="000000"/>
          <w:kern w:val="0"/>
          <w:sz w:val="32"/>
          <w:szCs w:val="32"/>
        </w:rPr>
      </w:pPr>
      <w:r>
        <w:rPr>
          <w:rFonts w:hint="eastAsia" w:eastAsia="仿宋_GB2312"/>
          <w:color w:val="000000"/>
          <w:kern w:val="0"/>
          <w:sz w:val="32"/>
          <w:szCs w:val="32"/>
        </w:rPr>
        <w:t>2</w:t>
      </w:r>
      <w:r>
        <w:rPr>
          <w:rFonts w:eastAsia="仿宋_GB2312"/>
          <w:color w:val="000000"/>
          <w:kern w:val="0"/>
          <w:sz w:val="32"/>
          <w:szCs w:val="32"/>
        </w:rPr>
        <w:t>.环境效益</w:t>
      </w:r>
    </w:p>
    <w:p w14:paraId="31845E34">
      <w:pPr>
        <w:spacing w:line="560" w:lineRule="exact"/>
        <w:ind w:left="105" w:leftChars="50" w:firstLine="640" w:firstLineChars="200"/>
        <w:rPr>
          <w:rFonts w:eastAsia="仿宋_GB2312"/>
          <w:color w:val="000000"/>
          <w:kern w:val="0"/>
          <w:sz w:val="32"/>
          <w:szCs w:val="32"/>
        </w:rPr>
      </w:pPr>
      <w:r>
        <w:rPr>
          <w:rFonts w:eastAsia="仿宋_GB2312"/>
          <w:color w:val="000000"/>
          <w:kern w:val="0"/>
          <w:sz w:val="32"/>
          <w:szCs w:val="32"/>
        </w:rPr>
        <w:t>压实管党治党政治责任。组织召开2022年北京教育系统全面从严治党工作会议，开展党风廉政建设实地检查，推动主体责任向高校和各区教育系统延伸传导。落实中央八项规定精神及市委贯彻落实办法，推进党建引领机关干部“在基层、转作风、解难题”。坚持全面从严治党永远在路上，坚决查处违纪违法问题，深化“以案为鉴、以案促改”警示教育机制，营造风清气正育人环境。</w:t>
      </w:r>
    </w:p>
    <w:p w14:paraId="39FECD14">
      <w:pPr>
        <w:spacing w:line="560" w:lineRule="exact"/>
        <w:ind w:left="105" w:leftChars="50" w:firstLine="480" w:firstLineChars="150"/>
        <w:rPr>
          <w:rFonts w:eastAsia="仿宋_GB2312"/>
          <w:color w:val="000000"/>
          <w:kern w:val="0"/>
          <w:sz w:val="32"/>
          <w:szCs w:val="32"/>
        </w:rPr>
      </w:pPr>
      <w:r>
        <w:rPr>
          <w:rFonts w:hint="eastAsia" w:eastAsia="仿宋_GB2312"/>
          <w:color w:val="000000"/>
          <w:kern w:val="0"/>
          <w:sz w:val="32"/>
          <w:szCs w:val="32"/>
        </w:rPr>
        <w:t>3</w:t>
      </w:r>
      <w:r>
        <w:rPr>
          <w:rFonts w:eastAsia="仿宋_GB2312"/>
          <w:color w:val="000000"/>
          <w:kern w:val="0"/>
          <w:sz w:val="32"/>
          <w:szCs w:val="32"/>
        </w:rPr>
        <w:t>.可持续性影响</w:t>
      </w:r>
    </w:p>
    <w:p w14:paraId="36917B8B">
      <w:pPr>
        <w:spacing w:line="560" w:lineRule="exact"/>
        <w:ind w:left="105" w:leftChars="50" w:firstLine="640" w:firstLineChars="200"/>
        <w:rPr>
          <w:rFonts w:eastAsia="仿宋_GB2312"/>
          <w:color w:val="000000"/>
          <w:kern w:val="0"/>
          <w:sz w:val="32"/>
          <w:szCs w:val="32"/>
        </w:rPr>
      </w:pPr>
      <w:r>
        <w:rPr>
          <w:rFonts w:eastAsia="仿宋_GB2312"/>
          <w:color w:val="000000"/>
          <w:kern w:val="0"/>
          <w:sz w:val="32"/>
          <w:szCs w:val="32"/>
        </w:rPr>
        <w:t>深化教育综合改革。教育评价改革持续深化，建立教育评价改革工作台账，推动各项改革向纵深推进。认真落实重大事项请示报告制度，两委向市委市政府请示报告重大事项17项，多次得到市委市政府主要领导批示肯定。严格落实民主集中制，不断提高科学决策、民主决策、依法决策能力水平。加强制度建设，不断规范党内政治生活。</w:t>
      </w:r>
    </w:p>
    <w:p w14:paraId="2801A2A0">
      <w:pPr>
        <w:spacing w:line="560" w:lineRule="exact"/>
        <w:ind w:left="105" w:leftChars="50" w:firstLine="480" w:firstLineChars="150"/>
        <w:rPr>
          <w:rFonts w:eastAsia="仿宋_GB2312"/>
          <w:color w:val="000000"/>
          <w:kern w:val="0"/>
          <w:sz w:val="32"/>
          <w:szCs w:val="32"/>
        </w:rPr>
      </w:pPr>
      <w:r>
        <w:rPr>
          <w:rFonts w:hint="eastAsia" w:eastAsia="仿宋_GB2312"/>
          <w:color w:val="000000"/>
          <w:kern w:val="0"/>
          <w:sz w:val="32"/>
          <w:szCs w:val="32"/>
        </w:rPr>
        <w:t>4</w:t>
      </w:r>
      <w:r>
        <w:rPr>
          <w:rFonts w:eastAsia="仿宋_GB2312"/>
          <w:color w:val="000000"/>
          <w:kern w:val="0"/>
          <w:sz w:val="32"/>
          <w:szCs w:val="32"/>
        </w:rPr>
        <w:t>.服务对象满意度</w:t>
      </w:r>
    </w:p>
    <w:p w14:paraId="3D82D680">
      <w:pPr>
        <w:spacing w:line="560" w:lineRule="exact"/>
        <w:ind w:left="105" w:leftChars="50" w:firstLine="640" w:firstLineChars="200"/>
        <w:rPr>
          <w:rFonts w:eastAsia="仿宋_GB2312"/>
          <w:color w:val="000000"/>
          <w:kern w:val="0"/>
          <w:sz w:val="32"/>
          <w:szCs w:val="32"/>
        </w:rPr>
      </w:pPr>
      <w:r>
        <w:rPr>
          <w:rFonts w:eastAsia="仿宋_GB2312"/>
          <w:color w:val="000000"/>
          <w:kern w:val="0"/>
          <w:sz w:val="32"/>
          <w:szCs w:val="32"/>
        </w:rPr>
        <w:t>全力办好教育民生实事，做好“双减”后半篇文章。全面推开校长教师交流轮岗工作，2.4万余人参与，占符合条件校长教师总数的43%。完成2022年中小学教学管理“接诉即办每月一题”任务，解决问题满意度位居全市第一名。2022年北京公众教育满意度为86分，在去年增加4.3分基础上，再增加0.3分。</w:t>
      </w:r>
    </w:p>
    <w:p w14:paraId="528FF222">
      <w:pPr>
        <w:spacing w:line="560" w:lineRule="exact"/>
        <w:ind w:left="105" w:leftChars="50" w:firstLine="480" w:firstLineChars="150"/>
        <w:rPr>
          <w:rFonts w:eastAsia="黑体"/>
          <w:color w:val="000000"/>
          <w:kern w:val="0"/>
          <w:sz w:val="32"/>
          <w:szCs w:val="32"/>
        </w:rPr>
      </w:pPr>
      <w:r>
        <w:rPr>
          <w:rFonts w:eastAsia="黑体"/>
          <w:color w:val="000000"/>
          <w:kern w:val="0"/>
          <w:sz w:val="32"/>
          <w:szCs w:val="32"/>
        </w:rPr>
        <w:t>四、预算管理情况分析</w:t>
      </w:r>
    </w:p>
    <w:p w14:paraId="44705E48">
      <w:pPr>
        <w:spacing w:line="560" w:lineRule="exact"/>
        <w:ind w:left="105" w:leftChars="50" w:firstLine="480" w:firstLineChars="150"/>
        <w:rPr>
          <w:rFonts w:eastAsia="楷体_GB2312"/>
          <w:sz w:val="32"/>
          <w:szCs w:val="32"/>
        </w:rPr>
      </w:pPr>
      <w:r>
        <w:rPr>
          <w:rFonts w:eastAsia="楷体_GB2312"/>
          <w:sz w:val="32"/>
          <w:szCs w:val="32"/>
        </w:rPr>
        <w:t>（一）财务管理</w:t>
      </w:r>
    </w:p>
    <w:p w14:paraId="3940BA8D">
      <w:pPr>
        <w:spacing w:line="560" w:lineRule="exact"/>
        <w:ind w:left="105" w:leftChars="50" w:firstLine="480" w:firstLineChars="150"/>
        <w:rPr>
          <w:rFonts w:eastAsia="仿宋_GB2312"/>
          <w:color w:val="000000"/>
          <w:kern w:val="0"/>
          <w:sz w:val="32"/>
          <w:szCs w:val="32"/>
        </w:rPr>
      </w:pPr>
      <w:r>
        <w:rPr>
          <w:rFonts w:eastAsia="仿宋_GB2312"/>
          <w:color w:val="000000"/>
          <w:kern w:val="0"/>
          <w:sz w:val="32"/>
          <w:szCs w:val="32"/>
        </w:rPr>
        <w:t>1.财务管理制度健全性</w:t>
      </w:r>
    </w:p>
    <w:p w14:paraId="082D486A">
      <w:pPr>
        <w:spacing w:line="560" w:lineRule="exact"/>
        <w:ind w:left="105" w:leftChars="50" w:firstLine="640" w:firstLineChars="200"/>
        <w:rPr>
          <w:rFonts w:eastAsia="仿宋_GB2312"/>
          <w:color w:val="000000"/>
          <w:kern w:val="0"/>
          <w:sz w:val="32"/>
          <w:szCs w:val="32"/>
        </w:rPr>
      </w:pPr>
      <w:r>
        <w:rPr>
          <w:rFonts w:eastAsia="仿宋_GB2312"/>
          <w:color w:val="000000"/>
          <w:kern w:val="0"/>
          <w:sz w:val="32"/>
          <w:szCs w:val="32"/>
        </w:rPr>
        <w:t>中国共产党北京市委员会教育工作委员会不断完善财务管理制度，推进财务规范化执行。根据机构改革方案，结合部门职责，修订市委教育工委各项财务管理办法。为更好服务决策，成立市委教育工委财务工作领导小组，制定工作规则，审定重要财务制度。近年来，根据上级文件，持续启动单位管理办法制定工作，包括经费结算细则、福利费管理办法等，</w:t>
      </w:r>
      <w:r>
        <w:rPr>
          <w:rFonts w:hint="eastAsia" w:eastAsia="仿宋_GB2312"/>
          <w:color w:val="000000"/>
          <w:kern w:val="0"/>
          <w:sz w:val="32"/>
          <w:szCs w:val="32"/>
        </w:rPr>
        <w:t>确保</w:t>
      </w:r>
      <w:r>
        <w:rPr>
          <w:rFonts w:eastAsia="仿宋_GB2312"/>
          <w:color w:val="000000"/>
          <w:kern w:val="0"/>
          <w:sz w:val="32"/>
          <w:szCs w:val="32"/>
        </w:rPr>
        <w:t>各项支出有据可依。</w:t>
      </w:r>
    </w:p>
    <w:p w14:paraId="2119EE41">
      <w:pPr>
        <w:spacing w:line="560" w:lineRule="exact"/>
        <w:ind w:left="105" w:leftChars="50" w:firstLine="480" w:firstLineChars="150"/>
        <w:rPr>
          <w:rFonts w:eastAsia="仿宋_GB2312"/>
          <w:color w:val="000000"/>
          <w:kern w:val="0"/>
          <w:sz w:val="32"/>
          <w:szCs w:val="32"/>
        </w:rPr>
      </w:pPr>
      <w:r>
        <w:rPr>
          <w:rFonts w:eastAsia="仿宋_GB2312"/>
          <w:color w:val="000000"/>
          <w:kern w:val="0"/>
          <w:sz w:val="32"/>
          <w:szCs w:val="32"/>
        </w:rPr>
        <w:t>2.资金使用合规性和安全性</w:t>
      </w:r>
    </w:p>
    <w:p w14:paraId="68CC864C">
      <w:pPr>
        <w:spacing w:line="560" w:lineRule="exact"/>
        <w:ind w:left="105" w:leftChars="50" w:firstLine="640" w:firstLineChars="200"/>
        <w:rPr>
          <w:rFonts w:eastAsia="仿宋_GB2312"/>
          <w:color w:val="000000"/>
          <w:kern w:val="0"/>
          <w:sz w:val="32"/>
          <w:szCs w:val="32"/>
        </w:rPr>
      </w:pPr>
      <w:r>
        <w:rPr>
          <w:rFonts w:eastAsia="仿宋_GB2312"/>
          <w:color w:val="000000"/>
          <w:kern w:val="0"/>
          <w:sz w:val="32"/>
          <w:szCs w:val="32"/>
        </w:rPr>
        <w:t>中国共产党北京市委员会教育工作委员会严格按照预算批复开支经费，落实中央八项规定精神，遵守财经纪律，报销结算过程中严格按照中央和北京市的支出标准、流程、管理等方面要求执行，坚持“无预算不支出、超预算不执行”的原则。支出审核手续完备，确保各项资金安全规范有效使用。</w:t>
      </w:r>
    </w:p>
    <w:p w14:paraId="37DA312F">
      <w:pPr>
        <w:spacing w:line="560" w:lineRule="exact"/>
        <w:ind w:left="105" w:leftChars="50" w:firstLine="480" w:firstLineChars="150"/>
        <w:rPr>
          <w:rFonts w:eastAsia="仿宋_GB2312"/>
          <w:color w:val="000000"/>
          <w:kern w:val="0"/>
          <w:sz w:val="32"/>
          <w:szCs w:val="32"/>
        </w:rPr>
      </w:pPr>
      <w:r>
        <w:rPr>
          <w:rFonts w:eastAsia="仿宋_GB2312"/>
          <w:color w:val="000000"/>
          <w:kern w:val="0"/>
          <w:sz w:val="32"/>
          <w:szCs w:val="32"/>
        </w:rPr>
        <w:t>3.会计基础信息完善性</w:t>
      </w:r>
    </w:p>
    <w:p w14:paraId="7E28D97F">
      <w:pPr>
        <w:spacing w:line="560" w:lineRule="exact"/>
        <w:ind w:left="105" w:leftChars="50" w:firstLine="640" w:firstLineChars="200"/>
        <w:rPr>
          <w:rFonts w:eastAsia="仿宋_GB2312"/>
          <w:color w:val="000000"/>
          <w:kern w:val="0"/>
          <w:sz w:val="32"/>
          <w:szCs w:val="32"/>
        </w:rPr>
      </w:pPr>
      <w:r>
        <w:rPr>
          <w:rFonts w:eastAsia="仿宋_GB2312"/>
          <w:color w:val="000000"/>
          <w:kern w:val="0"/>
          <w:sz w:val="32"/>
          <w:szCs w:val="32"/>
        </w:rPr>
        <w:t>加强会计基础工作，确保会计信息的真实性、准确性和完整性，提高会计信息质量。优化经费支出审批流程，加强会计凭证的审核。探索会计信息化管理，将会计核算、财务管理等多项工作落到实处，不断提高会计基础信息管理水平。</w:t>
      </w:r>
    </w:p>
    <w:p w14:paraId="7443710F">
      <w:pPr>
        <w:spacing w:line="560" w:lineRule="exact"/>
        <w:ind w:left="105" w:leftChars="50" w:firstLine="480" w:firstLineChars="150"/>
        <w:rPr>
          <w:rFonts w:eastAsia="楷体_GB2312"/>
          <w:sz w:val="32"/>
          <w:szCs w:val="32"/>
        </w:rPr>
      </w:pPr>
      <w:r>
        <w:rPr>
          <w:rFonts w:eastAsia="楷体_GB2312"/>
          <w:sz w:val="32"/>
          <w:szCs w:val="32"/>
        </w:rPr>
        <w:t>（二）资产管理</w:t>
      </w:r>
    </w:p>
    <w:p w14:paraId="3A4C4013">
      <w:pPr>
        <w:spacing w:line="560" w:lineRule="exact"/>
        <w:ind w:left="105" w:leftChars="50" w:firstLine="640" w:firstLineChars="200"/>
        <w:rPr>
          <w:rFonts w:eastAsia="楷体_GB2312"/>
          <w:sz w:val="32"/>
          <w:szCs w:val="32"/>
        </w:rPr>
      </w:pPr>
      <w:r>
        <w:rPr>
          <w:rFonts w:eastAsia="仿宋_GB2312"/>
          <w:color w:val="000000"/>
          <w:sz w:val="32"/>
          <w:szCs w:val="32"/>
        </w:rPr>
        <w:t>落实《中共北京市委教育工作委员会固定资产管理若干规定》，严格资产配置的审批程序。定期开展资产清查盘点，充分了解掌握资产现状，根据存量提出资产配置方案，盘活存量资产，提高资产使用效益。</w:t>
      </w:r>
    </w:p>
    <w:p w14:paraId="10CBB3E5">
      <w:pPr>
        <w:spacing w:line="560" w:lineRule="exact"/>
        <w:ind w:left="105" w:leftChars="50" w:firstLine="480" w:firstLineChars="150"/>
        <w:rPr>
          <w:rFonts w:eastAsia="楷体_GB2312"/>
          <w:sz w:val="32"/>
          <w:szCs w:val="32"/>
        </w:rPr>
      </w:pPr>
      <w:r>
        <w:rPr>
          <w:rFonts w:eastAsia="楷体_GB2312"/>
          <w:sz w:val="32"/>
          <w:szCs w:val="32"/>
        </w:rPr>
        <w:t>（三）绩效管理</w:t>
      </w:r>
    </w:p>
    <w:p w14:paraId="6C35D156">
      <w:pPr>
        <w:snapToGrid w:val="0"/>
        <w:spacing w:line="560" w:lineRule="exact"/>
        <w:ind w:firstLine="640" w:firstLineChars="200"/>
        <w:rPr>
          <w:rFonts w:eastAsia="仿宋_GB2312"/>
          <w:sz w:val="32"/>
          <w:szCs w:val="32"/>
        </w:rPr>
      </w:pPr>
      <w:r>
        <w:rPr>
          <w:rFonts w:eastAsia="仿宋_GB2312"/>
          <w:sz w:val="32"/>
          <w:szCs w:val="32"/>
        </w:rPr>
        <w:t>将绩效理念深度融入预算编制、执行、监督全过程，年初预算项目全部实现绩效目标填报管理，新增项目严格开展事前绩效评估。印发《市委教育工委关于做好2022年全面预算绩效管理工作的通知》，明确工作内容和职责分工，组织各处室稳步做好项目支出绩效自评、重点项目绩效评价、成本绩效分析、部门整体绩效评价等工作。梳理分行业分领域预算绩效指标，汇编形成市委教育工委绩效指标体系。</w:t>
      </w:r>
    </w:p>
    <w:p w14:paraId="2D22936E">
      <w:pPr>
        <w:spacing w:line="560" w:lineRule="exact"/>
        <w:ind w:left="105" w:leftChars="50" w:firstLine="480" w:firstLineChars="150"/>
        <w:rPr>
          <w:rFonts w:eastAsia="楷体_GB2312"/>
          <w:sz w:val="32"/>
          <w:szCs w:val="32"/>
        </w:rPr>
      </w:pPr>
      <w:r>
        <w:rPr>
          <w:rFonts w:eastAsia="楷体_GB2312"/>
          <w:sz w:val="32"/>
          <w:szCs w:val="32"/>
        </w:rPr>
        <w:t>（四）结转结余率</w:t>
      </w:r>
    </w:p>
    <w:p w14:paraId="0C85FB66">
      <w:pPr>
        <w:spacing w:line="560" w:lineRule="exact"/>
        <w:ind w:left="105" w:leftChars="50" w:firstLine="640" w:firstLineChars="200"/>
        <w:rPr>
          <w:rFonts w:eastAsia="仿宋_GB2312"/>
          <w:sz w:val="32"/>
          <w:szCs w:val="32"/>
        </w:rPr>
      </w:pPr>
      <w:r>
        <w:rPr>
          <w:rFonts w:eastAsia="仿宋_GB2312"/>
          <w:sz w:val="32"/>
          <w:szCs w:val="32"/>
        </w:rPr>
        <w:t>2022年末总结转结余资金1687.30万元，结转结余率为6%，按照资金来源划分，其中：一般公共预算财政拨款结转结余1273.29万元，主要是培训费、会议费、因公出国（境）费、以及受疫情影响未能如期开展的部分活动经费等；基本户账户年末结转结余资金414.01万元，为历年滚存收支结余。</w:t>
      </w:r>
    </w:p>
    <w:p w14:paraId="3B9BD67A">
      <w:pPr>
        <w:spacing w:line="560" w:lineRule="exact"/>
        <w:ind w:left="105" w:leftChars="50" w:firstLine="480" w:firstLineChars="150"/>
        <w:rPr>
          <w:rFonts w:eastAsia="楷体_GB2312"/>
          <w:sz w:val="32"/>
          <w:szCs w:val="32"/>
        </w:rPr>
      </w:pPr>
      <w:r>
        <w:rPr>
          <w:rFonts w:eastAsia="楷体_GB2312"/>
          <w:sz w:val="32"/>
          <w:szCs w:val="32"/>
        </w:rPr>
        <w:t>（五）部门预决算差异率</w:t>
      </w:r>
    </w:p>
    <w:p w14:paraId="72C26128">
      <w:pPr>
        <w:spacing w:line="560" w:lineRule="exact"/>
        <w:ind w:left="105" w:leftChars="50" w:firstLine="640" w:firstLineChars="200"/>
        <w:rPr>
          <w:rFonts w:eastAsia="仿宋_GB2312"/>
          <w:sz w:val="32"/>
          <w:szCs w:val="32"/>
        </w:rPr>
      </w:pPr>
      <w:r>
        <w:rPr>
          <w:rFonts w:eastAsia="仿宋_GB2312"/>
          <w:sz w:val="32"/>
          <w:szCs w:val="32"/>
        </w:rPr>
        <w:t>2022年支出决算数为26424.45万元，年初预算数为29018.54万元，支出决算数比年初预算数少2594.09万元，差异率为8.94%。其中，基本支出年初预算数为4470.11万元，决算数为4715.74万元，决算数比年初预算数增加245.63万元，产生差异的主要原因是根据全市统一安排调整工资水平；项目支出年初预算数为24548.43万元，决算数为21708.71万元，决算数比年初预算数减少2839.72万元，主要原因是受疫情影响，调整部分项目预算。</w:t>
      </w:r>
    </w:p>
    <w:p w14:paraId="1F4395F5">
      <w:pPr>
        <w:spacing w:line="560" w:lineRule="exact"/>
        <w:ind w:left="105" w:leftChars="50" w:firstLine="480" w:firstLineChars="150"/>
        <w:rPr>
          <w:rFonts w:eastAsia="黑体"/>
          <w:sz w:val="32"/>
          <w:szCs w:val="32"/>
        </w:rPr>
      </w:pPr>
      <w:r>
        <w:rPr>
          <w:rFonts w:eastAsia="黑体"/>
          <w:sz w:val="32"/>
          <w:szCs w:val="32"/>
        </w:rPr>
        <w:t>五、总体评价结论</w:t>
      </w:r>
    </w:p>
    <w:p w14:paraId="71049A8F">
      <w:pPr>
        <w:spacing w:line="560" w:lineRule="exact"/>
        <w:ind w:left="105" w:leftChars="50" w:firstLine="480" w:firstLineChars="150"/>
        <w:rPr>
          <w:rFonts w:eastAsia="楷体_GB2312"/>
          <w:sz w:val="32"/>
          <w:szCs w:val="32"/>
        </w:rPr>
      </w:pPr>
      <w:r>
        <w:rPr>
          <w:rFonts w:eastAsia="楷体_GB2312"/>
          <w:sz w:val="32"/>
          <w:szCs w:val="32"/>
        </w:rPr>
        <w:t>（一）评价得分情况</w:t>
      </w:r>
    </w:p>
    <w:p w14:paraId="1589851F">
      <w:pPr>
        <w:spacing w:line="560" w:lineRule="exact"/>
        <w:ind w:left="105" w:leftChars="50" w:firstLine="640" w:firstLineChars="200"/>
        <w:rPr>
          <w:rFonts w:eastAsia="仿宋_GB2312"/>
          <w:sz w:val="32"/>
          <w:szCs w:val="32"/>
        </w:rPr>
      </w:pPr>
      <w:r>
        <w:rPr>
          <w:rFonts w:eastAsia="仿宋_GB2312"/>
          <w:sz w:val="32"/>
          <w:szCs w:val="32"/>
        </w:rPr>
        <w:t>经综合评价，市委教育工委2022年部门整体绩效评价得分为</w:t>
      </w:r>
      <w:r>
        <w:rPr>
          <w:rFonts w:eastAsia="仿宋_GB2312"/>
          <w:sz w:val="32"/>
        </w:rPr>
        <w:t>95.39</w:t>
      </w:r>
      <w:r>
        <w:rPr>
          <w:rFonts w:hint="eastAsia" w:eastAsia="仿宋_GB2312"/>
          <w:sz w:val="32"/>
        </w:rPr>
        <w:t>分</w:t>
      </w:r>
      <w:r>
        <w:rPr>
          <w:rFonts w:eastAsia="仿宋_GB2312"/>
          <w:sz w:val="32"/>
          <w:szCs w:val="32"/>
        </w:rPr>
        <w:t>。</w:t>
      </w:r>
    </w:p>
    <w:p w14:paraId="51BE3ED9">
      <w:pPr>
        <w:spacing w:line="560" w:lineRule="exact"/>
        <w:ind w:left="105" w:leftChars="50" w:firstLine="480" w:firstLineChars="150"/>
        <w:rPr>
          <w:rFonts w:eastAsia="楷体_GB2312"/>
          <w:sz w:val="32"/>
          <w:szCs w:val="32"/>
        </w:rPr>
      </w:pPr>
      <w:r>
        <w:rPr>
          <w:rFonts w:eastAsia="楷体_GB2312"/>
          <w:sz w:val="32"/>
          <w:szCs w:val="32"/>
        </w:rPr>
        <w:t>（二）存在的问题及原因分析</w:t>
      </w:r>
    </w:p>
    <w:p w14:paraId="515F1A9B">
      <w:pPr>
        <w:spacing w:line="560" w:lineRule="exact"/>
        <w:ind w:left="105" w:leftChars="50" w:firstLine="640" w:firstLineChars="200"/>
        <w:rPr>
          <w:rFonts w:eastAsia="仿宋_GB2312"/>
          <w:sz w:val="32"/>
          <w:szCs w:val="32"/>
        </w:rPr>
      </w:pPr>
      <w:r>
        <w:rPr>
          <w:rFonts w:eastAsia="仿宋_GB2312"/>
          <w:sz w:val="32"/>
          <w:szCs w:val="32"/>
        </w:rPr>
        <w:t>一是</w:t>
      </w:r>
      <w:r>
        <w:rPr>
          <w:rFonts w:hint="eastAsia" w:eastAsia="仿宋_GB2312"/>
          <w:sz w:val="32"/>
          <w:szCs w:val="32"/>
        </w:rPr>
        <w:t>项目绩效管理的重视意识有待加强。通过分析发现，部分项目在设定绩效目标时，对可操性、科学性绩效指标考虑得不够全面，项目负责人对预算绩效管理参与积极性不高。</w:t>
      </w:r>
    </w:p>
    <w:p w14:paraId="0C217562">
      <w:pPr>
        <w:spacing w:line="560" w:lineRule="exact"/>
        <w:ind w:firstLine="640" w:firstLineChars="200"/>
        <w:rPr>
          <w:rFonts w:eastAsia="仿宋_GB2312"/>
          <w:sz w:val="32"/>
          <w:szCs w:val="32"/>
        </w:rPr>
      </w:pPr>
      <w:r>
        <w:rPr>
          <w:rFonts w:eastAsia="仿宋_GB2312"/>
          <w:sz w:val="32"/>
          <w:szCs w:val="32"/>
        </w:rPr>
        <w:t>二是</w:t>
      </w:r>
      <w:r>
        <w:rPr>
          <w:rFonts w:hint="eastAsia" w:eastAsia="仿宋_GB2312"/>
          <w:sz w:val="32"/>
          <w:szCs w:val="32"/>
        </w:rPr>
        <w:t>可量化绩效指标相对缺乏。作为党的机关，项目绩效产出的经济、社会、环境效益难以量化体现，如何科学、合理确定绩效指标是需要长期研究的课题。</w:t>
      </w:r>
    </w:p>
    <w:p w14:paraId="3FC3AEB2">
      <w:pPr>
        <w:spacing w:line="560" w:lineRule="exact"/>
        <w:ind w:firstLine="640" w:firstLineChars="200"/>
        <w:rPr>
          <w:rFonts w:eastAsia="仿宋_GB2312"/>
          <w:color w:val="000000"/>
          <w:kern w:val="0"/>
          <w:sz w:val="32"/>
          <w:szCs w:val="32"/>
        </w:rPr>
      </w:pPr>
      <w:r>
        <w:rPr>
          <w:rFonts w:eastAsia="黑体"/>
          <w:color w:val="000000"/>
          <w:kern w:val="0"/>
          <w:sz w:val="32"/>
          <w:szCs w:val="32"/>
        </w:rPr>
        <w:t>六、措施建议</w:t>
      </w:r>
    </w:p>
    <w:p w14:paraId="7DB83AC0">
      <w:pPr>
        <w:spacing w:line="560" w:lineRule="exact"/>
        <w:ind w:firstLine="640" w:firstLineChars="200"/>
        <w:rPr>
          <w:rFonts w:eastAsia="仿宋_GB2312"/>
          <w:color w:val="000000"/>
          <w:kern w:val="0"/>
          <w:sz w:val="32"/>
          <w:szCs w:val="32"/>
        </w:rPr>
      </w:pPr>
      <w:r>
        <w:rPr>
          <w:rFonts w:eastAsia="仿宋_GB2312"/>
          <w:color w:val="000000"/>
          <w:kern w:val="0"/>
          <w:sz w:val="32"/>
          <w:szCs w:val="32"/>
        </w:rPr>
        <w:t>一是</w:t>
      </w:r>
      <w:r>
        <w:rPr>
          <w:rFonts w:hint="eastAsia" w:eastAsia="仿宋_GB2312"/>
          <w:color w:val="000000"/>
          <w:kern w:val="0"/>
          <w:sz w:val="32"/>
          <w:szCs w:val="32"/>
        </w:rPr>
        <w:t>进一步加大绩效管理相关政策的宣传解读。开展政策培训和经验交流，加大实操指导力度。督促各项目负责人树立绩效管理意识，营造人人参与绩效管理的良好氛围。</w:t>
      </w:r>
    </w:p>
    <w:p w14:paraId="72DC5018">
      <w:pPr>
        <w:spacing w:line="560" w:lineRule="exact"/>
        <w:ind w:firstLine="640" w:firstLineChars="200"/>
        <w:rPr>
          <w:rFonts w:eastAsia="仿宋_GB2312"/>
          <w:color w:val="000000"/>
          <w:kern w:val="0"/>
          <w:sz w:val="32"/>
          <w:szCs w:val="32"/>
        </w:rPr>
      </w:pPr>
      <w:r>
        <w:rPr>
          <w:rFonts w:eastAsia="仿宋_GB2312"/>
          <w:color w:val="000000"/>
          <w:kern w:val="0"/>
          <w:sz w:val="32"/>
          <w:szCs w:val="32"/>
        </w:rPr>
        <w:t>二是</w:t>
      </w:r>
      <w:r>
        <w:rPr>
          <w:rFonts w:hint="eastAsia" w:eastAsia="仿宋_GB2312"/>
          <w:color w:val="000000"/>
          <w:kern w:val="0"/>
          <w:sz w:val="32"/>
          <w:szCs w:val="32"/>
        </w:rPr>
        <w:t>加强绩效管理人才队伍建设，提升绩效管理人员整体业务水平和能力。</w:t>
      </w:r>
      <w:r>
        <w:rPr>
          <w:rFonts w:eastAsia="仿宋_GB2312"/>
          <w:color w:val="000000"/>
          <w:kern w:val="0"/>
          <w:sz w:val="32"/>
          <w:szCs w:val="32"/>
        </w:rPr>
        <w:t>转变工作思路，主动</w:t>
      </w:r>
      <w:r>
        <w:rPr>
          <w:rFonts w:hint="eastAsia" w:eastAsia="仿宋_GB2312"/>
          <w:color w:val="000000"/>
          <w:kern w:val="0"/>
          <w:sz w:val="32"/>
          <w:szCs w:val="32"/>
        </w:rPr>
        <w:t>向</w:t>
      </w:r>
      <w:r>
        <w:rPr>
          <w:rFonts w:eastAsia="仿宋_GB2312"/>
          <w:color w:val="000000"/>
          <w:kern w:val="0"/>
          <w:sz w:val="32"/>
          <w:szCs w:val="32"/>
        </w:rPr>
        <w:t>绩效管理工作做得比较好的单位</w:t>
      </w:r>
      <w:r>
        <w:rPr>
          <w:rFonts w:hint="eastAsia" w:eastAsia="仿宋_GB2312"/>
          <w:color w:val="000000"/>
          <w:kern w:val="0"/>
          <w:sz w:val="32"/>
          <w:szCs w:val="32"/>
        </w:rPr>
        <w:t>学习</w:t>
      </w:r>
      <w:r>
        <w:rPr>
          <w:rFonts w:eastAsia="仿宋_GB2312"/>
          <w:color w:val="000000"/>
          <w:kern w:val="0"/>
          <w:sz w:val="32"/>
          <w:szCs w:val="32"/>
        </w:rPr>
        <w:t>，汲取先进的管理理念和经验做法。</w:t>
      </w:r>
    </w:p>
    <w:p w14:paraId="0CCEDD3F">
      <w:pPr>
        <w:pStyle w:val="2"/>
        <w:spacing w:line="560" w:lineRule="exact"/>
        <w:rPr>
          <w:rFonts w:ascii="Times New Roman" w:hAnsi="Times New Roman" w:cs="Times New Roman"/>
          <w:sz w:val="32"/>
          <w:szCs w:val="32"/>
        </w:rPr>
      </w:pPr>
      <w:bookmarkStart w:id="0" w:name="_Toc103006301"/>
      <w:r>
        <w:rPr>
          <w:rFonts w:ascii="Times New Roman" w:hAnsi="Times New Roman" w:cs="Times New Roman"/>
          <w:sz w:val="32"/>
          <w:szCs w:val="32"/>
        </w:rPr>
        <w:t>七、附件</w:t>
      </w:r>
      <w:bookmarkEnd w:id="0"/>
    </w:p>
    <w:p w14:paraId="7E58EE8A">
      <w:pPr>
        <w:spacing w:line="560" w:lineRule="exact"/>
        <w:ind w:firstLine="641"/>
        <w:rPr>
          <w:rFonts w:ascii="仿宋_GB2312" w:hAnsi="仿宋_GB2312" w:eastAsia="仿宋_GB2312" w:cs="仿宋_GB2312"/>
          <w:sz w:val="32"/>
          <w:szCs w:val="32"/>
        </w:rPr>
        <w:sectPr>
          <w:footerReference r:id="rId3" w:type="default"/>
          <w:pgSz w:w="11906" w:h="16838"/>
          <w:pgMar w:top="1440" w:right="1800" w:bottom="1440" w:left="1800" w:header="851" w:footer="964" w:gutter="0"/>
          <w:pgNumType w:start="1"/>
          <w:cols w:space="425" w:num="1"/>
          <w:docGrid w:type="lines" w:linePitch="435" w:charSpace="0"/>
        </w:sectPr>
      </w:pPr>
      <w:r>
        <w:rPr>
          <w:rFonts w:eastAsia="仿宋_GB2312"/>
          <w:sz w:val="32"/>
          <w:szCs w:val="32"/>
        </w:rPr>
        <w:t>2022年部门整体绩效评价指标体系评分</w:t>
      </w:r>
    </w:p>
    <w:p w14:paraId="1F9CC445">
      <w:pPr>
        <w:spacing w:line="560" w:lineRule="exact"/>
        <w:jc w:val="left"/>
        <w:rPr>
          <w:rFonts w:ascii="方正黑体_GBK" w:hAnsi="方正黑体_GBK" w:eastAsia="方正黑体_GBK" w:cs="方正黑体_GBK"/>
          <w:sz w:val="32"/>
        </w:rPr>
      </w:pPr>
    </w:p>
    <w:tbl>
      <w:tblPr>
        <w:tblStyle w:val="7"/>
        <w:tblW w:w="5000" w:type="pct"/>
        <w:tblInd w:w="0" w:type="dxa"/>
        <w:tblLayout w:type="autofit"/>
        <w:tblCellMar>
          <w:top w:w="0" w:type="dxa"/>
          <w:left w:w="108" w:type="dxa"/>
          <w:bottom w:w="0" w:type="dxa"/>
          <w:right w:w="108" w:type="dxa"/>
        </w:tblCellMar>
      </w:tblPr>
      <w:tblGrid>
        <w:gridCol w:w="1221"/>
        <w:gridCol w:w="1221"/>
        <w:gridCol w:w="1076"/>
        <w:gridCol w:w="1079"/>
        <w:gridCol w:w="940"/>
        <w:gridCol w:w="923"/>
        <w:gridCol w:w="923"/>
        <w:gridCol w:w="3753"/>
        <w:gridCol w:w="3650"/>
      </w:tblGrid>
      <w:tr w14:paraId="579FAE66">
        <w:tblPrEx>
          <w:tblCellMar>
            <w:top w:w="0" w:type="dxa"/>
            <w:left w:w="108" w:type="dxa"/>
            <w:bottom w:w="0" w:type="dxa"/>
            <w:right w:w="108" w:type="dxa"/>
          </w:tblCellMar>
        </w:tblPrEx>
        <w:trPr>
          <w:cantSplit/>
          <w:trHeight w:val="90" w:hRule="atLeast"/>
        </w:trPr>
        <w:tc>
          <w:tcPr>
            <w:tcW w:w="5000" w:type="pct"/>
            <w:gridSpan w:val="9"/>
            <w:tcBorders>
              <w:top w:val="nil"/>
              <w:left w:val="nil"/>
              <w:bottom w:val="single" w:color="auto" w:sz="4" w:space="0"/>
              <w:right w:val="nil"/>
            </w:tcBorders>
            <w:noWrap/>
            <w:vAlign w:val="bottom"/>
          </w:tcPr>
          <w:p w14:paraId="76AEC331">
            <w:pPr>
              <w:widowControl/>
              <w:jc w:val="center"/>
              <w:rPr>
                <w:rFonts w:ascii="方正小标宋简体" w:hAnsi="黑体" w:eastAsia="方正小标宋简体" w:cs="宋体"/>
                <w:color w:val="000000"/>
                <w:kern w:val="0"/>
                <w:sz w:val="44"/>
                <w:szCs w:val="44"/>
                <w:highlight w:val="yellow"/>
              </w:rPr>
            </w:pPr>
            <w:r>
              <w:rPr>
                <w:rFonts w:hint="eastAsia" w:ascii="方正小标宋简体" w:hAnsi="黑体" w:eastAsia="方正小标宋简体" w:cs="宋体"/>
                <w:color w:val="000000"/>
                <w:kern w:val="0"/>
                <w:sz w:val="44"/>
                <w:szCs w:val="44"/>
              </w:rPr>
              <w:t>2022年部门整体绩效评价指标体系评分表</w:t>
            </w:r>
          </w:p>
        </w:tc>
      </w:tr>
      <w:tr w14:paraId="1B73B6A1">
        <w:tblPrEx>
          <w:tblCellMar>
            <w:top w:w="0" w:type="dxa"/>
            <w:left w:w="108" w:type="dxa"/>
            <w:bottom w:w="0" w:type="dxa"/>
            <w:right w:w="108" w:type="dxa"/>
          </w:tblCellMar>
        </w:tblPrEx>
        <w:trPr>
          <w:cantSplit/>
          <w:trHeight w:val="470" w:hRule="atLeast"/>
        </w:trPr>
        <w:tc>
          <w:tcPr>
            <w:tcW w:w="5000" w:type="pct"/>
            <w:gridSpan w:val="9"/>
            <w:tcBorders>
              <w:top w:val="single" w:color="auto" w:sz="4" w:space="0"/>
              <w:left w:val="single" w:color="auto" w:sz="4" w:space="0"/>
              <w:bottom w:val="single" w:color="000000" w:sz="4" w:space="0"/>
              <w:right w:val="single" w:color="auto" w:sz="4" w:space="0"/>
            </w:tcBorders>
            <w:vAlign w:val="center"/>
          </w:tcPr>
          <w:p w14:paraId="0D704898">
            <w:pPr>
              <w:widowControl/>
              <w:jc w:val="left"/>
              <w:rPr>
                <w:rFonts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14:paraId="5404815D">
        <w:tblPrEx>
          <w:tblCellMar>
            <w:top w:w="0" w:type="dxa"/>
            <w:left w:w="108" w:type="dxa"/>
            <w:bottom w:w="0" w:type="dxa"/>
            <w:right w:w="108" w:type="dxa"/>
          </w:tblCellMar>
        </w:tblPrEx>
        <w:trPr>
          <w:cantSplit/>
          <w:trHeight w:val="660" w:hRule="atLeast"/>
        </w:trPr>
        <w:tc>
          <w:tcPr>
            <w:tcW w:w="413" w:type="pct"/>
            <w:tcBorders>
              <w:top w:val="single" w:color="auto" w:sz="4" w:space="0"/>
              <w:left w:val="single" w:color="auto" w:sz="4" w:space="0"/>
              <w:bottom w:val="single" w:color="auto" w:sz="4" w:space="0"/>
              <w:right w:val="single" w:color="auto" w:sz="4" w:space="0"/>
            </w:tcBorders>
            <w:vAlign w:val="center"/>
          </w:tcPr>
          <w:p w14:paraId="609ADD2F">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413" w:type="pct"/>
            <w:tcBorders>
              <w:top w:val="single" w:color="auto" w:sz="4" w:space="0"/>
              <w:left w:val="single" w:color="auto" w:sz="4" w:space="0"/>
              <w:bottom w:val="single" w:color="auto" w:sz="4" w:space="0"/>
              <w:right w:val="single" w:color="auto" w:sz="4" w:space="0"/>
            </w:tcBorders>
            <w:vAlign w:val="center"/>
          </w:tcPr>
          <w:p w14:paraId="1D60C521">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364" w:type="pct"/>
            <w:tcBorders>
              <w:top w:val="single" w:color="auto" w:sz="4" w:space="0"/>
              <w:left w:val="single" w:color="auto" w:sz="4" w:space="0"/>
              <w:bottom w:val="single" w:color="auto" w:sz="4" w:space="0"/>
              <w:right w:val="single" w:color="auto" w:sz="4" w:space="0"/>
            </w:tcBorders>
            <w:vAlign w:val="center"/>
          </w:tcPr>
          <w:p w14:paraId="0135CCD8">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预算数（万元）</w:t>
            </w:r>
          </w:p>
        </w:tc>
        <w:tc>
          <w:tcPr>
            <w:tcW w:w="365" w:type="pct"/>
            <w:tcBorders>
              <w:top w:val="single" w:color="auto" w:sz="4" w:space="0"/>
              <w:left w:val="single" w:color="auto" w:sz="4" w:space="0"/>
              <w:bottom w:val="single" w:color="auto" w:sz="4" w:space="0"/>
              <w:right w:val="single" w:color="auto" w:sz="4" w:space="0"/>
            </w:tcBorders>
            <w:vAlign w:val="center"/>
          </w:tcPr>
          <w:p w14:paraId="70A01455">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执行数（万元）</w:t>
            </w:r>
          </w:p>
        </w:tc>
        <w:tc>
          <w:tcPr>
            <w:tcW w:w="318" w:type="pct"/>
            <w:tcBorders>
              <w:top w:val="single" w:color="auto" w:sz="4" w:space="0"/>
              <w:left w:val="single" w:color="auto" w:sz="4" w:space="0"/>
              <w:bottom w:val="single" w:color="auto" w:sz="4" w:space="0"/>
              <w:right w:val="single" w:color="auto" w:sz="4" w:space="0"/>
            </w:tcBorders>
            <w:vAlign w:val="center"/>
          </w:tcPr>
          <w:p w14:paraId="02735A1A">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预算执行率</w:t>
            </w:r>
          </w:p>
        </w:tc>
        <w:tc>
          <w:tcPr>
            <w:tcW w:w="312" w:type="pct"/>
            <w:tcBorders>
              <w:top w:val="single" w:color="auto" w:sz="4" w:space="0"/>
              <w:left w:val="single" w:color="auto" w:sz="4" w:space="0"/>
              <w:bottom w:val="single" w:color="auto" w:sz="4" w:space="0"/>
              <w:right w:val="single" w:color="auto" w:sz="4" w:space="0"/>
            </w:tcBorders>
            <w:vAlign w:val="center"/>
          </w:tcPr>
          <w:p w14:paraId="2B9C4940">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312" w:type="pct"/>
            <w:tcBorders>
              <w:top w:val="single" w:color="auto" w:sz="4" w:space="0"/>
              <w:left w:val="single" w:color="auto" w:sz="4" w:space="0"/>
              <w:bottom w:val="single" w:color="auto" w:sz="4" w:space="0"/>
              <w:right w:val="single" w:color="auto" w:sz="4" w:space="0"/>
            </w:tcBorders>
            <w:vAlign w:val="center"/>
          </w:tcPr>
          <w:p w14:paraId="229D03FB">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269" w:type="pct"/>
            <w:tcBorders>
              <w:top w:val="single" w:color="auto" w:sz="4" w:space="0"/>
              <w:left w:val="single" w:color="auto" w:sz="4" w:space="0"/>
              <w:bottom w:val="single" w:color="auto" w:sz="4" w:space="0"/>
              <w:right w:val="single" w:color="auto" w:sz="4" w:space="0"/>
            </w:tcBorders>
            <w:vAlign w:val="center"/>
          </w:tcPr>
          <w:p w14:paraId="07099FE8">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指标解释</w:t>
            </w:r>
          </w:p>
        </w:tc>
        <w:tc>
          <w:tcPr>
            <w:tcW w:w="1234" w:type="pct"/>
            <w:tcBorders>
              <w:top w:val="single" w:color="auto" w:sz="4" w:space="0"/>
              <w:left w:val="nil"/>
              <w:bottom w:val="single" w:color="auto" w:sz="4" w:space="0"/>
              <w:right w:val="single" w:color="auto" w:sz="4" w:space="0"/>
            </w:tcBorders>
            <w:vAlign w:val="center"/>
          </w:tcPr>
          <w:p w14:paraId="3A44C386">
            <w:pPr>
              <w:widowControl/>
              <w:jc w:val="center"/>
              <w:rPr>
                <w:rFonts w:ascii="宋体" w:hAnsi="宋体" w:cs="宋体"/>
                <w:color w:val="000000"/>
                <w:kern w:val="0"/>
                <w:sz w:val="20"/>
                <w:szCs w:val="20"/>
              </w:rPr>
            </w:pPr>
            <w:r>
              <w:rPr>
                <w:rFonts w:hint="eastAsia" w:ascii="宋体" w:hAnsi="宋体" w:cs="宋体"/>
                <w:color w:val="000000"/>
                <w:kern w:val="0"/>
                <w:sz w:val="20"/>
                <w:szCs w:val="20"/>
              </w:rPr>
              <w:t>评分标准</w:t>
            </w:r>
          </w:p>
        </w:tc>
      </w:tr>
      <w:tr w14:paraId="5BC6E026">
        <w:tblPrEx>
          <w:tblCellMar>
            <w:top w:w="0" w:type="dxa"/>
            <w:left w:w="108" w:type="dxa"/>
            <w:bottom w:w="0" w:type="dxa"/>
            <w:right w:w="108" w:type="dxa"/>
          </w:tblCellMar>
        </w:tblPrEx>
        <w:trPr>
          <w:cantSplit/>
          <w:trHeight w:val="630" w:hRule="atLeast"/>
        </w:trPr>
        <w:tc>
          <w:tcPr>
            <w:tcW w:w="413" w:type="pct"/>
            <w:vMerge w:val="restart"/>
            <w:tcBorders>
              <w:top w:val="nil"/>
              <w:left w:val="single" w:color="auto" w:sz="4" w:space="0"/>
              <w:bottom w:val="single" w:color="000000" w:sz="4" w:space="0"/>
              <w:right w:val="single" w:color="auto" w:sz="4" w:space="0"/>
            </w:tcBorders>
            <w:vAlign w:val="center"/>
          </w:tcPr>
          <w:p w14:paraId="7EBBDDAC">
            <w:pPr>
              <w:widowControl/>
              <w:jc w:val="center"/>
              <w:rPr>
                <w:rFonts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413" w:type="pct"/>
            <w:tcBorders>
              <w:top w:val="single" w:color="auto" w:sz="4" w:space="0"/>
              <w:left w:val="single" w:color="auto" w:sz="4" w:space="0"/>
              <w:bottom w:val="single" w:color="auto" w:sz="4" w:space="0"/>
              <w:right w:val="single" w:color="auto" w:sz="4" w:space="0"/>
            </w:tcBorders>
            <w:vAlign w:val="center"/>
          </w:tcPr>
          <w:p w14:paraId="184DD152">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资金总体</w:t>
            </w:r>
          </w:p>
        </w:tc>
        <w:tc>
          <w:tcPr>
            <w:tcW w:w="364" w:type="pct"/>
            <w:tcBorders>
              <w:top w:val="single" w:color="auto" w:sz="4" w:space="0"/>
              <w:left w:val="single" w:color="auto" w:sz="4" w:space="0"/>
              <w:bottom w:val="single" w:color="auto" w:sz="4" w:space="0"/>
              <w:right w:val="single" w:color="auto" w:sz="4" w:space="0"/>
            </w:tcBorders>
            <w:vAlign w:val="center"/>
          </w:tcPr>
          <w:p w14:paraId="6C422A90">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r>
              <w:rPr>
                <w:rFonts w:ascii="宋体" w:hAnsi="宋体" w:cs="宋体"/>
                <w:color w:val="000000"/>
                <w:kern w:val="0"/>
                <w:sz w:val="20"/>
                <w:szCs w:val="20"/>
              </w:rPr>
              <w:t>8111.75</w:t>
            </w:r>
          </w:p>
        </w:tc>
        <w:tc>
          <w:tcPr>
            <w:tcW w:w="365" w:type="pct"/>
            <w:tcBorders>
              <w:top w:val="single" w:color="auto" w:sz="4" w:space="0"/>
              <w:left w:val="single" w:color="auto" w:sz="4" w:space="0"/>
              <w:bottom w:val="single" w:color="auto" w:sz="4" w:space="0"/>
              <w:right w:val="single" w:color="auto" w:sz="4" w:space="0"/>
            </w:tcBorders>
            <w:vAlign w:val="center"/>
          </w:tcPr>
          <w:p w14:paraId="7546B1F8">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r>
              <w:rPr>
                <w:rFonts w:ascii="宋体" w:hAnsi="宋体" w:cs="宋体"/>
                <w:color w:val="000000"/>
                <w:kern w:val="0"/>
                <w:sz w:val="20"/>
                <w:szCs w:val="20"/>
              </w:rPr>
              <w:t>6424.45</w:t>
            </w:r>
          </w:p>
        </w:tc>
        <w:tc>
          <w:tcPr>
            <w:tcW w:w="318" w:type="pct"/>
            <w:tcBorders>
              <w:top w:val="single" w:color="auto" w:sz="4" w:space="0"/>
              <w:left w:val="single" w:color="auto" w:sz="4" w:space="0"/>
              <w:bottom w:val="single" w:color="auto" w:sz="4" w:space="0"/>
              <w:right w:val="single" w:color="auto" w:sz="4" w:space="0"/>
            </w:tcBorders>
            <w:vAlign w:val="center"/>
          </w:tcPr>
          <w:p w14:paraId="52F4025B">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r>
              <w:rPr>
                <w:rFonts w:ascii="宋体" w:hAnsi="宋体" w:cs="宋体"/>
                <w:color w:val="000000"/>
                <w:kern w:val="0"/>
                <w:sz w:val="20"/>
                <w:szCs w:val="20"/>
              </w:rPr>
              <w:t>4</w:t>
            </w:r>
            <w:r>
              <w:rPr>
                <w:rFonts w:hint="eastAsia" w:ascii="宋体" w:hAnsi="宋体" w:cs="宋体"/>
                <w:color w:val="000000"/>
                <w:kern w:val="0"/>
                <w:sz w:val="20"/>
                <w:szCs w:val="20"/>
              </w:rPr>
              <w:t>%　</w:t>
            </w:r>
          </w:p>
        </w:tc>
        <w:tc>
          <w:tcPr>
            <w:tcW w:w="312" w:type="pct"/>
            <w:vMerge w:val="restart"/>
            <w:tcBorders>
              <w:top w:val="single" w:color="auto" w:sz="4" w:space="0"/>
              <w:left w:val="single" w:color="auto" w:sz="4" w:space="0"/>
              <w:bottom w:val="single" w:color="auto" w:sz="4" w:space="0"/>
              <w:right w:val="single" w:color="auto" w:sz="4" w:space="0"/>
            </w:tcBorders>
            <w:noWrap/>
            <w:vAlign w:val="center"/>
          </w:tcPr>
          <w:p w14:paraId="7756FA14">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312" w:type="pct"/>
            <w:vMerge w:val="restart"/>
            <w:tcBorders>
              <w:top w:val="single" w:color="auto" w:sz="4" w:space="0"/>
              <w:left w:val="single" w:color="auto" w:sz="4" w:space="0"/>
              <w:bottom w:val="single" w:color="auto" w:sz="4" w:space="0"/>
              <w:right w:val="single" w:color="auto" w:sz="4" w:space="0"/>
            </w:tcBorders>
            <w:noWrap/>
            <w:vAlign w:val="center"/>
          </w:tcPr>
          <w:p w14:paraId="6F08404B">
            <w:pPr>
              <w:widowControl/>
              <w:jc w:val="center"/>
              <w:rPr>
                <w:rFonts w:ascii="宋体" w:hAnsi="宋体" w:cs="宋体"/>
                <w:color w:val="000000"/>
                <w:kern w:val="0"/>
                <w:sz w:val="20"/>
                <w:szCs w:val="20"/>
              </w:rPr>
            </w:pPr>
            <w:r>
              <w:rPr>
                <w:rFonts w:hint="eastAsia" w:ascii="宋体" w:hAnsi="宋体" w:cs="宋体"/>
                <w:color w:val="000000"/>
                <w:kern w:val="0"/>
                <w:sz w:val="20"/>
                <w:szCs w:val="20"/>
              </w:rPr>
              <w:t>　1</w:t>
            </w:r>
            <w:r>
              <w:rPr>
                <w:rFonts w:ascii="宋体" w:hAnsi="宋体" w:cs="宋体"/>
                <w:color w:val="000000"/>
                <w:kern w:val="0"/>
                <w:sz w:val="20"/>
                <w:szCs w:val="20"/>
              </w:rPr>
              <w:t>8</w:t>
            </w:r>
            <w:r>
              <w:rPr>
                <w:rFonts w:hint="eastAsia" w:ascii="宋体" w:hAnsi="宋体" w:cs="宋体"/>
                <w:color w:val="000000"/>
                <w:kern w:val="0"/>
                <w:sz w:val="20"/>
                <w:szCs w:val="20"/>
              </w:rPr>
              <w:t>.39</w:t>
            </w:r>
          </w:p>
        </w:tc>
        <w:tc>
          <w:tcPr>
            <w:tcW w:w="1269" w:type="pct"/>
            <w:vMerge w:val="restart"/>
            <w:tcBorders>
              <w:top w:val="single" w:color="auto" w:sz="4" w:space="0"/>
              <w:left w:val="single" w:color="auto" w:sz="4" w:space="0"/>
              <w:bottom w:val="single" w:color="auto" w:sz="4" w:space="0"/>
              <w:right w:val="single" w:color="auto" w:sz="4" w:space="0"/>
            </w:tcBorders>
            <w:vAlign w:val="center"/>
          </w:tcPr>
          <w:p w14:paraId="2285D8B1">
            <w:pPr>
              <w:widowControl/>
              <w:jc w:val="left"/>
              <w:rPr>
                <w:rFonts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1234" w:type="pct"/>
            <w:vMerge w:val="restart"/>
            <w:tcBorders>
              <w:top w:val="nil"/>
              <w:left w:val="single" w:color="auto" w:sz="4" w:space="0"/>
              <w:bottom w:val="single" w:color="auto" w:sz="4" w:space="0"/>
              <w:right w:val="single" w:color="auto" w:sz="4" w:space="0"/>
            </w:tcBorders>
            <w:vAlign w:val="center"/>
          </w:tcPr>
          <w:p w14:paraId="30C62284">
            <w:pPr>
              <w:widowControl/>
              <w:jc w:val="left"/>
              <w:rPr>
                <w:rFonts w:ascii="宋体" w:hAnsi="宋体" w:cs="宋体"/>
                <w:color w:val="000000"/>
                <w:kern w:val="0"/>
                <w:sz w:val="18"/>
                <w:szCs w:val="18"/>
              </w:rPr>
            </w:pPr>
            <w:r>
              <w:rPr>
                <w:rFonts w:hint="eastAsia" w:ascii="宋体" w:hAnsi="宋体" w:cs="宋体"/>
                <w:color w:val="000000"/>
                <w:kern w:val="0"/>
                <w:sz w:val="18"/>
                <w:szCs w:val="18"/>
              </w:rPr>
              <w:t>①得分一档最高不能超过该指标分值上限（20分）。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14:paraId="0A6468BC">
        <w:tblPrEx>
          <w:tblCellMar>
            <w:top w:w="0" w:type="dxa"/>
            <w:left w:w="108" w:type="dxa"/>
            <w:bottom w:w="0" w:type="dxa"/>
            <w:right w:w="108" w:type="dxa"/>
          </w:tblCellMar>
        </w:tblPrEx>
        <w:trPr>
          <w:cantSplit/>
          <w:trHeight w:val="600" w:hRule="atLeast"/>
        </w:trPr>
        <w:tc>
          <w:tcPr>
            <w:tcW w:w="413" w:type="pct"/>
            <w:vMerge w:val="continue"/>
            <w:tcBorders>
              <w:top w:val="nil"/>
              <w:left w:val="single" w:color="auto" w:sz="4" w:space="0"/>
              <w:bottom w:val="single" w:color="000000" w:sz="4" w:space="0"/>
              <w:right w:val="single" w:color="auto" w:sz="4" w:space="0"/>
            </w:tcBorders>
            <w:vAlign w:val="center"/>
          </w:tcPr>
          <w:p w14:paraId="3258DE0B">
            <w:pPr>
              <w:widowControl/>
              <w:jc w:val="left"/>
              <w:rPr>
                <w:rFonts w:ascii="宋体" w:hAnsi="宋体" w:cs="宋体"/>
                <w:color w:val="000000"/>
                <w:kern w:val="0"/>
                <w:sz w:val="20"/>
                <w:szCs w:val="20"/>
              </w:rPr>
            </w:pPr>
          </w:p>
        </w:tc>
        <w:tc>
          <w:tcPr>
            <w:tcW w:w="413" w:type="pct"/>
            <w:tcBorders>
              <w:top w:val="single" w:color="auto" w:sz="4" w:space="0"/>
              <w:left w:val="single" w:color="auto" w:sz="4" w:space="0"/>
              <w:bottom w:val="single" w:color="auto" w:sz="4" w:space="0"/>
              <w:right w:val="nil"/>
            </w:tcBorders>
            <w:vAlign w:val="center"/>
          </w:tcPr>
          <w:p w14:paraId="48268966">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基本支出</w:t>
            </w:r>
          </w:p>
        </w:tc>
        <w:tc>
          <w:tcPr>
            <w:tcW w:w="364" w:type="pct"/>
            <w:tcBorders>
              <w:top w:val="single" w:color="auto" w:sz="4" w:space="0"/>
              <w:left w:val="single" w:color="auto" w:sz="4" w:space="0"/>
              <w:bottom w:val="single" w:color="auto" w:sz="4" w:space="0"/>
              <w:right w:val="single" w:color="auto" w:sz="4" w:space="0"/>
            </w:tcBorders>
            <w:vAlign w:val="center"/>
          </w:tcPr>
          <w:p w14:paraId="62ED1B69">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r>
              <w:rPr>
                <w:rFonts w:ascii="宋体" w:hAnsi="宋体" w:cs="宋体"/>
                <w:color w:val="000000"/>
                <w:kern w:val="0"/>
                <w:sz w:val="20"/>
                <w:szCs w:val="20"/>
              </w:rPr>
              <w:t>808.31</w:t>
            </w:r>
          </w:p>
        </w:tc>
        <w:tc>
          <w:tcPr>
            <w:tcW w:w="365" w:type="pct"/>
            <w:tcBorders>
              <w:top w:val="single" w:color="auto" w:sz="4" w:space="0"/>
              <w:left w:val="nil"/>
              <w:bottom w:val="single" w:color="auto" w:sz="4" w:space="0"/>
              <w:right w:val="single" w:color="auto" w:sz="4" w:space="0"/>
            </w:tcBorders>
            <w:vAlign w:val="center"/>
          </w:tcPr>
          <w:p w14:paraId="6D801E51">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r>
              <w:rPr>
                <w:rFonts w:ascii="宋体" w:hAnsi="宋体" w:cs="宋体"/>
                <w:color w:val="000000"/>
                <w:kern w:val="0"/>
                <w:sz w:val="20"/>
                <w:szCs w:val="20"/>
              </w:rPr>
              <w:t>715.75</w:t>
            </w:r>
          </w:p>
        </w:tc>
        <w:tc>
          <w:tcPr>
            <w:tcW w:w="318" w:type="pct"/>
            <w:vMerge w:val="restart"/>
            <w:tcBorders>
              <w:top w:val="single" w:color="auto" w:sz="4" w:space="0"/>
              <w:left w:val="single" w:color="auto" w:sz="4" w:space="0"/>
              <w:bottom w:val="single" w:color="auto" w:sz="4" w:space="0"/>
              <w:right w:val="single" w:color="auto" w:sz="4" w:space="0"/>
            </w:tcBorders>
            <w:vAlign w:val="center"/>
          </w:tcPr>
          <w:p w14:paraId="181E3727">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12" w:type="pct"/>
            <w:vMerge w:val="continue"/>
            <w:tcBorders>
              <w:top w:val="single" w:color="auto" w:sz="4" w:space="0"/>
              <w:left w:val="single" w:color="auto" w:sz="4" w:space="0"/>
              <w:bottom w:val="single" w:color="auto" w:sz="4" w:space="0"/>
              <w:right w:val="single" w:color="auto" w:sz="4" w:space="0"/>
            </w:tcBorders>
            <w:vAlign w:val="center"/>
          </w:tcPr>
          <w:p w14:paraId="641B11AD">
            <w:pPr>
              <w:widowControl/>
              <w:jc w:val="left"/>
              <w:rPr>
                <w:rFonts w:ascii="宋体" w:hAnsi="宋体" w:cs="宋体"/>
                <w:color w:val="000000"/>
                <w:kern w:val="0"/>
                <w:sz w:val="20"/>
                <w:szCs w:val="20"/>
              </w:rPr>
            </w:pPr>
          </w:p>
        </w:tc>
        <w:tc>
          <w:tcPr>
            <w:tcW w:w="312" w:type="pct"/>
            <w:vMerge w:val="continue"/>
            <w:tcBorders>
              <w:top w:val="single" w:color="auto" w:sz="4" w:space="0"/>
              <w:left w:val="nil"/>
              <w:bottom w:val="single" w:color="auto" w:sz="4" w:space="0"/>
              <w:right w:val="nil"/>
            </w:tcBorders>
            <w:vAlign w:val="center"/>
          </w:tcPr>
          <w:p w14:paraId="2BFE25E2">
            <w:pPr>
              <w:widowControl/>
              <w:jc w:val="left"/>
              <w:rPr>
                <w:rFonts w:ascii="宋体" w:hAnsi="宋体" w:cs="宋体"/>
                <w:color w:val="000000"/>
                <w:kern w:val="0"/>
                <w:sz w:val="20"/>
                <w:szCs w:val="20"/>
              </w:rPr>
            </w:pPr>
          </w:p>
        </w:tc>
        <w:tc>
          <w:tcPr>
            <w:tcW w:w="1269" w:type="pct"/>
            <w:vMerge w:val="continue"/>
            <w:tcBorders>
              <w:top w:val="single" w:color="auto" w:sz="4" w:space="0"/>
              <w:left w:val="single" w:color="auto" w:sz="4" w:space="0"/>
              <w:bottom w:val="single" w:color="auto" w:sz="4" w:space="0"/>
              <w:right w:val="single" w:color="auto" w:sz="4" w:space="0"/>
            </w:tcBorders>
            <w:vAlign w:val="center"/>
          </w:tcPr>
          <w:p w14:paraId="2540A7F6">
            <w:pPr>
              <w:widowControl/>
              <w:jc w:val="left"/>
              <w:rPr>
                <w:rFonts w:ascii="宋体" w:hAnsi="宋体" w:cs="宋体"/>
                <w:color w:val="000000"/>
                <w:kern w:val="0"/>
                <w:sz w:val="18"/>
                <w:szCs w:val="18"/>
              </w:rPr>
            </w:pPr>
          </w:p>
        </w:tc>
        <w:tc>
          <w:tcPr>
            <w:tcW w:w="1234" w:type="pct"/>
            <w:vMerge w:val="continue"/>
            <w:tcBorders>
              <w:top w:val="nil"/>
              <w:left w:val="single" w:color="auto" w:sz="4" w:space="0"/>
              <w:bottom w:val="single" w:color="auto" w:sz="4" w:space="0"/>
              <w:right w:val="single" w:color="auto" w:sz="4" w:space="0"/>
            </w:tcBorders>
            <w:vAlign w:val="center"/>
          </w:tcPr>
          <w:p w14:paraId="5768BF79">
            <w:pPr>
              <w:widowControl/>
              <w:jc w:val="left"/>
              <w:rPr>
                <w:rFonts w:ascii="宋体" w:hAnsi="宋体" w:cs="宋体"/>
                <w:color w:val="000000"/>
                <w:kern w:val="0"/>
                <w:sz w:val="18"/>
                <w:szCs w:val="18"/>
              </w:rPr>
            </w:pPr>
          </w:p>
        </w:tc>
      </w:tr>
      <w:tr w14:paraId="67205ABE">
        <w:tblPrEx>
          <w:tblCellMar>
            <w:top w:w="0" w:type="dxa"/>
            <w:left w:w="108" w:type="dxa"/>
            <w:bottom w:w="0" w:type="dxa"/>
            <w:right w:w="108" w:type="dxa"/>
          </w:tblCellMar>
        </w:tblPrEx>
        <w:trPr>
          <w:cantSplit/>
          <w:trHeight w:val="615" w:hRule="atLeast"/>
        </w:trPr>
        <w:tc>
          <w:tcPr>
            <w:tcW w:w="413" w:type="pct"/>
            <w:vMerge w:val="continue"/>
            <w:tcBorders>
              <w:top w:val="nil"/>
              <w:left w:val="single" w:color="auto" w:sz="4" w:space="0"/>
              <w:bottom w:val="single" w:color="000000" w:sz="4" w:space="0"/>
              <w:right w:val="single" w:color="auto" w:sz="4" w:space="0"/>
            </w:tcBorders>
            <w:vAlign w:val="center"/>
          </w:tcPr>
          <w:p w14:paraId="2051E888">
            <w:pPr>
              <w:widowControl/>
              <w:jc w:val="left"/>
              <w:rPr>
                <w:rFonts w:ascii="宋体" w:hAnsi="宋体" w:cs="宋体"/>
                <w:color w:val="000000"/>
                <w:kern w:val="0"/>
                <w:sz w:val="20"/>
                <w:szCs w:val="20"/>
              </w:rPr>
            </w:pPr>
          </w:p>
        </w:tc>
        <w:tc>
          <w:tcPr>
            <w:tcW w:w="413" w:type="pct"/>
            <w:tcBorders>
              <w:top w:val="single" w:color="auto" w:sz="4" w:space="0"/>
              <w:left w:val="single" w:color="auto" w:sz="4" w:space="0"/>
              <w:bottom w:val="single" w:color="auto" w:sz="4" w:space="0"/>
              <w:right w:val="nil"/>
            </w:tcBorders>
            <w:vAlign w:val="center"/>
          </w:tcPr>
          <w:p w14:paraId="31CEA28A">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项目支出</w:t>
            </w:r>
          </w:p>
        </w:tc>
        <w:tc>
          <w:tcPr>
            <w:tcW w:w="364" w:type="pct"/>
            <w:tcBorders>
              <w:top w:val="single" w:color="auto" w:sz="4" w:space="0"/>
              <w:left w:val="single" w:color="auto" w:sz="4" w:space="0"/>
              <w:bottom w:val="single" w:color="auto" w:sz="4" w:space="0"/>
              <w:right w:val="single" w:color="auto" w:sz="4" w:space="0"/>
            </w:tcBorders>
            <w:vAlign w:val="center"/>
          </w:tcPr>
          <w:p w14:paraId="2582ED1E">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r>
              <w:rPr>
                <w:rFonts w:ascii="宋体" w:hAnsi="宋体" w:cs="宋体"/>
                <w:color w:val="000000"/>
                <w:kern w:val="0"/>
                <w:sz w:val="20"/>
                <w:szCs w:val="20"/>
              </w:rPr>
              <w:t>3303.44</w:t>
            </w:r>
          </w:p>
        </w:tc>
        <w:tc>
          <w:tcPr>
            <w:tcW w:w="365" w:type="pct"/>
            <w:tcBorders>
              <w:top w:val="single" w:color="auto" w:sz="4" w:space="0"/>
              <w:left w:val="nil"/>
              <w:bottom w:val="single" w:color="auto" w:sz="4" w:space="0"/>
              <w:right w:val="single" w:color="auto" w:sz="4" w:space="0"/>
            </w:tcBorders>
            <w:vAlign w:val="center"/>
          </w:tcPr>
          <w:p w14:paraId="3A0AAAA6">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r>
              <w:rPr>
                <w:rFonts w:ascii="宋体" w:hAnsi="宋体" w:cs="宋体"/>
                <w:color w:val="000000"/>
                <w:kern w:val="0"/>
                <w:sz w:val="20"/>
                <w:szCs w:val="20"/>
              </w:rPr>
              <w:t>1708.71</w:t>
            </w:r>
          </w:p>
        </w:tc>
        <w:tc>
          <w:tcPr>
            <w:tcW w:w="318" w:type="pct"/>
            <w:vMerge w:val="continue"/>
            <w:tcBorders>
              <w:top w:val="single" w:color="auto" w:sz="4" w:space="0"/>
              <w:left w:val="single" w:color="auto" w:sz="4" w:space="0"/>
              <w:bottom w:val="single" w:color="auto" w:sz="4" w:space="0"/>
              <w:right w:val="single" w:color="auto" w:sz="4" w:space="0"/>
            </w:tcBorders>
            <w:vAlign w:val="center"/>
          </w:tcPr>
          <w:p w14:paraId="5A07FE3A">
            <w:pPr>
              <w:widowControl/>
              <w:jc w:val="left"/>
              <w:rPr>
                <w:rFonts w:ascii="宋体" w:hAnsi="宋体" w:cs="宋体"/>
                <w:color w:val="000000"/>
                <w:kern w:val="0"/>
                <w:sz w:val="20"/>
                <w:szCs w:val="20"/>
              </w:rPr>
            </w:pPr>
          </w:p>
        </w:tc>
        <w:tc>
          <w:tcPr>
            <w:tcW w:w="312" w:type="pct"/>
            <w:vMerge w:val="continue"/>
            <w:tcBorders>
              <w:top w:val="single" w:color="auto" w:sz="4" w:space="0"/>
              <w:left w:val="single" w:color="auto" w:sz="4" w:space="0"/>
              <w:bottom w:val="single" w:color="auto" w:sz="4" w:space="0"/>
              <w:right w:val="single" w:color="auto" w:sz="4" w:space="0"/>
            </w:tcBorders>
            <w:vAlign w:val="center"/>
          </w:tcPr>
          <w:p w14:paraId="1A29A5B2">
            <w:pPr>
              <w:widowControl/>
              <w:jc w:val="left"/>
              <w:rPr>
                <w:rFonts w:ascii="宋体" w:hAnsi="宋体" w:cs="宋体"/>
                <w:color w:val="000000"/>
                <w:kern w:val="0"/>
                <w:sz w:val="20"/>
                <w:szCs w:val="20"/>
              </w:rPr>
            </w:pPr>
          </w:p>
        </w:tc>
        <w:tc>
          <w:tcPr>
            <w:tcW w:w="312" w:type="pct"/>
            <w:vMerge w:val="continue"/>
            <w:tcBorders>
              <w:top w:val="single" w:color="auto" w:sz="4" w:space="0"/>
              <w:left w:val="nil"/>
              <w:bottom w:val="single" w:color="auto" w:sz="4" w:space="0"/>
              <w:right w:val="nil"/>
            </w:tcBorders>
            <w:vAlign w:val="center"/>
          </w:tcPr>
          <w:p w14:paraId="3DBDE1AF">
            <w:pPr>
              <w:widowControl/>
              <w:jc w:val="left"/>
              <w:rPr>
                <w:rFonts w:ascii="宋体" w:hAnsi="宋体" w:cs="宋体"/>
                <w:color w:val="000000"/>
                <w:kern w:val="0"/>
                <w:sz w:val="20"/>
                <w:szCs w:val="20"/>
              </w:rPr>
            </w:pPr>
          </w:p>
        </w:tc>
        <w:tc>
          <w:tcPr>
            <w:tcW w:w="1269" w:type="pct"/>
            <w:vMerge w:val="continue"/>
            <w:tcBorders>
              <w:top w:val="single" w:color="auto" w:sz="4" w:space="0"/>
              <w:left w:val="single" w:color="auto" w:sz="4" w:space="0"/>
              <w:bottom w:val="single" w:color="auto" w:sz="4" w:space="0"/>
              <w:right w:val="single" w:color="auto" w:sz="4" w:space="0"/>
            </w:tcBorders>
            <w:vAlign w:val="center"/>
          </w:tcPr>
          <w:p w14:paraId="4B123F98">
            <w:pPr>
              <w:widowControl/>
              <w:jc w:val="left"/>
              <w:rPr>
                <w:rFonts w:ascii="宋体" w:hAnsi="宋体" w:cs="宋体"/>
                <w:color w:val="000000"/>
                <w:kern w:val="0"/>
                <w:sz w:val="18"/>
                <w:szCs w:val="18"/>
              </w:rPr>
            </w:pPr>
          </w:p>
        </w:tc>
        <w:tc>
          <w:tcPr>
            <w:tcW w:w="1234" w:type="pct"/>
            <w:vMerge w:val="continue"/>
            <w:tcBorders>
              <w:top w:val="nil"/>
              <w:left w:val="single" w:color="auto" w:sz="4" w:space="0"/>
              <w:bottom w:val="single" w:color="auto" w:sz="4" w:space="0"/>
              <w:right w:val="single" w:color="auto" w:sz="4" w:space="0"/>
            </w:tcBorders>
            <w:vAlign w:val="center"/>
          </w:tcPr>
          <w:p w14:paraId="526A2966">
            <w:pPr>
              <w:widowControl/>
              <w:jc w:val="left"/>
              <w:rPr>
                <w:rFonts w:ascii="宋体" w:hAnsi="宋体" w:cs="宋体"/>
                <w:color w:val="000000"/>
                <w:kern w:val="0"/>
                <w:sz w:val="18"/>
                <w:szCs w:val="18"/>
              </w:rPr>
            </w:pPr>
          </w:p>
        </w:tc>
      </w:tr>
      <w:tr w14:paraId="535A8ABE">
        <w:tblPrEx>
          <w:tblCellMar>
            <w:top w:w="0" w:type="dxa"/>
            <w:left w:w="108" w:type="dxa"/>
            <w:bottom w:w="0" w:type="dxa"/>
            <w:right w:w="108" w:type="dxa"/>
          </w:tblCellMar>
        </w:tblPrEx>
        <w:trPr>
          <w:cantSplit/>
          <w:trHeight w:val="2136" w:hRule="atLeast"/>
        </w:trPr>
        <w:tc>
          <w:tcPr>
            <w:tcW w:w="413" w:type="pct"/>
            <w:vMerge w:val="continue"/>
            <w:tcBorders>
              <w:top w:val="nil"/>
              <w:left w:val="single" w:color="auto" w:sz="4" w:space="0"/>
              <w:bottom w:val="single" w:color="000000" w:sz="4" w:space="0"/>
              <w:right w:val="single" w:color="auto" w:sz="4" w:space="0"/>
            </w:tcBorders>
            <w:vAlign w:val="center"/>
          </w:tcPr>
          <w:p w14:paraId="26FCF04C">
            <w:pPr>
              <w:widowControl/>
              <w:jc w:val="left"/>
              <w:rPr>
                <w:rFonts w:ascii="宋体" w:hAnsi="宋体" w:cs="宋体"/>
                <w:color w:val="000000"/>
                <w:kern w:val="0"/>
                <w:sz w:val="20"/>
                <w:szCs w:val="20"/>
              </w:rPr>
            </w:pPr>
          </w:p>
        </w:tc>
        <w:tc>
          <w:tcPr>
            <w:tcW w:w="413" w:type="pct"/>
            <w:tcBorders>
              <w:top w:val="single" w:color="auto" w:sz="4" w:space="0"/>
              <w:left w:val="single" w:color="auto" w:sz="4" w:space="0"/>
              <w:bottom w:val="single" w:color="auto" w:sz="4" w:space="0"/>
              <w:right w:val="single" w:color="auto" w:sz="4" w:space="0"/>
            </w:tcBorders>
            <w:vAlign w:val="center"/>
          </w:tcPr>
          <w:p w14:paraId="622B313A">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w:t>
            </w:r>
          </w:p>
        </w:tc>
        <w:tc>
          <w:tcPr>
            <w:tcW w:w="364" w:type="pct"/>
            <w:tcBorders>
              <w:top w:val="single" w:color="auto" w:sz="4" w:space="0"/>
              <w:left w:val="nil"/>
              <w:bottom w:val="single" w:color="auto" w:sz="4" w:space="0"/>
              <w:right w:val="single" w:color="auto" w:sz="4" w:space="0"/>
            </w:tcBorders>
            <w:vAlign w:val="center"/>
          </w:tcPr>
          <w:p w14:paraId="5A1AC006">
            <w:pPr>
              <w:widowControl/>
              <w:jc w:val="center"/>
              <w:rPr>
                <w:rFonts w:ascii="宋体" w:hAnsi="宋体" w:cs="宋体"/>
                <w:color w:val="000000"/>
                <w:kern w:val="0"/>
                <w:sz w:val="20"/>
                <w:szCs w:val="20"/>
              </w:rPr>
            </w:pPr>
            <w:r>
              <w:rPr>
                <w:rFonts w:hint="eastAsia" w:ascii="宋体" w:hAnsi="宋体" w:cs="宋体"/>
                <w:color w:val="000000"/>
                <w:kern w:val="0"/>
                <w:sz w:val="20"/>
                <w:szCs w:val="20"/>
              </w:rPr>
              <w:t>0　</w:t>
            </w:r>
          </w:p>
        </w:tc>
        <w:tc>
          <w:tcPr>
            <w:tcW w:w="365" w:type="pct"/>
            <w:tcBorders>
              <w:top w:val="single" w:color="auto" w:sz="4" w:space="0"/>
              <w:left w:val="nil"/>
              <w:bottom w:val="single" w:color="auto" w:sz="4" w:space="0"/>
              <w:right w:val="single" w:color="auto" w:sz="4" w:space="0"/>
            </w:tcBorders>
            <w:vAlign w:val="center"/>
          </w:tcPr>
          <w:p w14:paraId="48FDD7FF">
            <w:pPr>
              <w:widowControl/>
              <w:jc w:val="center"/>
              <w:rPr>
                <w:rFonts w:ascii="宋体" w:hAnsi="宋体" w:cs="宋体"/>
                <w:color w:val="000000"/>
                <w:kern w:val="0"/>
                <w:sz w:val="20"/>
                <w:szCs w:val="20"/>
              </w:rPr>
            </w:pPr>
            <w:r>
              <w:rPr>
                <w:rFonts w:hint="eastAsia" w:ascii="宋体" w:hAnsi="宋体" w:cs="宋体"/>
                <w:color w:val="000000"/>
                <w:kern w:val="0"/>
                <w:sz w:val="20"/>
                <w:szCs w:val="20"/>
              </w:rPr>
              <w:t>　0</w:t>
            </w:r>
          </w:p>
        </w:tc>
        <w:tc>
          <w:tcPr>
            <w:tcW w:w="318" w:type="pct"/>
            <w:vMerge w:val="continue"/>
            <w:tcBorders>
              <w:top w:val="single" w:color="auto" w:sz="4" w:space="0"/>
              <w:left w:val="single" w:color="auto" w:sz="4" w:space="0"/>
              <w:bottom w:val="single" w:color="auto" w:sz="4" w:space="0"/>
              <w:right w:val="single" w:color="auto" w:sz="4" w:space="0"/>
            </w:tcBorders>
            <w:vAlign w:val="center"/>
          </w:tcPr>
          <w:p w14:paraId="50705E80">
            <w:pPr>
              <w:widowControl/>
              <w:jc w:val="left"/>
              <w:rPr>
                <w:rFonts w:ascii="宋体" w:hAnsi="宋体" w:cs="宋体"/>
                <w:color w:val="000000"/>
                <w:kern w:val="0"/>
                <w:sz w:val="20"/>
                <w:szCs w:val="20"/>
              </w:rPr>
            </w:pPr>
          </w:p>
        </w:tc>
        <w:tc>
          <w:tcPr>
            <w:tcW w:w="312" w:type="pct"/>
            <w:vMerge w:val="continue"/>
            <w:tcBorders>
              <w:top w:val="single" w:color="auto" w:sz="4" w:space="0"/>
              <w:left w:val="single" w:color="auto" w:sz="4" w:space="0"/>
              <w:bottom w:val="single" w:color="auto" w:sz="4" w:space="0"/>
              <w:right w:val="single" w:color="auto" w:sz="4" w:space="0"/>
            </w:tcBorders>
            <w:vAlign w:val="center"/>
          </w:tcPr>
          <w:p w14:paraId="6F39B45B">
            <w:pPr>
              <w:widowControl/>
              <w:jc w:val="left"/>
              <w:rPr>
                <w:rFonts w:ascii="宋体" w:hAnsi="宋体" w:cs="宋体"/>
                <w:color w:val="000000"/>
                <w:kern w:val="0"/>
                <w:sz w:val="20"/>
                <w:szCs w:val="20"/>
              </w:rPr>
            </w:pPr>
          </w:p>
        </w:tc>
        <w:tc>
          <w:tcPr>
            <w:tcW w:w="312" w:type="pct"/>
            <w:vMerge w:val="continue"/>
            <w:tcBorders>
              <w:top w:val="single" w:color="auto" w:sz="4" w:space="0"/>
              <w:left w:val="nil"/>
              <w:bottom w:val="single" w:color="auto" w:sz="4" w:space="0"/>
              <w:right w:val="nil"/>
            </w:tcBorders>
            <w:vAlign w:val="center"/>
          </w:tcPr>
          <w:p w14:paraId="5C42451F">
            <w:pPr>
              <w:widowControl/>
              <w:jc w:val="left"/>
              <w:rPr>
                <w:rFonts w:ascii="宋体" w:hAnsi="宋体" w:cs="宋体"/>
                <w:color w:val="000000"/>
                <w:kern w:val="0"/>
                <w:sz w:val="20"/>
                <w:szCs w:val="20"/>
              </w:rPr>
            </w:pPr>
          </w:p>
        </w:tc>
        <w:tc>
          <w:tcPr>
            <w:tcW w:w="1269" w:type="pct"/>
            <w:vMerge w:val="continue"/>
            <w:tcBorders>
              <w:top w:val="single" w:color="auto" w:sz="4" w:space="0"/>
              <w:left w:val="single" w:color="auto" w:sz="4" w:space="0"/>
              <w:bottom w:val="single" w:color="auto" w:sz="4" w:space="0"/>
              <w:right w:val="single" w:color="auto" w:sz="4" w:space="0"/>
            </w:tcBorders>
            <w:vAlign w:val="center"/>
          </w:tcPr>
          <w:p w14:paraId="1A32953F">
            <w:pPr>
              <w:widowControl/>
              <w:jc w:val="left"/>
              <w:rPr>
                <w:rFonts w:ascii="宋体" w:hAnsi="宋体" w:cs="宋体"/>
                <w:color w:val="000000"/>
                <w:kern w:val="0"/>
                <w:sz w:val="18"/>
                <w:szCs w:val="18"/>
              </w:rPr>
            </w:pPr>
          </w:p>
        </w:tc>
        <w:tc>
          <w:tcPr>
            <w:tcW w:w="1234" w:type="pct"/>
            <w:vMerge w:val="continue"/>
            <w:tcBorders>
              <w:top w:val="nil"/>
              <w:left w:val="single" w:color="auto" w:sz="4" w:space="0"/>
              <w:bottom w:val="single" w:color="auto" w:sz="4" w:space="0"/>
              <w:right w:val="single" w:color="auto" w:sz="4" w:space="0"/>
            </w:tcBorders>
            <w:vAlign w:val="center"/>
          </w:tcPr>
          <w:p w14:paraId="6D4B4948">
            <w:pPr>
              <w:widowControl/>
              <w:jc w:val="left"/>
              <w:rPr>
                <w:rFonts w:ascii="宋体" w:hAnsi="宋体" w:cs="宋体"/>
                <w:color w:val="000000"/>
                <w:kern w:val="0"/>
                <w:sz w:val="18"/>
                <w:szCs w:val="18"/>
              </w:rPr>
            </w:pPr>
          </w:p>
        </w:tc>
      </w:tr>
      <w:tr w14:paraId="2C39E007">
        <w:tblPrEx>
          <w:tblCellMar>
            <w:top w:w="0" w:type="dxa"/>
            <w:left w:w="108" w:type="dxa"/>
            <w:bottom w:w="0" w:type="dxa"/>
            <w:right w:w="108" w:type="dxa"/>
          </w:tblCellMar>
        </w:tblPrEx>
        <w:trPr>
          <w:cantSplit/>
          <w:trHeight w:val="479" w:hRule="atLeast"/>
        </w:trPr>
        <w:tc>
          <w:tcPr>
            <w:tcW w:w="5000" w:type="pct"/>
            <w:gridSpan w:val="9"/>
            <w:tcBorders>
              <w:top w:val="nil"/>
              <w:left w:val="single" w:color="auto" w:sz="4" w:space="0"/>
              <w:bottom w:val="single" w:color="auto" w:sz="4" w:space="0"/>
              <w:right w:val="single" w:color="auto" w:sz="4" w:space="0"/>
            </w:tcBorders>
            <w:vAlign w:val="center"/>
          </w:tcPr>
          <w:p w14:paraId="2A2C5EB8">
            <w:pPr>
              <w:widowControl/>
              <w:jc w:val="left"/>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14:paraId="606E51FB">
        <w:tblPrEx>
          <w:tblCellMar>
            <w:top w:w="0" w:type="dxa"/>
            <w:left w:w="108" w:type="dxa"/>
            <w:bottom w:w="0" w:type="dxa"/>
            <w:right w:w="108" w:type="dxa"/>
          </w:tblCellMar>
        </w:tblPrEx>
        <w:trPr>
          <w:cantSplit/>
          <w:trHeight w:val="499" w:hRule="atLeast"/>
        </w:trPr>
        <w:tc>
          <w:tcPr>
            <w:tcW w:w="413" w:type="pct"/>
            <w:tcBorders>
              <w:top w:val="single" w:color="auto" w:sz="4" w:space="0"/>
              <w:left w:val="single" w:color="auto" w:sz="4" w:space="0"/>
              <w:bottom w:val="single" w:color="auto" w:sz="4" w:space="0"/>
              <w:right w:val="single" w:color="auto" w:sz="4" w:space="0"/>
            </w:tcBorders>
            <w:vAlign w:val="center"/>
          </w:tcPr>
          <w:p w14:paraId="25AEC87B">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413" w:type="pct"/>
            <w:tcBorders>
              <w:top w:val="single" w:color="auto" w:sz="4" w:space="0"/>
              <w:left w:val="nil"/>
              <w:bottom w:val="single" w:color="auto" w:sz="4" w:space="0"/>
              <w:right w:val="single" w:color="auto" w:sz="4" w:space="0"/>
            </w:tcBorders>
            <w:vAlign w:val="center"/>
          </w:tcPr>
          <w:p w14:paraId="1F3A7962">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364" w:type="pct"/>
            <w:tcBorders>
              <w:top w:val="single" w:color="auto" w:sz="4" w:space="0"/>
              <w:left w:val="nil"/>
              <w:bottom w:val="single" w:color="auto" w:sz="4" w:space="0"/>
              <w:right w:val="single" w:color="auto" w:sz="4" w:space="0"/>
            </w:tcBorders>
            <w:vAlign w:val="center"/>
          </w:tcPr>
          <w:p w14:paraId="674D1191">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365" w:type="pct"/>
            <w:tcBorders>
              <w:top w:val="single" w:color="auto" w:sz="4" w:space="0"/>
              <w:left w:val="nil"/>
              <w:bottom w:val="single" w:color="auto" w:sz="4" w:space="0"/>
              <w:right w:val="single" w:color="auto" w:sz="4" w:space="0"/>
            </w:tcBorders>
            <w:vAlign w:val="center"/>
          </w:tcPr>
          <w:p w14:paraId="483AB33F">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318" w:type="pct"/>
            <w:tcBorders>
              <w:top w:val="single" w:color="auto" w:sz="4" w:space="0"/>
              <w:left w:val="nil"/>
              <w:bottom w:val="single" w:color="auto" w:sz="4" w:space="0"/>
              <w:right w:val="single" w:color="auto" w:sz="4" w:space="0"/>
            </w:tcBorders>
            <w:vAlign w:val="center"/>
          </w:tcPr>
          <w:p w14:paraId="31849588">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312" w:type="pct"/>
            <w:tcBorders>
              <w:top w:val="single" w:color="auto" w:sz="4" w:space="0"/>
              <w:left w:val="nil"/>
              <w:bottom w:val="single" w:color="auto" w:sz="4" w:space="0"/>
              <w:right w:val="single" w:color="auto" w:sz="4" w:space="0"/>
            </w:tcBorders>
            <w:vAlign w:val="center"/>
          </w:tcPr>
          <w:p w14:paraId="5C134FC3">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312" w:type="pct"/>
            <w:tcBorders>
              <w:top w:val="single" w:color="auto" w:sz="4" w:space="0"/>
              <w:left w:val="nil"/>
              <w:bottom w:val="single" w:color="auto" w:sz="4" w:space="0"/>
              <w:right w:val="nil"/>
            </w:tcBorders>
            <w:vAlign w:val="center"/>
          </w:tcPr>
          <w:p w14:paraId="173271CF">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269" w:type="pct"/>
            <w:tcBorders>
              <w:top w:val="single" w:color="auto" w:sz="4" w:space="0"/>
              <w:left w:val="single" w:color="auto" w:sz="4" w:space="0"/>
              <w:bottom w:val="single" w:color="auto" w:sz="4" w:space="0"/>
              <w:right w:val="single" w:color="auto" w:sz="4" w:space="0"/>
            </w:tcBorders>
            <w:vAlign w:val="center"/>
          </w:tcPr>
          <w:p w14:paraId="183A537D">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234" w:type="pct"/>
            <w:tcBorders>
              <w:top w:val="single" w:color="auto" w:sz="4" w:space="0"/>
              <w:left w:val="single" w:color="auto" w:sz="4" w:space="0"/>
              <w:bottom w:val="single" w:color="auto" w:sz="4" w:space="0"/>
              <w:right w:val="single" w:color="auto" w:sz="4" w:space="0"/>
            </w:tcBorders>
            <w:vAlign w:val="center"/>
          </w:tcPr>
          <w:p w14:paraId="6C691D80">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14:paraId="6BE93BB6">
        <w:tblPrEx>
          <w:tblCellMar>
            <w:top w:w="0" w:type="dxa"/>
            <w:left w:w="108" w:type="dxa"/>
            <w:bottom w:w="0" w:type="dxa"/>
            <w:right w:w="108" w:type="dxa"/>
          </w:tblCellMar>
        </w:tblPrEx>
        <w:trPr>
          <w:cantSplit/>
          <w:trHeight w:val="1196" w:hRule="atLeast"/>
        </w:trPr>
        <w:tc>
          <w:tcPr>
            <w:tcW w:w="413" w:type="pct"/>
            <w:vMerge w:val="restart"/>
            <w:tcBorders>
              <w:top w:val="single" w:color="auto" w:sz="4" w:space="0"/>
              <w:left w:val="single" w:color="auto" w:sz="4" w:space="0"/>
              <w:right w:val="single" w:color="auto" w:sz="4" w:space="0"/>
            </w:tcBorders>
            <w:vAlign w:val="center"/>
          </w:tcPr>
          <w:p w14:paraId="526B9D7B">
            <w:pPr>
              <w:widowControl/>
              <w:jc w:val="center"/>
              <w:rPr>
                <w:rFonts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413" w:type="pct"/>
            <w:vMerge w:val="restart"/>
            <w:tcBorders>
              <w:top w:val="single" w:color="auto" w:sz="4" w:space="0"/>
              <w:left w:val="nil"/>
              <w:right w:val="single" w:color="auto" w:sz="4" w:space="0"/>
            </w:tcBorders>
            <w:vAlign w:val="center"/>
          </w:tcPr>
          <w:p w14:paraId="65D3F189">
            <w:pPr>
              <w:widowControl/>
              <w:jc w:val="center"/>
              <w:rPr>
                <w:rFonts w:ascii="宋体" w:hAnsi="宋体" w:cs="宋体"/>
                <w:color w:val="000000"/>
                <w:kern w:val="0"/>
                <w:sz w:val="20"/>
                <w:szCs w:val="20"/>
              </w:rPr>
            </w:pPr>
          </w:p>
          <w:p w14:paraId="1BB31A89">
            <w:pPr>
              <w:jc w:val="center"/>
              <w:rPr>
                <w:rFonts w:ascii="宋体" w:hAnsi="宋体" w:cs="宋体"/>
                <w:color w:val="000000"/>
                <w:kern w:val="0"/>
                <w:sz w:val="20"/>
                <w:szCs w:val="20"/>
              </w:rPr>
            </w:pPr>
            <w:r>
              <w:rPr>
                <w:rFonts w:hint="eastAsia" w:ascii="宋体" w:hAnsi="宋体" w:cs="宋体"/>
                <w:color w:val="000000"/>
                <w:kern w:val="0"/>
                <w:sz w:val="20"/>
                <w:szCs w:val="20"/>
              </w:rPr>
              <w:t>产出（30）</w:t>
            </w:r>
          </w:p>
        </w:tc>
        <w:tc>
          <w:tcPr>
            <w:tcW w:w="364" w:type="pct"/>
            <w:tcBorders>
              <w:top w:val="single" w:color="auto" w:sz="4" w:space="0"/>
              <w:left w:val="nil"/>
              <w:bottom w:val="single" w:color="auto" w:sz="4" w:space="0"/>
              <w:right w:val="single" w:color="auto" w:sz="4" w:space="0"/>
            </w:tcBorders>
            <w:vAlign w:val="center"/>
          </w:tcPr>
          <w:p w14:paraId="2B8B7E73">
            <w:pPr>
              <w:widowControl/>
              <w:jc w:val="center"/>
              <w:rPr>
                <w:rFonts w:ascii="宋体" w:hAnsi="宋体" w:cs="宋体"/>
                <w:color w:val="000000"/>
                <w:kern w:val="0"/>
                <w:sz w:val="20"/>
                <w:szCs w:val="20"/>
              </w:rPr>
            </w:pPr>
          </w:p>
          <w:p w14:paraId="7DA286AE">
            <w:pPr>
              <w:jc w:val="center"/>
              <w:rPr>
                <w:rFonts w:ascii="宋体" w:hAnsi="宋体" w:cs="宋体"/>
                <w:color w:val="000000"/>
                <w:kern w:val="0"/>
                <w:sz w:val="20"/>
                <w:szCs w:val="20"/>
              </w:rPr>
            </w:pPr>
            <w:r>
              <w:rPr>
                <w:rFonts w:hint="eastAsia" w:ascii="宋体" w:hAnsi="宋体" w:cs="宋体"/>
                <w:color w:val="000000"/>
                <w:kern w:val="0"/>
                <w:sz w:val="20"/>
                <w:szCs w:val="20"/>
              </w:rPr>
              <w:t>指标1</w:t>
            </w:r>
          </w:p>
        </w:tc>
        <w:tc>
          <w:tcPr>
            <w:tcW w:w="365" w:type="pct"/>
            <w:tcBorders>
              <w:top w:val="single" w:color="auto" w:sz="4" w:space="0"/>
              <w:left w:val="nil"/>
              <w:bottom w:val="single" w:color="auto" w:sz="4" w:space="0"/>
              <w:right w:val="single" w:color="auto" w:sz="4" w:space="0"/>
            </w:tcBorders>
            <w:vAlign w:val="center"/>
          </w:tcPr>
          <w:p w14:paraId="7D25DDF6">
            <w:pPr>
              <w:jc w:val="center"/>
              <w:rPr>
                <w:rFonts w:ascii="宋体" w:hAnsi="宋体" w:cs="宋体"/>
                <w:color w:val="000000"/>
                <w:kern w:val="0"/>
                <w:sz w:val="20"/>
                <w:szCs w:val="20"/>
              </w:rPr>
            </w:pPr>
            <w:r>
              <w:rPr>
                <w:rFonts w:hint="eastAsia" w:ascii="宋体" w:hAnsi="宋体" w:cs="宋体"/>
                <w:color w:val="000000"/>
                <w:kern w:val="0"/>
                <w:sz w:val="20"/>
                <w:szCs w:val="20"/>
              </w:rPr>
              <w:t>完成重大任务、落实立德树人、加强党的建设等方面</w:t>
            </w:r>
          </w:p>
        </w:tc>
        <w:tc>
          <w:tcPr>
            <w:tcW w:w="318" w:type="pct"/>
            <w:tcBorders>
              <w:top w:val="single" w:color="auto" w:sz="4" w:space="0"/>
              <w:left w:val="nil"/>
              <w:bottom w:val="single" w:color="auto" w:sz="4" w:space="0"/>
              <w:right w:val="single" w:color="auto" w:sz="4" w:space="0"/>
            </w:tcBorders>
            <w:vAlign w:val="center"/>
          </w:tcPr>
          <w:p w14:paraId="26CE1B77">
            <w:pPr>
              <w:jc w:val="center"/>
              <w:rPr>
                <w:rFonts w:ascii="宋体" w:hAnsi="宋体" w:cs="宋体"/>
                <w:color w:val="000000"/>
                <w:kern w:val="0"/>
                <w:sz w:val="20"/>
                <w:szCs w:val="20"/>
              </w:rPr>
            </w:pPr>
            <w:r>
              <w:rPr>
                <w:rFonts w:hint="eastAsia" w:ascii="宋体" w:hAnsi="宋体" w:cs="宋体"/>
                <w:color w:val="000000"/>
                <w:kern w:val="0"/>
                <w:sz w:val="20"/>
                <w:szCs w:val="20"/>
              </w:rPr>
              <w:t>较好　</w:t>
            </w:r>
          </w:p>
        </w:tc>
        <w:tc>
          <w:tcPr>
            <w:tcW w:w="312" w:type="pct"/>
            <w:vMerge w:val="restart"/>
            <w:tcBorders>
              <w:top w:val="single" w:color="auto" w:sz="4" w:space="0"/>
              <w:left w:val="nil"/>
              <w:bottom w:val="single" w:color="auto" w:sz="4" w:space="0"/>
              <w:right w:val="single" w:color="auto" w:sz="4" w:space="0"/>
            </w:tcBorders>
            <w:vAlign w:val="center"/>
          </w:tcPr>
          <w:p w14:paraId="38CD6CCC">
            <w:pPr>
              <w:widowControl/>
              <w:jc w:val="center"/>
              <w:rPr>
                <w:rFonts w:ascii="宋体" w:hAnsi="宋体" w:cs="宋体"/>
                <w:color w:val="000000"/>
                <w:kern w:val="0"/>
                <w:sz w:val="20"/>
                <w:szCs w:val="20"/>
              </w:rPr>
            </w:pPr>
          </w:p>
          <w:p w14:paraId="3011AEDB">
            <w:pPr>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312" w:type="pct"/>
            <w:tcBorders>
              <w:top w:val="single" w:color="auto" w:sz="4" w:space="0"/>
              <w:left w:val="nil"/>
              <w:bottom w:val="single" w:color="auto" w:sz="4" w:space="0"/>
              <w:right w:val="nil"/>
            </w:tcBorders>
            <w:vAlign w:val="center"/>
          </w:tcPr>
          <w:p w14:paraId="7F5FDDFE">
            <w:pPr>
              <w:widowControl/>
              <w:jc w:val="center"/>
              <w:rPr>
                <w:rFonts w:ascii="宋体" w:hAnsi="宋体" w:cs="宋体"/>
                <w:color w:val="000000"/>
                <w:kern w:val="0"/>
                <w:sz w:val="20"/>
                <w:szCs w:val="20"/>
              </w:rPr>
            </w:pPr>
          </w:p>
          <w:p w14:paraId="580250AB">
            <w:pPr>
              <w:jc w:val="center"/>
              <w:rPr>
                <w:rFonts w:ascii="宋体" w:hAnsi="宋体" w:cs="宋体"/>
                <w:color w:val="000000"/>
                <w:kern w:val="0"/>
                <w:sz w:val="20"/>
                <w:szCs w:val="20"/>
              </w:rPr>
            </w:pPr>
            <w:r>
              <w:rPr>
                <w:rFonts w:ascii="宋体" w:hAnsi="宋体" w:cs="宋体"/>
                <w:color w:val="000000"/>
                <w:kern w:val="0"/>
                <w:sz w:val="20"/>
                <w:szCs w:val="20"/>
              </w:rPr>
              <w:t>7</w:t>
            </w:r>
            <w:r>
              <w:rPr>
                <w:rFonts w:hint="eastAsia" w:ascii="宋体" w:hAnsi="宋体" w:cs="宋体"/>
                <w:color w:val="000000"/>
                <w:kern w:val="0"/>
                <w:sz w:val="20"/>
                <w:szCs w:val="20"/>
              </w:rPr>
              <w:t>　</w:t>
            </w:r>
          </w:p>
        </w:tc>
        <w:tc>
          <w:tcPr>
            <w:tcW w:w="1269" w:type="pct"/>
            <w:vMerge w:val="restart"/>
            <w:tcBorders>
              <w:top w:val="single" w:color="auto" w:sz="4" w:space="0"/>
              <w:left w:val="single" w:color="auto" w:sz="4" w:space="0"/>
              <w:bottom w:val="single" w:color="auto" w:sz="4" w:space="0"/>
              <w:right w:val="single" w:color="auto" w:sz="4" w:space="0"/>
            </w:tcBorders>
            <w:vAlign w:val="center"/>
          </w:tcPr>
          <w:p w14:paraId="7C3D687B">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1234" w:type="pct"/>
            <w:vMerge w:val="restart"/>
            <w:tcBorders>
              <w:top w:val="single" w:color="auto" w:sz="4" w:space="0"/>
              <w:left w:val="single" w:color="auto" w:sz="4" w:space="0"/>
              <w:bottom w:val="single" w:color="auto" w:sz="4" w:space="0"/>
              <w:right w:val="single" w:color="auto" w:sz="4" w:space="0"/>
            </w:tcBorders>
            <w:vAlign w:val="center"/>
          </w:tcPr>
          <w:p w14:paraId="55B44C5E">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14:paraId="5381C48F">
        <w:tblPrEx>
          <w:tblCellMar>
            <w:top w:w="0" w:type="dxa"/>
            <w:left w:w="108" w:type="dxa"/>
            <w:bottom w:w="0" w:type="dxa"/>
            <w:right w:w="108" w:type="dxa"/>
          </w:tblCellMar>
        </w:tblPrEx>
        <w:trPr>
          <w:cantSplit/>
          <w:trHeight w:val="1130" w:hRule="atLeast"/>
        </w:trPr>
        <w:tc>
          <w:tcPr>
            <w:tcW w:w="413" w:type="pct"/>
            <w:vMerge w:val="continue"/>
            <w:tcBorders>
              <w:left w:val="single" w:color="auto" w:sz="4" w:space="0"/>
              <w:right w:val="single" w:color="auto" w:sz="4" w:space="0"/>
            </w:tcBorders>
            <w:vAlign w:val="center"/>
          </w:tcPr>
          <w:p w14:paraId="7D5233CB">
            <w:pPr>
              <w:widowControl/>
              <w:jc w:val="left"/>
              <w:rPr>
                <w:rFonts w:ascii="宋体" w:hAnsi="宋体" w:cs="宋体"/>
                <w:color w:val="000000"/>
                <w:kern w:val="0"/>
                <w:sz w:val="20"/>
                <w:szCs w:val="20"/>
              </w:rPr>
            </w:pPr>
          </w:p>
        </w:tc>
        <w:tc>
          <w:tcPr>
            <w:tcW w:w="413" w:type="pct"/>
            <w:vMerge w:val="continue"/>
            <w:tcBorders>
              <w:left w:val="single" w:color="auto" w:sz="4" w:space="0"/>
              <w:right w:val="single" w:color="auto" w:sz="4" w:space="0"/>
            </w:tcBorders>
            <w:vAlign w:val="center"/>
          </w:tcPr>
          <w:p w14:paraId="099336D8">
            <w:pPr>
              <w:widowControl/>
              <w:jc w:val="left"/>
              <w:rPr>
                <w:rFonts w:ascii="宋体" w:hAnsi="宋体" w:cs="宋体"/>
                <w:color w:val="000000"/>
                <w:kern w:val="0"/>
                <w:sz w:val="20"/>
                <w:szCs w:val="20"/>
              </w:rPr>
            </w:pPr>
          </w:p>
        </w:tc>
        <w:tc>
          <w:tcPr>
            <w:tcW w:w="364" w:type="pct"/>
            <w:tcBorders>
              <w:top w:val="single" w:color="auto" w:sz="4" w:space="0"/>
              <w:left w:val="nil"/>
              <w:bottom w:val="single" w:color="auto" w:sz="4" w:space="0"/>
              <w:right w:val="single" w:color="auto" w:sz="4" w:space="0"/>
            </w:tcBorders>
            <w:vAlign w:val="center"/>
          </w:tcPr>
          <w:p w14:paraId="79E0E0F1">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指标2</w:t>
            </w:r>
          </w:p>
        </w:tc>
        <w:tc>
          <w:tcPr>
            <w:tcW w:w="365" w:type="pct"/>
            <w:tcBorders>
              <w:top w:val="single" w:color="auto" w:sz="4" w:space="0"/>
              <w:left w:val="nil"/>
              <w:bottom w:val="single" w:color="auto" w:sz="4" w:space="0"/>
              <w:right w:val="single" w:color="auto" w:sz="4" w:space="0"/>
            </w:tcBorders>
            <w:vAlign w:val="center"/>
          </w:tcPr>
          <w:p w14:paraId="6B087163">
            <w:pPr>
              <w:widowControl/>
              <w:jc w:val="center"/>
              <w:rPr>
                <w:rFonts w:ascii="宋体" w:hAnsi="宋体" w:cs="宋体"/>
                <w:color w:val="000000"/>
                <w:kern w:val="0"/>
                <w:sz w:val="20"/>
                <w:szCs w:val="20"/>
              </w:rPr>
            </w:pPr>
            <w:r>
              <w:rPr>
                <w:rFonts w:hint="eastAsia" w:ascii="宋体" w:hAnsi="宋体" w:cs="宋体"/>
                <w:color w:val="000000"/>
                <w:kern w:val="0"/>
                <w:sz w:val="20"/>
                <w:szCs w:val="20"/>
              </w:rPr>
              <w:t>　部门职责完成质量达标情况</w:t>
            </w:r>
          </w:p>
        </w:tc>
        <w:tc>
          <w:tcPr>
            <w:tcW w:w="318" w:type="pct"/>
            <w:tcBorders>
              <w:top w:val="single" w:color="auto" w:sz="4" w:space="0"/>
              <w:left w:val="nil"/>
              <w:bottom w:val="single" w:color="auto" w:sz="4" w:space="0"/>
              <w:right w:val="single" w:color="auto" w:sz="4" w:space="0"/>
            </w:tcBorders>
            <w:vAlign w:val="center"/>
          </w:tcPr>
          <w:p w14:paraId="0241D869">
            <w:pPr>
              <w:widowControl/>
              <w:jc w:val="center"/>
              <w:rPr>
                <w:rFonts w:ascii="宋体" w:hAnsi="宋体" w:cs="宋体"/>
                <w:color w:val="000000"/>
                <w:kern w:val="0"/>
                <w:sz w:val="20"/>
                <w:szCs w:val="20"/>
              </w:rPr>
            </w:pPr>
            <w:r>
              <w:rPr>
                <w:rFonts w:hint="eastAsia" w:ascii="宋体" w:hAnsi="宋体" w:cs="宋体"/>
                <w:color w:val="000000"/>
                <w:kern w:val="0"/>
                <w:sz w:val="20"/>
                <w:szCs w:val="20"/>
              </w:rPr>
              <w:t>　较好</w:t>
            </w:r>
          </w:p>
        </w:tc>
        <w:tc>
          <w:tcPr>
            <w:tcW w:w="312" w:type="pct"/>
            <w:vMerge w:val="continue"/>
            <w:tcBorders>
              <w:top w:val="single" w:color="auto" w:sz="4" w:space="0"/>
              <w:left w:val="single" w:color="auto" w:sz="4" w:space="0"/>
              <w:right w:val="single" w:color="auto" w:sz="4" w:space="0"/>
            </w:tcBorders>
            <w:vAlign w:val="center"/>
          </w:tcPr>
          <w:p w14:paraId="349678B5">
            <w:pPr>
              <w:widowControl/>
              <w:jc w:val="left"/>
              <w:rPr>
                <w:rFonts w:ascii="宋体" w:hAnsi="宋体" w:cs="宋体"/>
                <w:color w:val="000000"/>
                <w:kern w:val="0"/>
                <w:sz w:val="20"/>
                <w:szCs w:val="20"/>
              </w:rPr>
            </w:pPr>
          </w:p>
        </w:tc>
        <w:tc>
          <w:tcPr>
            <w:tcW w:w="312" w:type="pct"/>
            <w:tcBorders>
              <w:top w:val="single" w:color="auto" w:sz="4" w:space="0"/>
              <w:left w:val="nil"/>
              <w:bottom w:val="single" w:color="auto" w:sz="4" w:space="0"/>
              <w:right w:val="nil"/>
            </w:tcBorders>
            <w:noWrap/>
            <w:vAlign w:val="center"/>
          </w:tcPr>
          <w:p w14:paraId="0577E60E">
            <w:pPr>
              <w:widowControl/>
              <w:jc w:val="center"/>
              <w:rPr>
                <w:rFonts w:ascii="宋体" w:hAnsi="宋体" w:cs="宋体"/>
                <w:color w:val="000000"/>
                <w:kern w:val="0"/>
                <w:sz w:val="20"/>
                <w:szCs w:val="20"/>
              </w:rPr>
            </w:pPr>
            <w:r>
              <w:rPr>
                <w:rFonts w:hint="eastAsia" w:ascii="宋体" w:hAnsi="宋体" w:cs="宋体"/>
                <w:color w:val="000000"/>
                <w:kern w:val="0"/>
                <w:sz w:val="20"/>
                <w:szCs w:val="20"/>
              </w:rPr>
              <w:t>8　</w:t>
            </w:r>
          </w:p>
        </w:tc>
        <w:tc>
          <w:tcPr>
            <w:tcW w:w="1269" w:type="pct"/>
            <w:vMerge w:val="continue"/>
            <w:tcBorders>
              <w:top w:val="nil"/>
              <w:left w:val="single" w:color="auto" w:sz="4" w:space="0"/>
              <w:bottom w:val="single" w:color="auto" w:sz="4" w:space="0"/>
              <w:right w:val="single" w:color="auto" w:sz="4" w:space="0"/>
            </w:tcBorders>
            <w:vAlign w:val="center"/>
          </w:tcPr>
          <w:p w14:paraId="31B2E068">
            <w:pPr>
              <w:widowControl/>
              <w:jc w:val="left"/>
              <w:rPr>
                <w:rFonts w:ascii="宋体" w:hAnsi="宋体" w:cs="宋体"/>
                <w:color w:val="000000"/>
                <w:kern w:val="0"/>
                <w:sz w:val="18"/>
                <w:szCs w:val="18"/>
              </w:rPr>
            </w:pPr>
          </w:p>
        </w:tc>
        <w:tc>
          <w:tcPr>
            <w:tcW w:w="1234" w:type="pct"/>
            <w:vMerge w:val="continue"/>
            <w:tcBorders>
              <w:top w:val="nil"/>
              <w:left w:val="single" w:color="auto" w:sz="4" w:space="0"/>
              <w:bottom w:val="single" w:color="auto" w:sz="4" w:space="0"/>
              <w:right w:val="single" w:color="auto" w:sz="4" w:space="0"/>
            </w:tcBorders>
            <w:vAlign w:val="center"/>
          </w:tcPr>
          <w:p w14:paraId="4F61CFE5">
            <w:pPr>
              <w:widowControl/>
              <w:jc w:val="left"/>
              <w:rPr>
                <w:rFonts w:ascii="宋体" w:hAnsi="宋体" w:cs="宋体"/>
                <w:color w:val="000000"/>
                <w:kern w:val="0"/>
                <w:sz w:val="18"/>
                <w:szCs w:val="18"/>
              </w:rPr>
            </w:pPr>
          </w:p>
        </w:tc>
      </w:tr>
      <w:tr w14:paraId="7DAD6CC8">
        <w:tblPrEx>
          <w:tblCellMar>
            <w:top w:w="0" w:type="dxa"/>
            <w:left w:w="108" w:type="dxa"/>
            <w:bottom w:w="0" w:type="dxa"/>
            <w:right w:w="108" w:type="dxa"/>
          </w:tblCellMar>
        </w:tblPrEx>
        <w:trPr>
          <w:cantSplit/>
          <w:trHeight w:val="1258" w:hRule="atLeast"/>
        </w:trPr>
        <w:tc>
          <w:tcPr>
            <w:tcW w:w="413" w:type="pct"/>
            <w:vMerge w:val="continue"/>
            <w:tcBorders>
              <w:left w:val="single" w:color="auto" w:sz="4" w:space="0"/>
              <w:right w:val="single" w:color="auto" w:sz="4" w:space="0"/>
            </w:tcBorders>
            <w:vAlign w:val="center"/>
          </w:tcPr>
          <w:p w14:paraId="4C49A6A6">
            <w:pPr>
              <w:widowControl/>
              <w:jc w:val="left"/>
              <w:rPr>
                <w:rFonts w:ascii="宋体" w:hAnsi="宋体" w:cs="宋体"/>
                <w:color w:val="000000"/>
                <w:kern w:val="0"/>
                <w:sz w:val="20"/>
                <w:szCs w:val="20"/>
              </w:rPr>
            </w:pPr>
          </w:p>
        </w:tc>
        <w:tc>
          <w:tcPr>
            <w:tcW w:w="413" w:type="pct"/>
            <w:vMerge w:val="continue"/>
            <w:tcBorders>
              <w:left w:val="single" w:color="auto" w:sz="4" w:space="0"/>
              <w:right w:val="single" w:color="auto" w:sz="4" w:space="0"/>
            </w:tcBorders>
            <w:vAlign w:val="center"/>
          </w:tcPr>
          <w:p w14:paraId="13FF6345">
            <w:pPr>
              <w:widowControl/>
              <w:jc w:val="left"/>
              <w:rPr>
                <w:rFonts w:ascii="宋体" w:hAnsi="宋体" w:cs="宋体"/>
                <w:color w:val="000000"/>
                <w:kern w:val="0"/>
                <w:sz w:val="20"/>
                <w:szCs w:val="20"/>
              </w:rPr>
            </w:pPr>
          </w:p>
        </w:tc>
        <w:tc>
          <w:tcPr>
            <w:tcW w:w="364" w:type="pct"/>
            <w:tcBorders>
              <w:top w:val="nil"/>
              <w:left w:val="nil"/>
              <w:bottom w:val="single" w:color="auto" w:sz="4" w:space="0"/>
              <w:right w:val="single" w:color="auto" w:sz="4" w:space="0"/>
            </w:tcBorders>
            <w:vAlign w:val="center"/>
          </w:tcPr>
          <w:p w14:paraId="00FC77F2">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指标3</w:t>
            </w:r>
          </w:p>
        </w:tc>
        <w:tc>
          <w:tcPr>
            <w:tcW w:w="365" w:type="pct"/>
            <w:tcBorders>
              <w:top w:val="nil"/>
              <w:left w:val="nil"/>
              <w:bottom w:val="single" w:color="auto" w:sz="4" w:space="0"/>
              <w:right w:val="single" w:color="auto" w:sz="4" w:space="0"/>
            </w:tcBorders>
            <w:vAlign w:val="center"/>
          </w:tcPr>
          <w:p w14:paraId="52D31125">
            <w:pPr>
              <w:widowControl/>
              <w:jc w:val="center"/>
              <w:rPr>
                <w:rFonts w:ascii="宋体" w:hAnsi="宋体" w:cs="宋体"/>
                <w:color w:val="000000"/>
                <w:kern w:val="0"/>
                <w:sz w:val="20"/>
                <w:szCs w:val="20"/>
              </w:rPr>
            </w:pPr>
            <w:r>
              <w:rPr>
                <w:rFonts w:hint="eastAsia" w:ascii="宋体" w:hAnsi="宋体" w:cs="宋体"/>
                <w:color w:val="000000"/>
                <w:kern w:val="0"/>
                <w:sz w:val="20"/>
                <w:szCs w:val="20"/>
              </w:rPr>
              <w:t>首都教育治理能力和水平提升进度　</w:t>
            </w:r>
          </w:p>
        </w:tc>
        <w:tc>
          <w:tcPr>
            <w:tcW w:w="318" w:type="pct"/>
            <w:tcBorders>
              <w:top w:val="nil"/>
              <w:left w:val="nil"/>
              <w:bottom w:val="single" w:color="auto" w:sz="4" w:space="0"/>
              <w:right w:val="single" w:color="auto" w:sz="4" w:space="0"/>
            </w:tcBorders>
            <w:vAlign w:val="center"/>
          </w:tcPr>
          <w:p w14:paraId="67D6485B">
            <w:pPr>
              <w:widowControl/>
              <w:jc w:val="center"/>
              <w:rPr>
                <w:rFonts w:ascii="宋体" w:hAnsi="宋体" w:cs="宋体"/>
                <w:color w:val="000000"/>
                <w:kern w:val="0"/>
                <w:sz w:val="20"/>
                <w:szCs w:val="20"/>
              </w:rPr>
            </w:pPr>
            <w:r>
              <w:rPr>
                <w:rFonts w:hint="eastAsia" w:ascii="宋体" w:hAnsi="宋体" w:cs="宋体"/>
                <w:color w:val="000000"/>
                <w:kern w:val="0"/>
                <w:sz w:val="20"/>
                <w:szCs w:val="20"/>
              </w:rPr>
              <w:t>　较好</w:t>
            </w:r>
          </w:p>
        </w:tc>
        <w:tc>
          <w:tcPr>
            <w:tcW w:w="312" w:type="pct"/>
            <w:vMerge w:val="continue"/>
            <w:tcBorders>
              <w:left w:val="single" w:color="auto" w:sz="4" w:space="0"/>
              <w:right w:val="single" w:color="auto" w:sz="4" w:space="0"/>
            </w:tcBorders>
            <w:vAlign w:val="center"/>
          </w:tcPr>
          <w:p w14:paraId="33E2C918">
            <w:pPr>
              <w:widowControl/>
              <w:jc w:val="left"/>
              <w:rPr>
                <w:rFonts w:ascii="宋体" w:hAnsi="宋体" w:cs="宋体"/>
                <w:color w:val="000000"/>
                <w:kern w:val="0"/>
                <w:sz w:val="20"/>
                <w:szCs w:val="20"/>
              </w:rPr>
            </w:pPr>
          </w:p>
        </w:tc>
        <w:tc>
          <w:tcPr>
            <w:tcW w:w="312" w:type="pct"/>
            <w:tcBorders>
              <w:top w:val="nil"/>
              <w:left w:val="nil"/>
              <w:bottom w:val="single" w:color="auto" w:sz="4" w:space="0"/>
              <w:right w:val="nil"/>
            </w:tcBorders>
            <w:noWrap/>
            <w:vAlign w:val="center"/>
          </w:tcPr>
          <w:p w14:paraId="611C3212">
            <w:pPr>
              <w:widowControl/>
              <w:jc w:val="center"/>
              <w:rPr>
                <w:rFonts w:ascii="宋体" w:hAnsi="宋体" w:cs="宋体"/>
                <w:color w:val="000000"/>
                <w:kern w:val="0"/>
                <w:sz w:val="20"/>
                <w:szCs w:val="20"/>
              </w:rPr>
            </w:pPr>
            <w:r>
              <w:rPr>
                <w:rFonts w:hint="eastAsia" w:ascii="宋体" w:hAnsi="宋体" w:cs="宋体"/>
                <w:color w:val="000000"/>
                <w:kern w:val="0"/>
                <w:sz w:val="20"/>
                <w:szCs w:val="20"/>
              </w:rPr>
              <w:t>　7</w:t>
            </w:r>
          </w:p>
        </w:tc>
        <w:tc>
          <w:tcPr>
            <w:tcW w:w="1269" w:type="pct"/>
            <w:vMerge w:val="continue"/>
            <w:tcBorders>
              <w:top w:val="nil"/>
              <w:left w:val="single" w:color="auto" w:sz="4" w:space="0"/>
              <w:bottom w:val="single" w:color="auto" w:sz="4" w:space="0"/>
              <w:right w:val="single" w:color="auto" w:sz="4" w:space="0"/>
            </w:tcBorders>
            <w:vAlign w:val="center"/>
          </w:tcPr>
          <w:p w14:paraId="0C3327E7">
            <w:pPr>
              <w:widowControl/>
              <w:jc w:val="left"/>
              <w:rPr>
                <w:rFonts w:ascii="宋体" w:hAnsi="宋体" w:cs="宋体"/>
                <w:color w:val="000000"/>
                <w:kern w:val="0"/>
                <w:sz w:val="18"/>
                <w:szCs w:val="18"/>
              </w:rPr>
            </w:pPr>
          </w:p>
        </w:tc>
        <w:tc>
          <w:tcPr>
            <w:tcW w:w="1234" w:type="pct"/>
            <w:vMerge w:val="continue"/>
            <w:tcBorders>
              <w:top w:val="nil"/>
              <w:left w:val="single" w:color="auto" w:sz="4" w:space="0"/>
              <w:bottom w:val="single" w:color="auto" w:sz="4" w:space="0"/>
              <w:right w:val="single" w:color="auto" w:sz="4" w:space="0"/>
            </w:tcBorders>
            <w:vAlign w:val="center"/>
          </w:tcPr>
          <w:p w14:paraId="2F78ED02">
            <w:pPr>
              <w:widowControl/>
              <w:jc w:val="left"/>
              <w:rPr>
                <w:rFonts w:ascii="宋体" w:hAnsi="宋体" w:cs="宋体"/>
                <w:color w:val="000000"/>
                <w:kern w:val="0"/>
                <w:sz w:val="18"/>
                <w:szCs w:val="18"/>
              </w:rPr>
            </w:pPr>
          </w:p>
        </w:tc>
      </w:tr>
      <w:tr w14:paraId="1F6887D3">
        <w:tblPrEx>
          <w:tblCellMar>
            <w:top w:w="0" w:type="dxa"/>
            <w:left w:w="108" w:type="dxa"/>
            <w:bottom w:w="0" w:type="dxa"/>
            <w:right w:w="108" w:type="dxa"/>
          </w:tblCellMar>
        </w:tblPrEx>
        <w:trPr>
          <w:cantSplit/>
          <w:trHeight w:val="975" w:hRule="atLeast"/>
        </w:trPr>
        <w:tc>
          <w:tcPr>
            <w:tcW w:w="413" w:type="pct"/>
            <w:vMerge w:val="continue"/>
            <w:tcBorders>
              <w:left w:val="single" w:color="auto" w:sz="4" w:space="0"/>
              <w:right w:val="single" w:color="auto" w:sz="4" w:space="0"/>
            </w:tcBorders>
            <w:vAlign w:val="center"/>
          </w:tcPr>
          <w:p w14:paraId="19912D06">
            <w:pPr>
              <w:widowControl/>
              <w:jc w:val="left"/>
              <w:rPr>
                <w:rFonts w:ascii="宋体" w:hAnsi="宋体" w:cs="宋体"/>
                <w:color w:val="000000"/>
                <w:kern w:val="0"/>
                <w:sz w:val="20"/>
                <w:szCs w:val="20"/>
              </w:rPr>
            </w:pPr>
          </w:p>
        </w:tc>
        <w:tc>
          <w:tcPr>
            <w:tcW w:w="413" w:type="pct"/>
            <w:vMerge w:val="continue"/>
            <w:tcBorders>
              <w:left w:val="single" w:color="auto" w:sz="4" w:space="0"/>
              <w:bottom w:val="single" w:color="auto" w:sz="4" w:space="0"/>
              <w:right w:val="single" w:color="auto" w:sz="4" w:space="0"/>
            </w:tcBorders>
            <w:vAlign w:val="center"/>
          </w:tcPr>
          <w:p w14:paraId="08FF7FF2">
            <w:pPr>
              <w:widowControl/>
              <w:jc w:val="left"/>
              <w:rPr>
                <w:rFonts w:ascii="宋体" w:hAnsi="宋体" w:cs="宋体"/>
                <w:color w:val="000000"/>
                <w:kern w:val="0"/>
                <w:sz w:val="20"/>
                <w:szCs w:val="20"/>
              </w:rPr>
            </w:pPr>
          </w:p>
        </w:tc>
        <w:tc>
          <w:tcPr>
            <w:tcW w:w="364" w:type="pct"/>
            <w:tcBorders>
              <w:top w:val="nil"/>
              <w:left w:val="nil"/>
              <w:bottom w:val="single" w:color="auto" w:sz="4" w:space="0"/>
              <w:right w:val="single" w:color="auto" w:sz="4" w:space="0"/>
            </w:tcBorders>
            <w:vAlign w:val="center"/>
          </w:tcPr>
          <w:p w14:paraId="0682DEB8">
            <w:pPr>
              <w:widowControl/>
              <w:rPr>
                <w:rFonts w:ascii="宋体" w:hAnsi="宋体" w:cs="宋体"/>
                <w:color w:val="000000"/>
                <w:kern w:val="0"/>
                <w:sz w:val="20"/>
                <w:szCs w:val="20"/>
              </w:rPr>
            </w:pPr>
            <w:r>
              <w:rPr>
                <w:rFonts w:hint="eastAsia" w:ascii="宋体" w:hAnsi="宋体" w:cs="宋体"/>
                <w:color w:val="000000"/>
                <w:kern w:val="0"/>
                <w:sz w:val="20"/>
                <w:szCs w:val="20"/>
              </w:rPr>
              <w:t>指标4</w:t>
            </w:r>
          </w:p>
        </w:tc>
        <w:tc>
          <w:tcPr>
            <w:tcW w:w="365" w:type="pct"/>
            <w:tcBorders>
              <w:top w:val="nil"/>
              <w:left w:val="nil"/>
              <w:bottom w:val="single" w:color="auto" w:sz="4" w:space="0"/>
              <w:right w:val="single" w:color="auto" w:sz="4" w:space="0"/>
            </w:tcBorders>
            <w:vAlign w:val="center"/>
          </w:tcPr>
          <w:p w14:paraId="14115B55">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年度支出情况　</w:t>
            </w:r>
          </w:p>
        </w:tc>
        <w:tc>
          <w:tcPr>
            <w:tcW w:w="318" w:type="pct"/>
            <w:tcBorders>
              <w:top w:val="nil"/>
              <w:left w:val="nil"/>
              <w:bottom w:val="single" w:color="auto" w:sz="4" w:space="0"/>
              <w:right w:val="single" w:color="auto" w:sz="4" w:space="0"/>
            </w:tcBorders>
            <w:vAlign w:val="center"/>
          </w:tcPr>
          <w:p w14:paraId="649C12A7">
            <w:pPr>
              <w:widowControl/>
              <w:jc w:val="center"/>
              <w:rPr>
                <w:rFonts w:ascii="宋体" w:hAnsi="宋体" w:cs="宋体"/>
                <w:color w:val="000000"/>
                <w:kern w:val="0"/>
                <w:sz w:val="20"/>
                <w:szCs w:val="20"/>
              </w:rPr>
            </w:pPr>
            <w:r>
              <w:rPr>
                <w:rFonts w:hint="eastAsia" w:ascii="宋体" w:hAnsi="宋体" w:cs="宋体"/>
                <w:color w:val="000000"/>
                <w:kern w:val="0"/>
                <w:sz w:val="20"/>
                <w:szCs w:val="20"/>
              </w:rPr>
              <w:t>较好　</w:t>
            </w:r>
          </w:p>
        </w:tc>
        <w:tc>
          <w:tcPr>
            <w:tcW w:w="312" w:type="pct"/>
            <w:vMerge w:val="continue"/>
            <w:tcBorders>
              <w:left w:val="single" w:color="auto" w:sz="4" w:space="0"/>
              <w:bottom w:val="single" w:color="auto" w:sz="4" w:space="0"/>
              <w:right w:val="single" w:color="auto" w:sz="4" w:space="0"/>
            </w:tcBorders>
            <w:vAlign w:val="center"/>
          </w:tcPr>
          <w:p w14:paraId="38D21791">
            <w:pPr>
              <w:widowControl/>
              <w:jc w:val="left"/>
              <w:rPr>
                <w:rFonts w:ascii="宋体" w:hAnsi="宋体" w:cs="宋体"/>
                <w:color w:val="000000"/>
                <w:kern w:val="0"/>
                <w:sz w:val="20"/>
                <w:szCs w:val="20"/>
              </w:rPr>
            </w:pPr>
          </w:p>
        </w:tc>
        <w:tc>
          <w:tcPr>
            <w:tcW w:w="312" w:type="pct"/>
            <w:tcBorders>
              <w:top w:val="nil"/>
              <w:left w:val="nil"/>
              <w:bottom w:val="single" w:color="auto" w:sz="4" w:space="0"/>
              <w:right w:val="nil"/>
            </w:tcBorders>
            <w:noWrap/>
            <w:vAlign w:val="center"/>
          </w:tcPr>
          <w:p w14:paraId="5C4EA887">
            <w:pPr>
              <w:widowControl/>
              <w:jc w:val="center"/>
              <w:rPr>
                <w:rFonts w:ascii="宋体" w:hAnsi="宋体" w:cs="宋体"/>
                <w:color w:val="000000"/>
                <w:kern w:val="0"/>
                <w:sz w:val="20"/>
                <w:szCs w:val="20"/>
              </w:rPr>
            </w:pPr>
            <w:r>
              <w:rPr>
                <w:rFonts w:hint="eastAsia" w:ascii="宋体" w:hAnsi="宋体" w:cs="宋体"/>
                <w:color w:val="000000"/>
                <w:kern w:val="0"/>
                <w:sz w:val="20"/>
                <w:szCs w:val="20"/>
              </w:rPr>
              <w:t>　7</w:t>
            </w:r>
          </w:p>
        </w:tc>
        <w:tc>
          <w:tcPr>
            <w:tcW w:w="1269" w:type="pct"/>
            <w:vMerge w:val="continue"/>
            <w:tcBorders>
              <w:top w:val="nil"/>
              <w:left w:val="single" w:color="auto" w:sz="4" w:space="0"/>
              <w:bottom w:val="single" w:color="auto" w:sz="4" w:space="0"/>
              <w:right w:val="single" w:color="auto" w:sz="4" w:space="0"/>
            </w:tcBorders>
            <w:vAlign w:val="center"/>
          </w:tcPr>
          <w:p w14:paraId="4BB7E335">
            <w:pPr>
              <w:widowControl/>
              <w:jc w:val="left"/>
              <w:rPr>
                <w:rFonts w:ascii="宋体" w:hAnsi="宋体" w:cs="宋体"/>
                <w:color w:val="000000"/>
                <w:kern w:val="0"/>
                <w:sz w:val="18"/>
                <w:szCs w:val="18"/>
              </w:rPr>
            </w:pPr>
          </w:p>
        </w:tc>
        <w:tc>
          <w:tcPr>
            <w:tcW w:w="1234" w:type="pct"/>
            <w:vMerge w:val="continue"/>
            <w:tcBorders>
              <w:top w:val="nil"/>
              <w:left w:val="single" w:color="auto" w:sz="4" w:space="0"/>
              <w:bottom w:val="single" w:color="auto" w:sz="4" w:space="0"/>
              <w:right w:val="single" w:color="auto" w:sz="4" w:space="0"/>
            </w:tcBorders>
            <w:vAlign w:val="center"/>
          </w:tcPr>
          <w:p w14:paraId="3B7EA869">
            <w:pPr>
              <w:widowControl/>
              <w:jc w:val="left"/>
              <w:rPr>
                <w:rFonts w:ascii="宋体" w:hAnsi="宋体" w:cs="宋体"/>
                <w:color w:val="000000"/>
                <w:kern w:val="0"/>
                <w:sz w:val="18"/>
                <w:szCs w:val="18"/>
              </w:rPr>
            </w:pPr>
          </w:p>
        </w:tc>
      </w:tr>
      <w:tr w14:paraId="71676DCD">
        <w:tblPrEx>
          <w:tblCellMar>
            <w:top w:w="0" w:type="dxa"/>
            <w:left w:w="108" w:type="dxa"/>
            <w:bottom w:w="0" w:type="dxa"/>
            <w:right w:w="108" w:type="dxa"/>
          </w:tblCellMar>
        </w:tblPrEx>
        <w:trPr>
          <w:cantSplit/>
          <w:trHeight w:val="675" w:hRule="atLeast"/>
        </w:trPr>
        <w:tc>
          <w:tcPr>
            <w:tcW w:w="413" w:type="pct"/>
            <w:vMerge w:val="continue"/>
            <w:tcBorders>
              <w:left w:val="single" w:color="auto" w:sz="4" w:space="0"/>
              <w:right w:val="single" w:color="auto" w:sz="4" w:space="0"/>
            </w:tcBorders>
            <w:vAlign w:val="center"/>
          </w:tcPr>
          <w:p w14:paraId="5CF128CC">
            <w:pPr>
              <w:widowControl/>
              <w:jc w:val="left"/>
              <w:rPr>
                <w:rFonts w:ascii="宋体" w:hAnsi="宋体" w:cs="宋体"/>
                <w:color w:val="000000"/>
                <w:kern w:val="0"/>
                <w:sz w:val="20"/>
                <w:szCs w:val="20"/>
              </w:rPr>
            </w:pPr>
          </w:p>
        </w:tc>
        <w:tc>
          <w:tcPr>
            <w:tcW w:w="413" w:type="pct"/>
            <w:vMerge w:val="restart"/>
            <w:tcBorders>
              <w:top w:val="nil"/>
              <w:left w:val="single" w:color="auto" w:sz="4" w:space="0"/>
              <w:right w:val="single" w:color="auto" w:sz="4" w:space="0"/>
            </w:tcBorders>
            <w:vAlign w:val="center"/>
          </w:tcPr>
          <w:p w14:paraId="12DD6929">
            <w:pPr>
              <w:widowControl/>
              <w:jc w:val="center"/>
              <w:rPr>
                <w:rFonts w:ascii="宋体" w:hAnsi="宋体" w:cs="宋体"/>
                <w:color w:val="000000"/>
                <w:kern w:val="0"/>
                <w:sz w:val="20"/>
                <w:szCs w:val="20"/>
              </w:rPr>
            </w:pPr>
            <w:r>
              <w:rPr>
                <w:rFonts w:hint="eastAsia" w:ascii="宋体" w:hAnsi="宋体" w:cs="宋体"/>
                <w:color w:val="000000"/>
                <w:kern w:val="0"/>
                <w:sz w:val="20"/>
                <w:szCs w:val="20"/>
              </w:rPr>
              <w:t>效果（30）</w:t>
            </w:r>
          </w:p>
        </w:tc>
        <w:tc>
          <w:tcPr>
            <w:tcW w:w="364" w:type="pct"/>
            <w:tcBorders>
              <w:top w:val="nil"/>
              <w:left w:val="nil"/>
              <w:bottom w:val="single" w:color="auto" w:sz="4" w:space="0"/>
              <w:right w:val="single" w:color="auto" w:sz="4" w:space="0"/>
            </w:tcBorders>
            <w:vAlign w:val="center"/>
          </w:tcPr>
          <w:p w14:paraId="26BC5D49">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指标1</w:t>
            </w:r>
          </w:p>
        </w:tc>
        <w:tc>
          <w:tcPr>
            <w:tcW w:w="365" w:type="pct"/>
            <w:tcBorders>
              <w:top w:val="nil"/>
              <w:left w:val="nil"/>
              <w:bottom w:val="single" w:color="auto" w:sz="4" w:space="0"/>
              <w:right w:val="single" w:color="auto" w:sz="4" w:space="0"/>
            </w:tcBorders>
            <w:vAlign w:val="center"/>
          </w:tcPr>
          <w:p w14:paraId="04E3609F">
            <w:pPr>
              <w:widowControl/>
              <w:jc w:val="center"/>
              <w:rPr>
                <w:rFonts w:ascii="宋体" w:hAnsi="宋体" w:cs="宋体"/>
                <w:color w:val="000000"/>
                <w:kern w:val="0"/>
                <w:sz w:val="20"/>
                <w:szCs w:val="20"/>
              </w:rPr>
            </w:pPr>
            <w:r>
              <w:rPr>
                <w:rFonts w:hint="eastAsia" w:ascii="宋体" w:hAnsi="宋体" w:cs="宋体"/>
                <w:color w:val="000000"/>
                <w:kern w:val="0"/>
                <w:sz w:val="20"/>
                <w:szCs w:val="20"/>
              </w:rPr>
              <w:t>　构建高质量教育体系情况</w:t>
            </w:r>
          </w:p>
        </w:tc>
        <w:tc>
          <w:tcPr>
            <w:tcW w:w="318" w:type="pct"/>
            <w:tcBorders>
              <w:top w:val="nil"/>
              <w:left w:val="nil"/>
              <w:bottom w:val="single" w:color="auto" w:sz="4" w:space="0"/>
              <w:right w:val="single" w:color="auto" w:sz="4" w:space="0"/>
            </w:tcBorders>
            <w:vAlign w:val="center"/>
          </w:tcPr>
          <w:p w14:paraId="73ACB337">
            <w:pPr>
              <w:widowControl/>
              <w:jc w:val="center"/>
              <w:rPr>
                <w:rFonts w:ascii="宋体" w:hAnsi="宋体" w:cs="宋体"/>
                <w:color w:val="000000"/>
                <w:kern w:val="0"/>
                <w:sz w:val="20"/>
                <w:szCs w:val="20"/>
              </w:rPr>
            </w:pPr>
            <w:r>
              <w:rPr>
                <w:rFonts w:hint="eastAsia" w:ascii="宋体" w:hAnsi="宋体" w:cs="宋体"/>
                <w:color w:val="000000"/>
                <w:kern w:val="0"/>
                <w:sz w:val="20"/>
                <w:szCs w:val="20"/>
              </w:rPr>
              <w:t>较好　</w:t>
            </w:r>
          </w:p>
        </w:tc>
        <w:tc>
          <w:tcPr>
            <w:tcW w:w="312" w:type="pct"/>
            <w:vMerge w:val="restart"/>
            <w:tcBorders>
              <w:top w:val="nil"/>
              <w:left w:val="single" w:color="auto" w:sz="4" w:space="0"/>
              <w:right w:val="single" w:color="auto" w:sz="4" w:space="0"/>
            </w:tcBorders>
            <w:noWrap/>
            <w:vAlign w:val="center"/>
          </w:tcPr>
          <w:p w14:paraId="35BD2059">
            <w:pPr>
              <w:widowControl/>
              <w:jc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312" w:type="pct"/>
            <w:tcBorders>
              <w:top w:val="nil"/>
              <w:left w:val="nil"/>
              <w:bottom w:val="single" w:color="auto" w:sz="4" w:space="0"/>
              <w:right w:val="nil"/>
            </w:tcBorders>
            <w:noWrap/>
            <w:vAlign w:val="center"/>
          </w:tcPr>
          <w:p w14:paraId="754E3239">
            <w:pPr>
              <w:widowControl/>
              <w:jc w:val="center"/>
              <w:rPr>
                <w:rFonts w:ascii="宋体" w:hAnsi="宋体" w:cs="宋体"/>
                <w:color w:val="000000"/>
                <w:kern w:val="0"/>
                <w:sz w:val="20"/>
                <w:szCs w:val="20"/>
              </w:rPr>
            </w:pPr>
            <w:r>
              <w:rPr>
                <w:rFonts w:hint="eastAsia" w:ascii="宋体" w:hAnsi="宋体" w:cs="宋体"/>
                <w:color w:val="000000"/>
                <w:kern w:val="0"/>
                <w:sz w:val="20"/>
                <w:szCs w:val="20"/>
              </w:rPr>
              <w:t>6　</w:t>
            </w:r>
          </w:p>
        </w:tc>
        <w:tc>
          <w:tcPr>
            <w:tcW w:w="1269" w:type="pct"/>
            <w:vMerge w:val="restart"/>
            <w:tcBorders>
              <w:top w:val="nil"/>
              <w:left w:val="single" w:color="auto" w:sz="4" w:space="0"/>
              <w:right w:val="single" w:color="auto" w:sz="4" w:space="0"/>
            </w:tcBorders>
            <w:vAlign w:val="center"/>
          </w:tcPr>
          <w:p w14:paraId="4D796205">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1234" w:type="pct"/>
            <w:vMerge w:val="restart"/>
            <w:tcBorders>
              <w:top w:val="nil"/>
              <w:left w:val="single" w:color="auto" w:sz="4" w:space="0"/>
              <w:right w:val="single" w:color="auto" w:sz="4" w:space="0"/>
            </w:tcBorders>
            <w:vAlign w:val="center"/>
          </w:tcPr>
          <w:p w14:paraId="4E37B585">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14:paraId="1A78E4E3">
        <w:tblPrEx>
          <w:tblCellMar>
            <w:top w:w="0" w:type="dxa"/>
            <w:left w:w="108" w:type="dxa"/>
            <w:bottom w:w="0" w:type="dxa"/>
            <w:right w:w="108" w:type="dxa"/>
          </w:tblCellMar>
        </w:tblPrEx>
        <w:trPr>
          <w:cantSplit/>
          <w:trHeight w:val="630" w:hRule="atLeast"/>
        </w:trPr>
        <w:tc>
          <w:tcPr>
            <w:tcW w:w="413" w:type="pct"/>
            <w:vMerge w:val="continue"/>
            <w:tcBorders>
              <w:left w:val="single" w:color="auto" w:sz="4" w:space="0"/>
              <w:right w:val="single" w:color="auto" w:sz="4" w:space="0"/>
            </w:tcBorders>
            <w:vAlign w:val="center"/>
          </w:tcPr>
          <w:p w14:paraId="16CABFB6">
            <w:pPr>
              <w:widowControl/>
              <w:jc w:val="left"/>
              <w:rPr>
                <w:rFonts w:ascii="宋体" w:hAnsi="宋体" w:cs="宋体"/>
                <w:color w:val="000000"/>
                <w:kern w:val="0"/>
                <w:sz w:val="20"/>
                <w:szCs w:val="20"/>
              </w:rPr>
            </w:pPr>
          </w:p>
        </w:tc>
        <w:tc>
          <w:tcPr>
            <w:tcW w:w="413" w:type="pct"/>
            <w:vMerge w:val="continue"/>
            <w:tcBorders>
              <w:left w:val="single" w:color="auto" w:sz="4" w:space="0"/>
              <w:right w:val="single" w:color="auto" w:sz="4" w:space="0"/>
            </w:tcBorders>
            <w:vAlign w:val="center"/>
          </w:tcPr>
          <w:p w14:paraId="314F4227">
            <w:pPr>
              <w:widowControl/>
              <w:jc w:val="left"/>
              <w:rPr>
                <w:rFonts w:ascii="宋体" w:hAnsi="宋体" w:cs="宋体"/>
                <w:color w:val="000000"/>
                <w:kern w:val="0"/>
                <w:sz w:val="20"/>
                <w:szCs w:val="20"/>
              </w:rPr>
            </w:pPr>
          </w:p>
        </w:tc>
        <w:tc>
          <w:tcPr>
            <w:tcW w:w="364" w:type="pct"/>
            <w:tcBorders>
              <w:top w:val="nil"/>
              <w:left w:val="nil"/>
              <w:bottom w:val="single" w:color="auto" w:sz="4" w:space="0"/>
              <w:right w:val="single" w:color="auto" w:sz="4" w:space="0"/>
            </w:tcBorders>
            <w:vAlign w:val="center"/>
          </w:tcPr>
          <w:p w14:paraId="7AEC8E74">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指标2</w:t>
            </w:r>
          </w:p>
        </w:tc>
        <w:tc>
          <w:tcPr>
            <w:tcW w:w="365" w:type="pct"/>
            <w:tcBorders>
              <w:top w:val="nil"/>
              <w:left w:val="nil"/>
              <w:bottom w:val="single" w:color="auto" w:sz="4" w:space="0"/>
              <w:right w:val="single" w:color="auto" w:sz="4" w:space="0"/>
            </w:tcBorders>
            <w:vAlign w:val="center"/>
          </w:tcPr>
          <w:p w14:paraId="5C720E03">
            <w:pPr>
              <w:widowControl/>
              <w:jc w:val="center"/>
              <w:rPr>
                <w:rFonts w:ascii="宋体" w:hAnsi="宋体" w:cs="宋体"/>
                <w:color w:val="000000"/>
                <w:kern w:val="0"/>
                <w:sz w:val="20"/>
                <w:szCs w:val="20"/>
              </w:rPr>
            </w:pPr>
            <w:r>
              <w:rPr>
                <w:rFonts w:hint="eastAsia" w:ascii="宋体" w:hAnsi="宋体" w:cs="宋体"/>
                <w:color w:val="000000"/>
                <w:kern w:val="0"/>
                <w:sz w:val="20"/>
                <w:szCs w:val="20"/>
              </w:rPr>
              <w:t>　推动习近平新时代中国特色社会主义思想在教育系统形成生动实践</w:t>
            </w:r>
          </w:p>
        </w:tc>
        <w:tc>
          <w:tcPr>
            <w:tcW w:w="318" w:type="pct"/>
            <w:tcBorders>
              <w:top w:val="nil"/>
              <w:left w:val="nil"/>
              <w:bottom w:val="single" w:color="auto" w:sz="4" w:space="0"/>
              <w:right w:val="single" w:color="auto" w:sz="4" w:space="0"/>
            </w:tcBorders>
            <w:vAlign w:val="center"/>
          </w:tcPr>
          <w:p w14:paraId="43DE1360">
            <w:pPr>
              <w:widowControl/>
              <w:jc w:val="center"/>
              <w:rPr>
                <w:rFonts w:ascii="宋体" w:hAnsi="宋体" w:cs="宋体"/>
                <w:color w:val="000000"/>
                <w:kern w:val="0"/>
                <w:sz w:val="20"/>
                <w:szCs w:val="20"/>
              </w:rPr>
            </w:pPr>
            <w:r>
              <w:rPr>
                <w:rFonts w:hint="eastAsia" w:ascii="宋体" w:hAnsi="宋体" w:cs="宋体"/>
                <w:color w:val="000000"/>
                <w:kern w:val="0"/>
                <w:sz w:val="20"/>
                <w:szCs w:val="20"/>
              </w:rPr>
              <w:t>较好　</w:t>
            </w:r>
          </w:p>
        </w:tc>
        <w:tc>
          <w:tcPr>
            <w:tcW w:w="312" w:type="pct"/>
            <w:vMerge w:val="continue"/>
            <w:tcBorders>
              <w:left w:val="single" w:color="auto" w:sz="4" w:space="0"/>
              <w:right w:val="single" w:color="auto" w:sz="4" w:space="0"/>
            </w:tcBorders>
            <w:vAlign w:val="center"/>
          </w:tcPr>
          <w:p w14:paraId="7C0C13A3">
            <w:pPr>
              <w:widowControl/>
              <w:jc w:val="left"/>
              <w:rPr>
                <w:rFonts w:ascii="宋体" w:hAnsi="宋体" w:cs="宋体"/>
                <w:color w:val="000000"/>
                <w:kern w:val="0"/>
                <w:sz w:val="20"/>
                <w:szCs w:val="20"/>
              </w:rPr>
            </w:pPr>
          </w:p>
        </w:tc>
        <w:tc>
          <w:tcPr>
            <w:tcW w:w="312" w:type="pct"/>
            <w:tcBorders>
              <w:top w:val="nil"/>
              <w:left w:val="nil"/>
              <w:bottom w:val="single" w:color="auto" w:sz="4" w:space="0"/>
              <w:right w:val="nil"/>
            </w:tcBorders>
            <w:noWrap/>
            <w:vAlign w:val="center"/>
          </w:tcPr>
          <w:p w14:paraId="1CF4DAD5">
            <w:pPr>
              <w:widowControl/>
              <w:jc w:val="center"/>
              <w:rPr>
                <w:rFonts w:ascii="宋体" w:hAnsi="宋体" w:cs="宋体"/>
                <w:color w:val="000000"/>
                <w:kern w:val="0"/>
                <w:sz w:val="20"/>
                <w:szCs w:val="20"/>
              </w:rPr>
            </w:pPr>
            <w:r>
              <w:rPr>
                <w:rFonts w:hint="eastAsia" w:ascii="宋体" w:hAnsi="宋体" w:cs="宋体"/>
                <w:color w:val="000000"/>
                <w:kern w:val="0"/>
                <w:sz w:val="20"/>
                <w:szCs w:val="20"/>
              </w:rPr>
              <w:t>　6</w:t>
            </w:r>
          </w:p>
        </w:tc>
        <w:tc>
          <w:tcPr>
            <w:tcW w:w="1269" w:type="pct"/>
            <w:vMerge w:val="continue"/>
            <w:tcBorders>
              <w:left w:val="single" w:color="auto" w:sz="4" w:space="0"/>
              <w:right w:val="single" w:color="auto" w:sz="4" w:space="0"/>
            </w:tcBorders>
            <w:vAlign w:val="center"/>
          </w:tcPr>
          <w:p w14:paraId="75E7B21A">
            <w:pPr>
              <w:widowControl/>
              <w:jc w:val="left"/>
              <w:rPr>
                <w:rFonts w:ascii="宋体" w:hAnsi="宋体" w:cs="宋体"/>
                <w:color w:val="000000"/>
                <w:kern w:val="0"/>
                <w:sz w:val="18"/>
                <w:szCs w:val="18"/>
              </w:rPr>
            </w:pPr>
          </w:p>
        </w:tc>
        <w:tc>
          <w:tcPr>
            <w:tcW w:w="1234" w:type="pct"/>
            <w:vMerge w:val="continue"/>
            <w:tcBorders>
              <w:left w:val="single" w:color="auto" w:sz="4" w:space="0"/>
              <w:right w:val="single" w:color="auto" w:sz="4" w:space="0"/>
            </w:tcBorders>
            <w:vAlign w:val="center"/>
          </w:tcPr>
          <w:p w14:paraId="77CF8F13">
            <w:pPr>
              <w:widowControl/>
              <w:jc w:val="left"/>
              <w:rPr>
                <w:rFonts w:ascii="宋体" w:hAnsi="宋体" w:cs="宋体"/>
                <w:color w:val="000000"/>
                <w:kern w:val="0"/>
                <w:sz w:val="18"/>
                <w:szCs w:val="18"/>
              </w:rPr>
            </w:pPr>
          </w:p>
        </w:tc>
      </w:tr>
      <w:tr w14:paraId="2D7FCCEF">
        <w:tblPrEx>
          <w:tblCellMar>
            <w:top w:w="0" w:type="dxa"/>
            <w:left w:w="108" w:type="dxa"/>
            <w:bottom w:w="0" w:type="dxa"/>
            <w:right w:w="108" w:type="dxa"/>
          </w:tblCellMar>
        </w:tblPrEx>
        <w:trPr>
          <w:cantSplit/>
          <w:trHeight w:val="690" w:hRule="atLeast"/>
        </w:trPr>
        <w:tc>
          <w:tcPr>
            <w:tcW w:w="413" w:type="pct"/>
            <w:vMerge w:val="continue"/>
            <w:tcBorders>
              <w:left w:val="single" w:color="auto" w:sz="4" w:space="0"/>
              <w:right w:val="single" w:color="auto" w:sz="4" w:space="0"/>
            </w:tcBorders>
            <w:vAlign w:val="center"/>
          </w:tcPr>
          <w:p w14:paraId="3F606D1B">
            <w:pPr>
              <w:widowControl/>
              <w:jc w:val="left"/>
              <w:rPr>
                <w:rFonts w:ascii="宋体" w:hAnsi="宋体" w:cs="宋体"/>
                <w:color w:val="000000"/>
                <w:kern w:val="0"/>
                <w:sz w:val="20"/>
                <w:szCs w:val="20"/>
              </w:rPr>
            </w:pPr>
          </w:p>
        </w:tc>
        <w:tc>
          <w:tcPr>
            <w:tcW w:w="413" w:type="pct"/>
            <w:vMerge w:val="continue"/>
            <w:tcBorders>
              <w:left w:val="single" w:color="auto" w:sz="4" w:space="0"/>
              <w:right w:val="single" w:color="auto" w:sz="4" w:space="0"/>
            </w:tcBorders>
            <w:vAlign w:val="center"/>
          </w:tcPr>
          <w:p w14:paraId="0473B391">
            <w:pPr>
              <w:widowControl/>
              <w:jc w:val="left"/>
              <w:rPr>
                <w:rFonts w:ascii="宋体" w:hAnsi="宋体" w:cs="宋体"/>
                <w:color w:val="000000"/>
                <w:kern w:val="0"/>
                <w:sz w:val="20"/>
                <w:szCs w:val="20"/>
              </w:rPr>
            </w:pPr>
          </w:p>
        </w:tc>
        <w:tc>
          <w:tcPr>
            <w:tcW w:w="364" w:type="pct"/>
            <w:tcBorders>
              <w:top w:val="nil"/>
              <w:left w:val="nil"/>
              <w:bottom w:val="single" w:color="auto" w:sz="4" w:space="0"/>
              <w:right w:val="single" w:color="auto" w:sz="4" w:space="0"/>
            </w:tcBorders>
            <w:vAlign w:val="center"/>
          </w:tcPr>
          <w:p w14:paraId="6CFD5BBF">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指标3</w:t>
            </w:r>
          </w:p>
        </w:tc>
        <w:tc>
          <w:tcPr>
            <w:tcW w:w="365" w:type="pct"/>
            <w:tcBorders>
              <w:top w:val="nil"/>
              <w:left w:val="nil"/>
              <w:bottom w:val="single" w:color="auto" w:sz="4" w:space="0"/>
              <w:right w:val="single" w:color="auto" w:sz="4" w:space="0"/>
            </w:tcBorders>
            <w:vAlign w:val="center"/>
          </w:tcPr>
          <w:p w14:paraId="01A93C5E">
            <w:pPr>
              <w:widowControl/>
              <w:jc w:val="center"/>
              <w:rPr>
                <w:rFonts w:ascii="宋体" w:hAnsi="宋体" w:cs="宋体"/>
                <w:color w:val="000000"/>
                <w:kern w:val="0"/>
                <w:sz w:val="20"/>
                <w:szCs w:val="20"/>
              </w:rPr>
            </w:pPr>
            <w:r>
              <w:rPr>
                <w:rFonts w:hint="eastAsia" w:ascii="宋体" w:hAnsi="宋体" w:cs="宋体"/>
                <w:color w:val="000000"/>
                <w:kern w:val="0"/>
                <w:sz w:val="20"/>
                <w:szCs w:val="20"/>
              </w:rPr>
              <w:t>　压实管党治党政治责任</w:t>
            </w:r>
          </w:p>
        </w:tc>
        <w:tc>
          <w:tcPr>
            <w:tcW w:w="318" w:type="pct"/>
            <w:tcBorders>
              <w:top w:val="nil"/>
              <w:left w:val="nil"/>
              <w:bottom w:val="single" w:color="auto" w:sz="4" w:space="0"/>
              <w:right w:val="single" w:color="auto" w:sz="4" w:space="0"/>
            </w:tcBorders>
            <w:vAlign w:val="center"/>
          </w:tcPr>
          <w:p w14:paraId="0DCE9F2D">
            <w:pPr>
              <w:widowControl/>
              <w:jc w:val="center"/>
              <w:rPr>
                <w:rFonts w:ascii="宋体" w:hAnsi="宋体" w:cs="宋体"/>
                <w:color w:val="000000"/>
                <w:kern w:val="0"/>
                <w:sz w:val="20"/>
                <w:szCs w:val="20"/>
              </w:rPr>
            </w:pPr>
            <w:r>
              <w:rPr>
                <w:rFonts w:hint="eastAsia" w:ascii="宋体" w:hAnsi="宋体" w:cs="宋体"/>
                <w:color w:val="000000"/>
                <w:kern w:val="0"/>
                <w:sz w:val="20"/>
                <w:szCs w:val="20"/>
              </w:rPr>
              <w:t>　较好</w:t>
            </w:r>
          </w:p>
        </w:tc>
        <w:tc>
          <w:tcPr>
            <w:tcW w:w="312" w:type="pct"/>
            <w:vMerge w:val="continue"/>
            <w:tcBorders>
              <w:left w:val="single" w:color="auto" w:sz="4" w:space="0"/>
              <w:right w:val="single" w:color="auto" w:sz="4" w:space="0"/>
            </w:tcBorders>
            <w:vAlign w:val="center"/>
          </w:tcPr>
          <w:p w14:paraId="3D6FD3E3">
            <w:pPr>
              <w:widowControl/>
              <w:jc w:val="left"/>
              <w:rPr>
                <w:rFonts w:ascii="宋体" w:hAnsi="宋体" w:cs="宋体"/>
                <w:color w:val="000000"/>
                <w:kern w:val="0"/>
                <w:sz w:val="20"/>
                <w:szCs w:val="20"/>
              </w:rPr>
            </w:pPr>
          </w:p>
        </w:tc>
        <w:tc>
          <w:tcPr>
            <w:tcW w:w="312" w:type="pct"/>
            <w:tcBorders>
              <w:top w:val="nil"/>
              <w:left w:val="nil"/>
              <w:bottom w:val="single" w:color="auto" w:sz="4" w:space="0"/>
              <w:right w:val="nil"/>
            </w:tcBorders>
            <w:noWrap/>
            <w:vAlign w:val="center"/>
          </w:tcPr>
          <w:p w14:paraId="20766C49">
            <w:pPr>
              <w:widowControl/>
              <w:jc w:val="center"/>
              <w:rPr>
                <w:rFonts w:ascii="宋体" w:hAnsi="宋体" w:cs="宋体"/>
                <w:color w:val="000000"/>
                <w:kern w:val="0"/>
                <w:sz w:val="20"/>
                <w:szCs w:val="20"/>
              </w:rPr>
            </w:pPr>
            <w:r>
              <w:rPr>
                <w:rFonts w:hint="eastAsia" w:ascii="宋体" w:hAnsi="宋体" w:cs="宋体"/>
                <w:color w:val="000000"/>
                <w:kern w:val="0"/>
                <w:sz w:val="20"/>
                <w:szCs w:val="20"/>
              </w:rPr>
              <w:t>　6</w:t>
            </w:r>
          </w:p>
        </w:tc>
        <w:tc>
          <w:tcPr>
            <w:tcW w:w="1269" w:type="pct"/>
            <w:vMerge w:val="continue"/>
            <w:tcBorders>
              <w:left w:val="single" w:color="auto" w:sz="4" w:space="0"/>
              <w:right w:val="single" w:color="auto" w:sz="4" w:space="0"/>
            </w:tcBorders>
            <w:vAlign w:val="center"/>
          </w:tcPr>
          <w:p w14:paraId="75358022">
            <w:pPr>
              <w:widowControl/>
              <w:jc w:val="left"/>
              <w:rPr>
                <w:rFonts w:ascii="宋体" w:hAnsi="宋体" w:cs="宋体"/>
                <w:color w:val="000000"/>
                <w:kern w:val="0"/>
                <w:sz w:val="18"/>
                <w:szCs w:val="18"/>
              </w:rPr>
            </w:pPr>
          </w:p>
        </w:tc>
        <w:tc>
          <w:tcPr>
            <w:tcW w:w="1234" w:type="pct"/>
            <w:vMerge w:val="continue"/>
            <w:tcBorders>
              <w:left w:val="single" w:color="auto" w:sz="4" w:space="0"/>
              <w:right w:val="single" w:color="auto" w:sz="4" w:space="0"/>
            </w:tcBorders>
            <w:vAlign w:val="center"/>
          </w:tcPr>
          <w:p w14:paraId="5180FD15">
            <w:pPr>
              <w:widowControl/>
              <w:jc w:val="left"/>
              <w:rPr>
                <w:rFonts w:ascii="宋体" w:hAnsi="宋体" w:cs="宋体"/>
                <w:color w:val="000000"/>
                <w:kern w:val="0"/>
                <w:sz w:val="18"/>
                <w:szCs w:val="18"/>
              </w:rPr>
            </w:pPr>
          </w:p>
        </w:tc>
      </w:tr>
      <w:tr w14:paraId="6DF12C35">
        <w:tblPrEx>
          <w:tblCellMar>
            <w:top w:w="0" w:type="dxa"/>
            <w:left w:w="108" w:type="dxa"/>
            <w:bottom w:w="0" w:type="dxa"/>
            <w:right w:w="108" w:type="dxa"/>
          </w:tblCellMar>
        </w:tblPrEx>
        <w:trPr>
          <w:cantSplit/>
          <w:trHeight w:val="675" w:hRule="atLeast"/>
        </w:trPr>
        <w:tc>
          <w:tcPr>
            <w:tcW w:w="413" w:type="pct"/>
            <w:vMerge w:val="continue"/>
            <w:tcBorders>
              <w:left w:val="single" w:color="auto" w:sz="4" w:space="0"/>
              <w:right w:val="single" w:color="auto" w:sz="4" w:space="0"/>
            </w:tcBorders>
            <w:vAlign w:val="center"/>
          </w:tcPr>
          <w:p w14:paraId="565B109A">
            <w:pPr>
              <w:widowControl/>
              <w:jc w:val="left"/>
              <w:rPr>
                <w:rFonts w:ascii="宋体" w:hAnsi="宋体" w:cs="宋体"/>
                <w:color w:val="000000"/>
                <w:kern w:val="0"/>
                <w:sz w:val="20"/>
                <w:szCs w:val="20"/>
              </w:rPr>
            </w:pPr>
          </w:p>
        </w:tc>
        <w:tc>
          <w:tcPr>
            <w:tcW w:w="413" w:type="pct"/>
            <w:vMerge w:val="continue"/>
            <w:tcBorders>
              <w:left w:val="single" w:color="auto" w:sz="4" w:space="0"/>
              <w:right w:val="single" w:color="auto" w:sz="4" w:space="0"/>
            </w:tcBorders>
            <w:vAlign w:val="center"/>
          </w:tcPr>
          <w:p w14:paraId="3225D656">
            <w:pPr>
              <w:widowControl/>
              <w:jc w:val="left"/>
              <w:rPr>
                <w:rFonts w:ascii="宋体" w:hAnsi="宋体" w:cs="宋体"/>
                <w:color w:val="000000"/>
                <w:kern w:val="0"/>
                <w:sz w:val="20"/>
                <w:szCs w:val="20"/>
              </w:rPr>
            </w:pPr>
          </w:p>
        </w:tc>
        <w:tc>
          <w:tcPr>
            <w:tcW w:w="364" w:type="pct"/>
            <w:tcBorders>
              <w:top w:val="nil"/>
              <w:left w:val="nil"/>
              <w:bottom w:val="single" w:color="auto" w:sz="4" w:space="0"/>
              <w:right w:val="single" w:color="auto" w:sz="4" w:space="0"/>
            </w:tcBorders>
            <w:vAlign w:val="center"/>
          </w:tcPr>
          <w:p w14:paraId="76227A38">
            <w:pPr>
              <w:widowControl/>
              <w:rPr>
                <w:rFonts w:ascii="宋体" w:hAnsi="宋体" w:cs="宋体"/>
                <w:color w:val="000000"/>
                <w:kern w:val="0"/>
                <w:sz w:val="20"/>
                <w:szCs w:val="20"/>
              </w:rPr>
            </w:pPr>
            <w:r>
              <w:rPr>
                <w:rFonts w:hint="eastAsia" w:ascii="宋体" w:hAnsi="宋体" w:cs="宋体"/>
                <w:color w:val="000000"/>
                <w:kern w:val="0"/>
                <w:sz w:val="20"/>
                <w:szCs w:val="20"/>
              </w:rPr>
              <w:t>指标4</w:t>
            </w:r>
          </w:p>
        </w:tc>
        <w:tc>
          <w:tcPr>
            <w:tcW w:w="365" w:type="pct"/>
            <w:tcBorders>
              <w:top w:val="nil"/>
              <w:left w:val="nil"/>
              <w:bottom w:val="single" w:color="auto" w:sz="4" w:space="0"/>
              <w:right w:val="single" w:color="auto" w:sz="4" w:space="0"/>
            </w:tcBorders>
            <w:vAlign w:val="center"/>
          </w:tcPr>
          <w:p w14:paraId="3EC5C547">
            <w:pPr>
              <w:widowControl/>
              <w:jc w:val="center"/>
              <w:rPr>
                <w:rFonts w:ascii="宋体" w:hAnsi="宋体" w:cs="宋体"/>
                <w:color w:val="000000"/>
                <w:kern w:val="0"/>
                <w:sz w:val="20"/>
                <w:szCs w:val="20"/>
              </w:rPr>
            </w:pPr>
            <w:r>
              <w:rPr>
                <w:rFonts w:hint="eastAsia" w:ascii="宋体" w:hAnsi="宋体" w:cs="宋体"/>
                <w:color w:val="000000"/>
                <w:kern w:val="0"/>
                <w:sz w:val="20"/>
                <w:szCs w:val="20"/>
              </w:rPr>
              <w:t>深化教育综合改革，不断规范党内政治生活　</w:t>
            </w:r>
          </w:p>
        </w:tc>
        <w:tc>
          <w:tcPr>
            <w:tcW w:w="318" w:type="pct"/>
            <w:tcBorders>
              <w:top w:val="nil"/>
              <w:left w:val="nil"/>
              <w:bottom w:val="single" w:color="auto" w:sz="4" w:space="0"/>
              <w:right w:val="single" w:color="auto" w:sz="4" w:space="0"/>
            </w:tcBorders>
            <w:vAlign w:val="center"/>
          </w:tcPr>
          <w:p w14:paraId="41915352">
            <w:pPr>
              <w:widowControl/>
              <w:jc w:val="center"/>
              <w:rPr>
                <w:rFonts w:ascii="宋体" w:hAnsi="宋体" w:cs="宋体"/>
                <w:color w:val="000000"/>
                <w:kern w:val="0"/>
                <w:sz w:val="20"/>
                <w:szCs w:val="20"/>
              </w:rPr>
            </w:pPr>
            <w:r>
              <w:rPr>
                <w:rFonts w:hint="eastAsia" w:ascii="宋体" w:hAnsi="宋体" w:cs="宋体"/>
                <w:color w:val="000000"/>
                <w:kern w:val="0"/>
                <w:sz w:val="20"/>
                <w:szCs w:val="20"/>
              </w:rPr>
              <w:t>　较好</w:t>
            </w:r>
          </w:p>
        </w:tc>
        <w:tc>
          <w:tcPr>
            <w:tcW w:w="312" w:type="pct"/>
            <w:vMerge w:val="continue"/>
            <w:tcBorders>
              <w:left w:val="single" w:color="auto" w:sz="4" w:space="0"/>
              <w:right w:val="single" w:color="auto" w:sz="4" w:space="0"/>
            </w:tcBorders>
            <w:vAlign w:val="center"/>
          </w:tcPr>
          <w:p w14:paraId="3265574F">
            <w:pPr>
              <w:widowControl/>
              <w:jc w:val="left"/>
              <w:rPr>
                <w:rFonts w:ascii="宋体" w:hAnsi="宋体" w:cs="宋体"/>
                <w:color w:val="000000"/>
                <w:kern w:val="0"/>
                <w:sz w:val="20"/>
                <w:szCs w:val="20"/>
              </w:rPr>
            </w:pPr>
          </w:p>
        </w:tc>
        <w:tc>
          <w:tcPr>
            <w:tcW w:w="312" w:type="pct"/>
            <w:tcBorders>
              <w:top w:val="nil"/>
              <w:left w:val="nil"/>
              <w:bottom w:val="single" w:color="auto" w:sz="4" w:space="0"/>
              <w:right w:val="nil"/>
            </w:tcBorders>
            <w:noWrap/>
            <w:vAlign w:val="center"/>
          </w:tcPr>
          <w:p w14:paraId="479151A8">
            <w:pPr>
              <w:widowControl/>
              <w:jc w:val="center"/>
              <w:rPr>
                <w:rFonts w:ascii="宋体" w:hAnsi="宋体" w:cs="宋体"/>
                <w:color w:val="000000"/>
                <w:kern w:val="0"/>
                <w:sz w:val="20"/>
                <w:szCs w:val="20"/>
              </w:rPr>
            </w:pPr>
            <w:r>
              <w:rPr>
                <w:rFonts w:hint="eastAsia" w:ascii="宋体" w:hAnsi="宋体" w:cs="宋体"/>
                <w:color w:val="000000"/>
                <w:kern w:val="0"/>
                <w:sz w:val="20"/>
                <w:szCs w:val="20"/>
              </w:rPr>
              <w:t>　6</w:t>
            </w:r>
          </w:p>
        </w:tc>
        <w:tc>
          <w:tcPr>
            <w:tcW w:w="1269" w:type="pct"/>
            <w:vMerge w:val="continue"/>
            <w:tcBorders>
              <w:left w:val="single" w:color="auto" w:sz="4" w:space="0"/>
              <w:right w:val="single" w:color="auto" w:sz="4" w:space="0"/>
            </w:tcBorders>
            <w:vAlign w:val="center"/>
          </w:tcPr>
          <w:p w14:paraId="103DF520">
            <w:pPr>
              <w:widowControl/>
              <w:jc w:val="left"/>
              <w:rPr>
                <w:rFonts w:ascii="宋体" w:hAnsi="宋体" w:cs="宋体"/>
                <w:color w:val="000000"/>
                <w:kern w:val="0"/>
                <w:sz w:val="18"/>
                <w:szCs w:val="18"/>
              </w:rPr>
            </w:pPr>
          </w:p>
        </w:tc>
        <w:tc>
          <w:tcPr>
            <w:tcW w:w="1234" w:type="pct"/>
            <w:vMerge w:val="continue"/>
            <w:tcBorders>
              <w:left w:val="single" w:color="auto" w:sz="4" w:space="0"/>
              <w:right w:val="single" w:color="auto" w:sz="4" w:space="0"/>
            </w:tcBorders>
            <w:vAlign w:val="center"/>
          </w:tcPr>
          <w:p w14:paraId="092AC748">
            <w:pPr>
              <w:widowControl/>
              <w:jc w:val="left"/>
              <w:rPr>
                <w:rFonts w:ascii="宋体" w:hAnsi="宋体" w:cs="宋体"/>
                <w:color w:val="000000"/>
                <w:kern w:val="0"/>
                <w:sz w:val="18"/>
                <w:szCs w:val="18"/>
              </w:rPr>
            </w:pPr>
          </w:p>
        </w:tc>
      </w:tr>
      <w:tr w14:paraId="0C637A44">
        <w:tblPrEx>
          <w:tblCellMar>
            <w:top w:w="0" w:type="dxa"/>
            <w:left w:w="108" w:type="dxa"/>
            <w:bottom w:w="0" w:type="dxa"/>
            <w:right w:w="108" w:type="dxa"/>
          </w:tblCellMar>
        </w:tblPrEx>
        <w:trPr>
          <w:cantSplit/>
          <w:trHeight w:val="675" w:hRule="atLeast"/>
        </w:trPr>
        <w:tc>
          <w:tcPr>
            <w:tcW w:w="413" w:type="pct"/>
            <w:vMerge w:val="continue"/>
            <w:tcBorders>
              <w:left w:val="single" w:color="auto" w:sz="4" w:space="0"/>
              <w:bottom w:val="single" w:color="auto" w:sz="4" w:space="0"/>
              <w:right w:val="single" w:color="auto" w:sz="4" w:space="0"/>
            </w:tcBorders>
            <w:vAlign w:val="center"/>
          </w:tcPr>
          <w:p w14:paraId="11BF4134">
            <w:pPr>
              <w:widowControl/>
              <w:jc w:val="left"/>
              <w:rPr>
                <w:rFonts w:ascii="宋体" w:hAnsi="宋体" w:cs="宋体"/>
                <w:color w:val="000000"/>
                <w:kern w:val="0"/>
                <w:sz w:val="20"/>
                <w:szCs w:val="20"/>
              </w:rPr>
            </w:pPr>
          </w:p>
        </w:tc>
        <w:tc>
          <w:tcPr>
            <w:tcW w:w="413" w:type="pct"/>
            <w:vMerge w:val="continue"/>
            <w:tcBorders>
              <w:left w:val="single" w:color="auto" w:sz="4" w:space="0"/>
              <w:bottom w:val="single" w:color="auto" w:sz="4" w:space="0"/>
              <w:right w:val="single" w:color="auto" w:sz="4" w:space="0"/>
            </w:tcBorders>
            <w:vAlign w:val="center"/>
          </w:tcPr>
          <w:p w14:paraId="27A459B7">
            <w:pPr>
              <w:widowControl/>
              <w:jc w:val="left"/>
              <w:rPr>
                <w:rFonts w:ascii="宋体" w:hAnsi="宋体" w:cs="宋体"/>
                <w:color w:val="000000"/>
                <w:kern w:val="0"/>
                <w:sz w:val="20"/>
                <w:szCs w:val="20"/>
              </w:rPr>
            </w:pPr>
          </w:p>
        </w:tc>
        <w:tc>
          <w:tcPr>
            <w:tcW w:w="364" w:type="pct"/>
            <w:tcBorders>
              <w:top w:val="nil"/>
              <w:left w:val="nil"/>
              <w:bottom w:val="single" w:color="auto" w:sz="4" w:space="0"/>
              <w:right w:val="single" w:color="auto" w:sz="4" w:space="0"/>
            </w:tcBorders>
            <w:vAlign w:val="center"/>
          </w:tcPr>
          <w:p w14:paraId="5F4CE18B">
            <w:pPr>
              <w:widowControl/>
              <w:rPr>
                <w:rFonts w:ascii="宋体" w:hAnsi="宋体" w:cs="宋体"/>
                <w:color w:val="000000"/>
                <w:kern w:val="0"/>
                <w:sz w:val="20"/>
                <w:szCs w:val="20"/>
              </w:rPr>
            </w:pPr>
            <w:r>
              <w:rPr>
                <w:rFonts w:hint="eastAsia" w:ascii="宋体" w:hAnsi="宋体" w:cs="宋体"/>
                <w:color w:val="000000"/>
                <w:kern w:val="0"/>
                <w:sz w:val="20"/>
                <w:szCs w:val="20"/>
              </w:rPr>
              <w:t>指标5</w:t>
            </w:r>
          </w:p>
        </w:tc>
        <w:tc>
          <w:tcPr>
            <w:tcW w:w="365" w:type="pct"/>
            <w:tcBorders>
              <w:top w:val="nil"/>
              <w:left w:val="nil"/>
              <w:bottom w:val="single" w:color="auto" w:sz="4" w:space="0"/>
              <w:right w:val="single" w:color="auto" w:sz="4" w:space="0"/>
            </w:tcBorders>
            <w:vAlign w:val="center"/>
          </w:tcPr>
          <w:p w14:paraId="681B7E30">
            <w:pPr>
              <w:widowControl/>
              <w:jc w:val="center"/>
              <w:rPr>
                <w:rFonts w:ascii="宋体" w:hAnsi="宋体" w:cs="宋体"/>
                <w:color w:val="000000"/>
                <w:kern w:val="0"/>
                <w:sz w:val="20"/>
                <w:szCs w:val="20"/>
              </w:rPr>
            </w:pPr>
            <w:r>
              <w:rPr>
                <w:rFonts w:hint="eastAsia" w:ascii="宋体" w:hAnsi="宋体" w:cs="宋体"/>
                <w:color w:val="000000"/>
                <w:kern w:val="0"/>
                <w:sz w:val="20"/>
                <w:szCs w:val="20"/>
              </w:rPr>
              <w:t>北京公众教育满意度</w:t>
            </w:r>
          </w:p>
        </w:tc>
        <w:tc>
          <w:tcPr>
            <w:tcW w:w="318" w:type="pct"/>
            <w:tcBorders>
              <w:top w:val="nil"/>
              <w:left w:val="nil"/>
              <w:bottom w:val="single" w:color="auto" w:sz="4" w:space="0"/>
              <w:right w:val="single" w:color="auto" w:sz="4" w:space="0"/>
            </w:tcBorders>
            <w:vAlign w:val="center"/>
          </w:tcPr>
          <w:p w14:paraId="3CD013FE">
            <w:pPr>
              <w:widowControl/>
              <w:jc w:val="center"/>
              <w:rPr>
                <w:rFonts w:ascii="宋体" w:hAnsi="宋体" w:cs="宋体"/>
                <w:color w:val="000000"/>
                <w:kern w:val="0"/>
                <w:sz w:val="20"/>
                <w:szCs w:val="20"/>
              </w:rPr>
            </w:pPr>
            <w:r>
              <w:rPr>
                <w:rFonts w:hint="eastAsia" w:ascii="宋体" w:hAnsi="宋体" w:cs="宋体"/>
                <w:color w:val="000000"/>
                <w:kern w:val="0"/>
                <w:sz w:val="20"/>
                <w:szCs w:val="20"/>
              </w:rPr>
              <w:t>较好</w:t>
            </w:r>
          </w:p>
        </w:tc>
        <w:tc>
          <w:tcPr>
            <w:tcW w:w="312" w:type="pct"/>
            <w:vMerge w:val="continue"/>
            <w:tcBorders>
              <w:left w:val="single" w:color="auto" w:sz="4" w:space="0"/>
              <w:bottom w:val="single" w:color="auto" w:sz="4" w:space="0"/>
              <w:right w:val="single" w:color="auto" w:sz="4" w:space="0"/>
            </w:tcBorders>
            <w:vAlign w:val="center"/>
          </w:tcPr>
          <w:p w14:paraId="47A7734E">
            <w:pPr>
              <w:widowControl/>
              <w:jc w:val="left"/>
              <w:rPr>
                <w:rFonts w:ascii="宋体" w:hAnsi="宋体" w:cs="宋体"/>
                <w:color w:val="000000"/>
                <w:kern w:val="0"/>
                <w:sz w:val="20"/>
                <w:szCs w:val="20"/>
              </w:rPr>
            </w:pPr>
          </w:p>
        </w:tc>
        <w:tc>
          <w:tcPr>
            <w:tcW w:w="312" w:type="pct"/>
            <w:tcBorders>
              <w:top w:val="nil"/>
              <w:left w:val="nil"/>
              <w:bottom w:val="single" w:color="auto" w:sz="4" w:space="0"/>
              <w:right w:val="nil"/>
            </w:tcBorders>
            <w:noWrap/>
            <w:vAlign w:val="center"/>
          </w:tcPr>
          <w:p w14:paraId="1285C5B3">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1269" w:type="pct"/>
            <w:vMerge w:val="continue"/>
            <w:tcBorders>
              <w:left w:val="single" w:color="auto" w:sz="4" w:space="0"/>
              <w:bottom w:val="single" w:color="auto" w:sz="4" w:space="0"/>
              <w:right w:val="single" w:color="auto" w:sz="4" w:space="0"/>
            </w:tcBorders>
            <w:vAlign w:val="center"/>
          </w:tcPr>
          <w:p w14:paraId="3C28DADB">
            <w:pPr>
              <w:widowControl/>
              <w:jc w:val="left"/>
              <w:rPr>
                <w:rFonts w:ascii="宋体" w:hAnsi="宋体" w:cs="宋体"/>
                <w:color w:val="000000"/>
                <w:kern w:val="0"/>
                <w:sz w:val="18"/>
                <w:szCs w:val="18"/>
              </w:rPr>
            </w:pPr>
          </w:p>
        </w:tc>
        <w:tc>
          <w:tcPr>
            <w:tcW w:w="1234" w:type="pct"/>
            <w:vMerge w:val="continue"/>
            <w:tcBorders>
              <w:left w:val="single" w:color="auto" w:sz="4" w:space="0"/>
              <w:bottom w:val="single" w:color="auto" w:sz="4" w:space="0"/>
              <w:right w:val="single" w:color="auto" w:sz="4" w:space="0"/>
            </w:tcBorders>
            <w:vAlign w:val="center"/>
          </w:tcPr>
          <w:p w14:paraId="7473A846">
            <w:pPr>
              <w:widowControl/>
              <w:jc w:val="left"/>
              <w:rPr>
                <w:rFonts w:ascii="宋体" w:hAnsi="宋体" w:cs="宋体"/>
                <w:color w:val="000000"/>
                <w:kern w:val="0"/>
                <w:sz w:val="18"/>
                <w:szCs w:val="18"/>
              </w:rPr>
            </w:pPr>
          </w:p>
        </w:tc>
      </w:tr>
      <w:tr w14:paraId="71083879">
        <w:tblPrEx>
          <w:tblCellMar>
            <w:top w:w="0" w:type="dxa"/>
            <w:left w:w="108" w:type="dxa"/>
            <w:bottom w:w="0" w:type="dxa"/>
            <w:right w:w="108" w:type="dxa"/>
          </w:tblCellMar>
        </w:tblPrEx>
        <w:trPr>
          <w:cantSplit/>
          <w:trHeight w:val="487" w:hRule="atLeast"/>
        </w:trPr>
        <w:tc>
          <w:tcPr>
            <w:tcW w:w="5000" w:type="pct"/>
            <w:gridSpan w:val="9"/>
            <w:tcBorders>
              <w:top w:val="single" w:color="auto" w:sz="4" w:space="0"/>
              <w:left w:val="single" w:color="auto" w:sz="4" w:space="0"/>
              <w:bottom w:val="single" w:color="auto" w:sz="4" w:space="0"/>
              <w:right w:val="single" w:color="auto" w:sz="4" w:space="0"/>
            </w:tcBorders>
            <w:vAlign w:val="center"/>
          </w:tcPr>
          <w:p w14:paraId="57052EEA">
            <w:pPr>
              <w:widowControl/>
              <w:jc w:val="left"/>
              <w:rPr>
                <w:rFonts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14:paraId="6F66AECE">
        <w:tblPrEx>
          <w:tblCellMar>
            <w:top w:w="0" w:type="dxa"/>
            <w:left w:w="108" w:type="dxa"/>
            <w:bottom w:w="0" w:type="dxa"/>
            <w:right w:w="108" w:type="dxa"/>
          </w:tblCellMar>
        </w:tblPrEx>
        <w:trPr>
          <w:cantSplit/>
          <w:trHeight w:val="702" w:hRule="atLeast"/>
        </w:trPr>
        <w:tc>
          <w:tcPr>
            <w:tcW w:w="413" w:type="pct"/>
            <w:tcBorders>
              <w:top w:val="single" w:color="auto" w:sz="4" w:space="0"/>
              <w:left w:val="single" w:color="auto" w:sz="4" w:space="0"/>
              <w:bottom w:val="single" w:color="auto" w:sz="4" w:space="0"/>
              <w:right w:val="single" w:color="auto" w:sz="4" w:space="0"/>
            </w:tcBorders>
            <w:vAlign w:val="center"/>
          </w:tcPr>
          <w:p w14:paraId="6B91250C">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413" w:type="pct"/>
            <w:tcBorders>
              <w:top w:val="single" w:color="auto" w:sz="4" w:space="0"/>
              <w:left w:val="single" w:color="auto" w:sz="4" w:space="0"/>
              <w:bottom w:val="single" w:color="auto" w:sz="4" w:space="0"/>
              <w:right w:val="single" w:color="auto" w:sz="4" w:space="0"/>
            </w:tcBorders>
            <w:vAlign w:val="center"/>
          </w:tcPr>
          <w:p w14:paraId="24956EF6">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364" w:type="pct"/>
            <w:tcBorders>
              <w:top w:val="single" w:color="auto" w:sz="4" w:space="0"/>
              <w:left w:val="nil"/>
              <w:bottom w:val="single" w:color="auto" w:sz="4" w:space="0"/>
              <w:right w:val="single" w:color="auto" w:sz="4" w:space="0"/>
            </w:tcBorders>
            <w:vAlign w:val="center"/>
          </w:tcPr>
          <w:p w14:paraId="2D2DC891">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365" w:type="pct"/>
            <w:tcBorders>
              <w:top w:val="single" w:color="auto" w:sz="4" w:space="0"/>
              <w:left w:val="nil"/>
              <w:bottom w:val="single" w:color="auto" w:sz="4" w:space="0"/>
              <w:right w:val="single" w:color="auto" w:sz="4" w:space="0"/>
            </w:tcBorders>
            <w:vAlign w:val="center"/>
          </w:tcPr>
          <w:p w14:paraId="3289E5B1">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318" w:type="pct"/>
            <w:tcBorders>
              <w:top w:val="single" w:color="auto" w:sz="4" w:space="0"/>
              <w:left w:val="nil"/>
              <w:bottom w:val="single" w:color="auto" w:sz="4" w:space="0"/>
              <w:right w:val="single" w:color="auto" w:sz="4" w:space="0"/>
            </w:tcBorders>
            <w:vAlign w:val="center"/>
          </w:tcPr>
          <w:p w14:paraId="48133E72">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312" w:type="pct"/>
            <w:tcBorders>
              <w:top w:val="single" w:color="auto" w:sz="4" w:space="0"/>
              <w:left w:val="nil"/>
              <w:bottom w:val="single" w:color="auto" w:sz="4" w:space="0"/>
              <w:right w:val="single" w:color="auto" w:sz="4" w:space="0"/>
            </w:tcBorders>
            <w:noWrap/>
            <w:vAlign w:val="center"/>
          </w:tcPr>
          <w:p w14:paraId="0793DD04">
            <w:pPr>
              <w:widowControl/>
              <w:jc w:val="center"/>
              <w:rPr>
                <w:rFonts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312" w:type="pct"/>
            <w:tcBorders>
              <w:top w:val="single" w:color="auto" w:sz="4" w:space="0"/>
              <w:left w:val="nil"/>
              <w:bottom w:val="single" w:color="auto" w:sz="4" w:space="0"/>
              <w:right w:val="nil"/>
            </w:tcBorders>
            <w:noWrap/>
            <w:vAlign w:val="center"/>
          </w:tcPr>
          <w:p w14:paraId="70633471">
            <w:pPr>
              <w:widowControl/>
              <w:jc w:val="center"/>
              <w:rPr>
                <w:rFonts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1269" w:type="pct"/>
            <w:tcBorders>
              <w:top w:val="single" w:color="auto" w:sz="4" w:space="0"/>
              <w:left w:val="single" w:color="auto" w:sz="4" w:space="0"/>
              <w:bottom w:val="single" w:color="auto" w:sz="4" w:space="0"/>
              <w:right w:val="single" w:color="auto" w:sz="4" w:space="0"/>
            </w:tcBorders>
            <w:vAlign w:val="center"/>
          </w:tcPr>
          <w:p w14:paraId="0F37216C">
            <w:pPr>
              <w:widowControl/>
              <w:jc w:val="center"/>
              <w:rPr>
                <w:rFonts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234" w:type="pct"/>
            <w:tcBorders>
              <w:top w:val="single" w:color="auto" w:sz="4" w:space="0"/>
              <w:left w:val="nil"/>
              <w:bottom w:val="single" w:color="auto" w:sz="4" w:space="0"/>
              <w:right w:val="single" w:color="auto" w:sz="4" w:space="0"/>
            </w:tcBorders>
            <w:vAlign w:val="center"/>
          </w:tcPr>
          <w:p w14:paraId="47A97A49">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14:paraId="225EA6F5">
        <w:tblPrEx>
          <w:tblCellMar>
            <w:top w:w="0" w:type="dxa"/>
            <w:left w:w="108" w:type="dxa"/>
            <w:bottom w:w="0" w:type="dxa"/>
            <w:right w:w="108" w:type="dxa"/>
          </w:tblCellMar>
        </w:tblPrEx>
        <w:trPr>
          <w:cantSplit/>
          <w:trHeight w:val="1230" w:hRule="atLeast"/>
        </w:trPr>
        <w:tc>
          <w:tcPr>
            <w:tcW w:w="413" w:type="pct"/>
            <w:vMerge w:val="restart"/>
            <w:tcBorders>
              <w:top w:val="single" w:color="auto" w:sz="4" w:space="0"/>
              <w:left w:val="single" w:color="auto" w:sz="4" w:space="0"/>
              <w:bottom w:val="single" w:color="auto" w:sz="4" w:space="0"/>
              <w:right w:val="single" w:color="auto" w:sz="4" w:space="0"/>
            </w:tcBorders>
            <w:vAlign w:val="center"/>
          </w:tcPr>
          <w:p w14:paraId="47495259">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预算管理情况（20）</w:t>
            </w:r>
          </w:p>
        </w:tc>
        <w:tc>
          <w:tcPr>
            <w:tcW w:w="413" w:type="pct"/>
            <w:vMerge w:val="restart"/>
            <w:tcBorders>
              <w:top w:val="single" w:color="auto" w:sz="4" w:space="0"/>
              <w:left w:val="single" w:color="auto" w:sz="4" w:space="0"/>
              <w:bottom w:val="single" w:color="auto" w:sz="4" w:space="0"/>
              <w:right w:val="single" w:color="auto" w:sz="4" w:space="0"/>
            </w:tcBorders>
            <w:vAlign w:val="center"/>
          </w:tcPr>
          <w:p w14:paraId="22414ADE">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财务管理（4）</w:t>
            </w:r>
          </w:p>
        </w:tc>
        <w:tc>
          <w:tcPr>
            <w:tcW w:w="364" w:type="pct"/>
            <w:tcBorders>
              <w:top w:val="single" w:color="auto" w:sz="4" w:space="0"/>
              <w:left w:val="nil"/>
              <w:bottom w:val="single" w:color="auto" w:sz="4" w:space="0"/>
              <w:right w:val="single" w:color="auto" w:sz="4" w:space="0"/>
            </w:tcBorders>
            <w:vAlign w:val="center"/>
          </w:tcPr>
          <w:p w14:paraId="78DC9935">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365" w:type="pct"/>
            <w:tcBorders>
              <w:top w:val="single" w:color="auto" w:sz="4" w:space="0"/>
              <w:left w:val="nil"/>
              <w:bottom w:val="single" w:color="auto" w:sz="4" w:space="0"/>
              <w:right w:val="single" w:color="auto" w:sz="4" w:space="0"/>
            </w:tcBorders>
            <w:vAlign w:val="center"/>
          </w:tcPr>
          <w:p w14:paraId="56262422">
            <w:pPr>
              <w:widowControl/>
              <w:jc w:val="center"/>
              <w:rPr>
                <w:rFonts w:ascii="宋体" w:hAnsi="宋体" w:cs="宋体"/>
                <w:color w:val="000000"/>
                <w:kern w:val="0"/>
                <w:sz w:val="20"/>
                <w:szCs w:val="20"/>
              </w:rPr>
            </w:pPr>
            <w:r>
              <w:rPr>
                <w:rFonts w:hint="eastAsia" w:ascii="宋体" w:hAnsi="宋体" w:cs="宋体"/>
                <w:color w:val="000000"/>
                <w:kern w:val="0"/>
                <w:sz w:val="20"/>
                <w:szCs w:val="20"/>
              </w:rPr>
              <w:t>　完善财务制度，推进财务规范化执行</w:t>
            </w:r>
          </w:p>
        </w:tc>
        <w:tc>
          <w:tcPr>
            <w:tcW w:w="318" w:type="pct"/>
            <w:tcBorders>
              <w:top w:val="single" w:color="auto" w:sz="4" w:space="0"/>
              <w:left w:val="nil"/>
              <w:bottom w:val="single" w:color="auto" w:sz="4" w:space="0"/>
              <w:right w:val="single" w:color="auto" w:sz="4" w:space="0"/>
            </w:tcBorders>
            <w:vAlign w:val="center"/>
          </w:tcPr>
          <w:p w14:paraId="02162401">
            <w:pPr>
              <w:widowControl/>
              <w:jc w:val="center"/>
              <w:rPr>
                <w:rFonts w:ascii="宋体" w:hAnsi="宋体" w:cs="宋体"/>
                <w:color w:val="000000"/>
                <w:kern w:val="0"/>
                <w:sz w:val="20"/>
                <w:szCs w:val="20"/>
              </w:rPr>
            </w:pPr>
            <w:r>
              <w:rPr>
                <w:rFonts w:hint="eastAsia" w:ascii="宋体" w:hAnsi="宋体" w:cs="宋体"/>
                <w:color w:val="000000"/>
                <w:kern w:val="0"/>
                <w:sz w:val="20"/>
                <w:szCs w:val="20"/>
              </w:rPr>
              <w:t>　较好</w:t>
            </w:r>
          </w:p>
        </w:tc>
        <w:tc>
          <w:tcPr>
            <w:tcW w:w="312" w:type="pct"/>
            <w:tcBorders>
              <w:top w:val="single" w:color="auto" w:sz="4" w:space="0"/>
              <w:left w:val="nil"/>
              <w:bottom w:val="single" w:color="auto" w:sz="4" w:space="0"/>
              <w:right w:val="single" w:color="auto" w:sz="4" w:space="0"/>
            </w:tcBorders>
            <w:noWrap/>
            <w:vAlign w:val="center"/>
          </w:tcPr>
          <w:p w14:paraId="283C75CC">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12" w:type="pct"/>
            <w:tcBorders>
              <w:top w:val="single" w:color="auto" w:sz="4" w:space="0"/>
              <w:left w:val="nil"/>
              <w:bottom w:val="single" w:color="auto" w:sz="4" w:space="0"/>
              <w:right w:val="nil"/>
            </w:tcBorders>
            <w:noWrap/>
            <w:vAlign w:val="center"/>
          </w:tcPr>
          <w:p w14:paraId="4803BF94">
            <w:pPr>
              <w:widowControl/>
              <w:jc w:val="center"/>
              <w:rPr>
                <w:rFonts w:ascii="宋体" w:hAnsi="宋体" w:cs="宋体"/>
                <w:color w:val="000000"/>
                <w:kern w:val="0"/>
                <w:sz w:val="20"/>
                <w:szCs w:val="20"/>
              </w:rPr>
            </w:pPr>
            <w:r>
              <w:rPr>
                <w:rFonts w:hint="eastAsia" w:ascii="宋体" w:hAnsi="宋体" w:cs="宋体"/>
                <w:color w:val="000000"/>
                <w:kern w:val="0"/>
                <w:sz w:val="20"/>
                <w:szCs w:val="20"/>
              </w:rPr>
              <w:t>　1</w:t>
            </w:r>
          </w:p>
        </w:tc>
        <w:tc>
          <w:tcPr>
            <w:tcW w:w="1269" w:type="pct"/>
            <w:tcBorders>
              <w:top w:val="single" w:color="auto" w:sz="4" w:space="0"/>
              <w:left w:val="single" w:color="auto" w:sz="4" w:space="0"/>
              <w:bottom w:val="single" w:color="auto" w:sz="4" w:space="0"/>
              <w:right w:val="single" w:color="auto" w:sz="4" w:space="0"/>
            </w:tcBorders>
            <w:vAlign w:val="center"/>
          </w:tcPr>
          <w:p w14:paraId="08F76A70">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1234" w:type="pct"/>
            <w:tcBorders>
              <w:top w:val="single" w:color="auto" w:sz="4" w:space="0"/>
              <w:left w:val="nil"/>
              <w:bottom w:val="single" w:color="auto" w:sz="4" w:space="0"/>
              <w:right w:val="single" w:color="auto" w:sz="4" w:space="0"/>
            </w:tcBorders>
            <w:vAlign w:val="center"/>
          </w:tcPr>
          <w:p w14:paraId="68CE9931">
            <w:pPr>
              <w:widowControl/>
              <w:jc w:val="left"/>
              <w:rPr>
                <w:rFonts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14:paraId="45F8D09F">
        <w:tblPrEx>
          <w:tblCellMar>
            <w:top w:w="0" w:type="dxa"/>
            <w:left w:w="108" w:type="dxa"/>
            <w:bottom w:w="0" w:type="dxa"/>
            <w:right w:w="108" w:type="dxa"/>
          </w:tblCellMar>
        </w:tblPrEx>
        <w:trPr>
          <w:cantSplit/>
          <w:trHeight w:val="2220" w:hRule="atLeast"/>
        </w:trPr>
        <w:tc>
          <w:tcPr>
            <w:tcW w:w="413" w:type="pct"/>
            <w:vMerge w:val="continue"/>
            <w:tcBorders>
              <w:top w:val="single" w:color="auto" w:sz="4" w:space="0"/>
              <w:left w:val="single" w:color="auto" w:sz="4" w:space="0"/>
              <w:bottom w:val="single" w:color="000000" w:sz="4" w:space="0"/>
              <w:right w:val="single" w:color="auto" w:sz="4" w:space="0"/>
            </w:tcBorders>
            <w:vAlign w:val="center"/>
          </w:tcPr>
          <w:p w14:paraId="1EB41DAE">
            <w:pPr>
              <w:widowControl/>
              <w:jc w:val="left"/>
              <w:rPr>
                <w:rFonts w:ascii="宋体" w:hAnsi="宋体" w:cs="宋体"/>
                <w:color w:val="000000"/>
                <w:kern w:val="0"/>
                <w:sz w:val="20"/>
                <w:szCs w:val="20"/>
              </w:rPr>
            </w:pPr>
          </w:p>
        </w:tc>
        <w:tc>
          <w:tcPr>
            <w:tcW w:w="413" w:type="pct"/>
            <w:vMerge w:val="continue"/>
            <w:tcBorders>
              <w:top w:val="single" w:color="auto" w:sz="4" w:space="0"/>
              <w:left w:val="single" w:color="auto" w:sz="4" w:space="0"/>
              <w:bottom w:val="single" w:color="auto" w:sz="4" w:space="0"/>
              <w:right w:val="single" w:color="auto" w:sz="4" w:space="0"/>
            </w:tcBorders>
            <w:vAlign w:val="center"/>
          </w:tcPr>
          <w:p w14:paraId="7157DBD9">
            <w:pPr>
              <w:widowControl/>
              <w:jc w:val="left"/>
              <w:rPr>
                <w:rFonts w:ascii="宋体" w:hAnsi="宋体" w:cs="宋体"/>
                <w:color w:val="000000"/>
                <w:kern w:val="0"/>
                <w:sz w:val="20"/>
                <w:szCs w:val="20"/>
              </w:rPr>
            </w:pPr>
          </w:p>
        </w:tc>
        <w:tc>
          <w:tcPr>
            <w:tcW w:w="364" w:type="pct"/>
            <w:tcBorders>
              <w:top w:val="single" w:color="auto" w:sz="4" w:space="0"/>
              <w:left w:val="nil"/>
              <w:bottom w:val="single" w:color="auto" w:sz="4" w:space="0"/>
              <w:right w:val="single" w:color="auto" w:sz="4" w:space="0"/>
            </w:tcBorders>
            <w:vAlign w:val="center"/>
          </w:tcPr>
          <w:p w14:paraId="2C9043B3">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365" w:type="pct"/>
            <w:tcBorders>
              <w:top w:val="single" w:color="auto" w:sz="4" w:space="0"/>
              <w:left w:val="nil"/>
              <w:bottom w:val="single" w:color="auto" w:sz="4" w:space="0"/>
              <w:right w:val="single" w:color="auto" w:sz="4" w:space="0"/>
            </w:tcBorders>
            <w:vAlign w:val="center"/>
          </w:tcPr>
          <w:p w14:paraId="00858EA9">
            <w:pPr>
              <w:widowControl/>
              <w:jc w:val="center"/>
              <w:rPr>
                <w:rFonts w:ascii="宋体" w:hAnsi="宋体" w:cs="宋体"/>
                <w:color w:val="000000"/>
                <w:kern w:val="0"/>
                <w:sz w:val="20"/>
                <w:szCs w:val="20"/>
              </w:rPr>
            </w:pPr>
            <w:r>
              <w:rPr>
                <w:rFonts w:hint="eastAsia" w:ascii="宋体" w:hAnsi="宋体" w:cs="宋体"/>
                <w:color w:val="000000"/>
                <w:kern w:val="0"/>
                <w:sz w:val="20"/>
                <w:szCs w:val="20"/>
              </w:rPr>
              <w:t>　确保各项资金安全规范有效使用</w:t>
            </w:r>
          </w:p>
        </w:tc>
        <w:tc>
          <w:tcPr>
            <w:tcW w:w="318" w:type="pct"/>
            <w:tcBorders>
              <w:top w:val="single" w:color="auto" w:sz="4" w:space="0"/>
              <w:left w:val="nil"/>
              <w:bottom w:val="single" w:color="auto" w:sz="4" w:space="0"/>
              <w:right w:val="single" w:color="auto" w:sz="4" w:space="0"/>
            </w:tcBorders>
            <w:vAlign w:val="center"/>
          </w:tcPr>
          <w:p w14:paraId="40894093">
            <w:pPr>
              <w:widowControl/>
              <w:jc w:val="center"/>
              <w:rPr>
                <w:rFonts w:ascii="宋体" w:hAnsi="宋体" w:cs="宋体"/>
                <w:color w:val="000000"/>
                <w:kern w:val="0"/>
                <w:sz w:val="20"/>
                <w:szCs w:val="20"/>
              </w:rPr>
            </w:pPr>
            <w:r>
              <w:rPr>
                <w:rFonts w:hint="eastAsia" w:ascii="宋体" w:hAnsi="宋体" w:cs="宋体"/>
                <w:color w:val="000000"/>
                <w:kern w:val="0"/>
                <w:sz w:val="20"/>
                <w:szCs w:val="20"/>
              </w:rPr>
              <w:t>　较好</w:t>
            </w:r>
          </w:p>
        </w:tc>
        <w:tc>
          <w:tcPr>
            <w:tcW w:w="312" w:type="pct"/>
            <w:tcBorders>
              <w:top w:val="single" w:color="auto" w:sz="4" w:space="0"/>
              <w:left w:val="nil"/>
              <w:bottom w:val="single" w:color="auto" w:sz="4" w:space="0"/>
              <w:right w:val="single" w:color="auto" w:sz="4" w:space="0"/>
            </w:tcBorders>
            <w:noWrap/>
            <w:vAlign w:val="center"/>
          </w:tcPr>
          <w:p w14:paraId="3D51B025">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12" w:type="pct"/>
            <w:tcBorders>
              <w:top w:val="single" w:color="auto" w:sz="4" w:space="0"/>
              <w:left w:val="nil"/>
              <w:bottom w:val="single" w:color="auto" w:sz="4" w:space="0"/>
              <w:right w:val="nil"/>
            </w:tcBorders>
            <w:noWrap/>
            <w:vAlign w:val="center"/>
          </w:tcPr>
          <w:p w14:paraId="3D44218C">
            <w:pPr>
              <w:widowControl/>
              <w:jc w:val="center"/>
              <w:rPr>
                <w:rFonts w:ascii="宋体" w:hAnsi="宋体" w:cs="宋体"/>
                <w:color w:val="000000"/>
                <w:kern w:val="0"/>
                <w:sz w:val="20"/>
                <w:szCs w:val="20"/>
              </w:rPr>
            </w:pPr>
            <w:r>
              <w:rPr>
                <w:rFonts w:hint="eastAsia" w:ascii="宋体" w:hAnsi="宋体" w:cs="宋体"/>
                <w:color w:val="000000"/>
                <w:kern w:val="0"/>
                <w:sz w:val="20"/>
                <w:szCs w:val="20"/>
              </w:rPr>
              <w:t>　2</w:t>
            </w:r>
          </w:p>
        </w:tc>
        <w:tc>
          <w:tcPr>
            <w:tcW w:w="1269" w:type="pct"/>
            <w:tcBorders>
              <w:top w:val="single" w:color="auto" w:sz="4" w:space="0"/>
              <w:left w:val="single" w:color="auto" w:sz="4" w:space="0"/>
              <w:bottom w:val="single" w:color="auto" w:sz="4" w:space="0"/>
              <w:right w:val="single" w:color="auto" w:sz="4" w:space="0"/>
            </w:tcBorders>
            <w:vAlign w:val="center"/>
          </w:tcPr>
          <w:p w14:paraId="78734810">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234" w:type="pct"/>
            <w:tcBorders>
              <w:top w:val="single" w:color="auto" w:sz="4" w:space="0"/>
              <w:left w:val="nil"/>
              <w:bottom w:val="single" w:color="auto" w:sz="4" w:space="0"/>
              <w:right w:val="single" w:color="auto" w:sz="4" w:space="0"/>
            </w:tcBorders>
            <w:vAlign w:val="center"/>
          </w:tcPr>
          <w:p w14:paraId="6A877C93">
            <w:pPr>
              <w:widowControl/>
              <w:jc w:val="left"/>
              <w:rPr>
                <w:rFonts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14:paraId="01C2FA3C">
        <w:tblPrEx>
          <w:tblCellMar>
            <w:top w:w="0" w:type="dxa"/>
            <w:left w:w="108" w:type="dxa"/>
            <w:bottom w:w="0" w:type="dxa"/>
            <w:right w:w="108" w:type="dxa"/>
          </w:tblCellMar>
        </w:tblPrEx>
        <w:trPr>
          <w:cantSplit/>
          <w:trHeight w:val="410" w:hRule="atLeast"/>
        </w:trPr>
        <w:tc>
          <w:tcPr>
            <w:tcW w:w="413" w:type="pct"/>
            <w:vMerge w:val="continue"/>
            <w:tcBorders>
              <w:top w:val="nil"/>
              <w:left w:val="single" w:color="auto" w:sz="4" w:space="0"/>
              <w:bottom w:val="single" w:color="000000" w:sz="4" w:space="0"/>
              <w:right w:val="single" w:color="auto" w:sz="4" w:space="0"/>
            </w:tcBorders>
            <w:vAlign w:val="center"/>
          </w:tcPr>
          <w:p w14:paraId="1992F6F4">
            <w:pPr>
              <w:widowControl/>
              <w:jc w:val="left"/>
              <w:rPr>
                <w:rFonts w:ascii="宋体" w:hAnsi="宋体" w:cs="宋体"/>
                <w:color w:val="000000"/>
                <w:kern w:val="0"/>
                <w:sz w:val="20"/>
                <w:szCs w:val="20"/>
              </w:rPr>
            </w:pPr>
          </w:p>
        </w:tc>
        <w:tc>
          <w:tcPr>
            <w:tcW w:w="413" w:type="pct"/>
            <w:vMerge w:val="continue"/>
            <w:tcBorders>
              <w:top w:val="nil"/>
              <w:left w:val="single" w:color="auto" w:sz="4" w:space="0"/>
              <w:bottom w:val="single" w:color="auto" w:sz="4" w:space="0"/>
              <w:right w:val="single" w:color="auto" w:sz="4" w:space="0"/>
            </w:tcBorders>
            <w:vAlign w:val="center"/>
          </w:tcPr>
          <w:p w14:paraId="2F9C07AE">
            <w:pPr>
              <w:widowControl/>
              <w:jc w:val="left"/>
              <w:rPr>
                <w:rFonts w:ascii="宋体" w:hAnsi="宋体" w:cs="宋体"/>
                <w:color w:val="000000"/>
                <w:kern w:val="0"/>
                <w:sz w:val="20"/>
                <w:szCs w:val="20"/>
              </w:rPr>
            </w:pPr>
          </w:p>
        </w:tc>
        <w:tc>
          <w:tcPr>
            <w:tcW w:w="364" w:type="pct"/>
            <w:tcBorders>
              <w:top w:val="nil"/>
              <w:left w:val="nil"/>
              <w:bottom w:val="single" w:color="auto" w:sz="4" w:space="0"/>
              <w:right w:val="single" w:color="auto" w:sz="4" w:space="0"/>
            </w:tcBorders>
            <w:vAlign w:val="center"/>
          </w:tcPr>
          <w:p w14:paraId="06216B7B">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365" w:type="pct"/>
            <w:tcBorders>
              <w:top w:val="nil"/>
              <w:left w:val="nil"/>
              <w:bottom w:val="single" w:color="auto" w:sz="4" w:space="0"/>
              <w:right w:val="single" w:color="auto" w:sz="4" w:space="0"/>
            </w:tcBorders>
            <w:vAlign w:val="center"/>
          </w:tcPr>
          <w:p w14:paraId="53401A7C">
            <w:pPr>
              <w:widowControl/>
              <w:jc w:val="center"/>
              <w:rPr>
                <w:rFonts w:ascii="宋体" w:hAnsi="宋体" w:cs="宋体"/>
                <w:color w:val="000000"/>
                <w:kern w:val="0"/>
                <w:sz w:val="20"/>
                <w:szCs w:val="20"/>
              </w:rPr>
            </w:pPr>
            <w:r>
              <w:rPr>
                <w:rFonts w:hint="eastAsia" w:ascii="宋体" w:hAnsi="宋体" w:cs="宋体"/>
                <w:color w:val="000000"/>
                <w:kern w:val="0"/>
                <w:sz w:val="20"/>
                <w:szCs w:val="20"/>
              </w:rPr>
              <w:t>　不断提高会计基础信息管理水平</w:t>
            </w:r>
          </w:p>
        </w:tc>
        <w:tc>
          <w:tcPr>
            <w:tcW w:w="318" w:type="pct"/>
            <w:tcBorders>
              <w:top w:val="nil"/>
              <w:left w:val="nil"/>
              <w:bottom w:val="single" w:color="auto" w:sz="4" w:space="0"/>
              <w:right w:val="single" w:color="auto" w:sz="4" w:space="0"/>
            </w:tcBorders>
            <w:vAlign w:val="center"/>
          </w:tcPr>
          <w:p w14:paraId="1CE896BA">
            <w:pPr>
              <w:widowControl/>
              <w:jc w:val="center"/>
              <w:rPr>
                <w:rFonts w:ascii="宋体" w:hAnsi="宋体" w:cs="宋体"/>
                <w:color w:val="000000"/>
                <w:kern w:val="0"/>
                <w:sz w:val="20"/>
                <w:szCs w:val="20"/>
              </w:rPr>
            </w:pPr>
            <w:r>
              <w:rPr>
                <w:rFonts w:hint="eastAsia" w:ascii="宋体" w:hAnsi="宋体" w:cs="宋体"/>
                <w:color w:val="000000"/>
                <w:kern w:val="0"/>
                <w:sz w:val="20"/>
                <w:szCs w:val="20"/>
              </w:rPr>
              <w:t>　较好</w:t>
            </w:r>
          </w:p>
        </w:tc>
        <w:tc>
          <w:tcPr>
            <w:tcW w:w="312" w:type="pct"/>
            <w:tcBorders>
              <w:top w:val="nil"/>
              <w:left w:val="nil"/>
              <w:bottom w:val="single" w:color="auto" w:sz="4" w:space="0"/>
              <w:right w:val="single" w:color="auto" w:sz="4" w:space="0"/>
            </w:tcBorders>
            <w:noWrap/>
            <w:vAlign w:val="center"/>
          </w:tcPr>
          <w:p w14:paraId="335CCDD4">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12" w:type="pct"/>
            <w:tcBorders>
              <w:top w:val="nil"/>
              <w:left w:val="nil"/>
              <w:bottom w:val="single" w:color="auto" w:sz="4" w:space="0"/>
              <w:right w:val="nil"/>
            </w:tcBorders>
            <w:noWrap/>
            <w:vAlign w:val="center"/>
          </w:tcPr>
          <w:p w14:paraId="5E221000">
            <w:pPr>
              <w:widowControl/>
              <w:jc w:val="center"/>
              <w:rPr>
                <w:rFonts w:ascii="宋体" w:hAnsi="宋体" w:cs="宋体"/>
                <w:color w:val="000000"/>
                <w:kern w:val="0"/>
                <w:sz w:val="20"/>
                <w:szCs w:val="20"/>
              </w:rPr>
            </w:pPr>
            <w:r>
              <w:rPr>
                <w:rFonts w:hint="eastAsia" w:ascii="宋体" w:hAnsi="宋体" w:cs="宋体"/>
                <w:color w:val="000000"/>
                <w:kern w:val="0"/>
                <w:sz w:val="20"/>
                <w:szCs w:val="20"/>
              </w:rPr>
              <w:t>　1</w:t>
            </w:r>
          </w:p>
        </w:tc>
        <w:tc>
          <w:tcPr>
            <w:tcW w:w="1269" w:type="pct"/>
            <w:tcBorders>
              <w:top w:val="nil"/>
              <w:left w:val="single" w:color="auto" w:sz="4" w:space="0"/>
              <w:bottom w:val="single" w:color="auto" w:sz="4" w:space="0"/>
              <w:right w:val="single" w:color="auto" w:sz="4" w:space="0"/>
            </w:tcBorders>
            <w:vAlign w:val="center"/>
          </w:tcPr>
          <w:p w14:paraId="5A4C0B34">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1234" w:type="pct"/>
            <w:tcBorders>
              <w:top w:val="nil"/>
              <w:left w:val="nil"/>
              <w:bottom w:val="single" w:color="auto" w:sz="4" w:space="0"/>
              <w:right w:val="single" w:color="auto" w:sz="4" w:space="0"/>
            </w:tcBorders>
            <w:vAlign w:val="center"/>
          </w:tcPr>
          <w:p w14:paraId="15D3D81E">
            <w:pPr>
              <w:widowControl/>
              <w:jc w:val="left"/>
              <w:rPr>
                <w:rFonts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14:paraId="65D4A0D9">
        <w:tblPrEx>
          <w:tblCellMar>
            <w:top w:w="0" w:type="dxa"/>
            <w:left w:w="108" w:type="dxa"/>
            <w:bottom w:w="0" w:type="dxa"/>
            <w:right w:w="108" w:type="dxa"/>
          </w:tblCellMar>
        </w:tblPrEx>
        <w:trPr>
          <w:cantSplit/>
          <w:trHeight w:val="2220" w:hRule="atLeast"/>
        </w:trPr>
        <w:tc>
          <w:tcPr>
            <w:tcW w:w="413" w:type="pct"/>
            <w:vMerge w:val="continue"/>
            <w:tcBorders>
              <w:top w:val="nil"/>
              <w:left w:val="single" w:color="auto" w:sz="4" w:space="0"/>
              <w:bottom w:val="single" w:color="000000" w:sz="4" w:space="0"/>
              <w:right w:val="single" w:color="auto" w:sz="4" w:space="0"/>
            </w:tcBorders>
            <w:vAlign w:val="center"/>
          </w:tcPr>
          <w:p w14:paraId="38583933">
            <w:pPr>
              <w:widowControl/>
              <w:jc w:val="left"/>
              <w:rPr>
                <w:rFonts w:ascii="宋体" w:hAnsi="宋体" w:cs="宋体"/>
                <w:color w:val="000000"/>
                <w:kern w:val="0"/>
                <w:sz w:val="20"/>
                <w:szCs w:val="20"/>
              </w:rPr>
            </w:pPr>
          </w:p>
        </w:tc>
        <w:tc>
          <w:tcPr>
            <w:tcW w:w="413" w:type="pct"/>
            <w:tcBorders>
              <w:top w:val="single" w:color="auto" w:sz="4" w:space="0"/>
              <w:left w:val="single" w:color="auto" w:sz="4" w:space="0"/>
              <w:bottom w:val="single" w:color="auto" w:sz="4" w:space="0"/>
              <w:right w:val="single" w:color="auto" w:sz="4" w:space="0"/>
            </w:tcBorders>
            <w:vAlign w:val="center"/>
          </w:tcPr>
          <w:p w14:paraId="44308D2B">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资产管理（4）</w:t>
            </w:r>
          </w:p>
        </w:tc>
        <w:tc>
          <w:tcPr>
            <w:tcW w:w="364" w:type="pct"/>
            <w:tcBorders>
              <w:top w:val="single" w:color="auto" w:sz="4" w:space="0"/>
              <w:left w:val="single" w:color="auto" w:sz="4" w:space="0"/>
              <w:bottom w:val="single" w:color="auto" w:sz="4" w:space="0"/>
              <w:right w:val="single" w:color="auto" w:sz="4" w:space="0"/>
            </w:tcBorders>
            <w:vAlign w:val="center"/>
          </w:tcPr>
          <w:p w14:paraId="52AD2F40">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资产管理规范性</w:t>
            </w:r>
          </w:p>
        </w:tc>
        <w:tc>
          <w:tcPr>
            <w:tcW w:w="365" w:type="pct"/>
            <w:tcBorders>
              <w:top w:val="single" w:color="auto" w:sz="4" w:space="0"/>
              <w:left w:val="single" w:color="auto" w:sz="4" w:space="0"/>
              <w:bottom w:val="single" w:color="auto" w:sz="4" w:space="0"/>
              <w:right w:val="single" w:color="auto" w:sz="4" w:space="0"/>
            </w:tcBorders>
            <w:vAlign w:val="center"/>
          </w:tcPr>
          <w:p w14:paraId="2A3E7081">
            <w:pPr>
              <w:widowControl/>
              <w:jc w:val="left"/>
              <w:rPr>
                <w:rFonts w:ascii="宋体" w:hAnsi="宋体" w:cs="宋体"/>
                <w:color w:val="000000"/>
                <w:kern w:val="0"/>
                <w:sz w:val="20"/>
                <w:szCs w:val="20"/>
              </w:rPr>
            </w:pPr>
            <w:r>
              <w:rPr>
                <w:rFonts w:hint="eastAsia" w:ascii="宋体" w:hAnsi="宋体" w:cs="宋体"/>
                <w:color w:val="000000"/>
                <w:kern w:val="0"/>
                <w:sz w:val="20"/>
                <w:szCs w:val="20"/>
              </w:rPr>
              <w:t>　提高资产使用效益</w:t>
            </w:r>
          </w:p>
        </w:tc>
        <w:tc>
          <w:tcPr>
            <w:tcW w:w="318" w:type="pct"/>
            <w:tcBorders>
              <w:top w:val="single" w:color="auto" w:sz="4" w:space="0"/>
              <w:left w:val="single" w:color="auto" w:sz="4" w:space="0"/>
              <w:bottom w:val="single" w:color="auto" w:sz="4" w:space="0"/>
              <w:right w:val="single" w:color="auto" w:sz="4" w:space="0"/>
            </w:tcBorders>
            <w:vAlign w:val="center"/>
          </w:tcPr>
          <w:p w14:paraId="14DD44F8">
            <w:pPr>
              <w:widowControl/>
              <w:jc w:val="left"/>
              <w:rPr>
                <w:rFonts w:ascii="宋体" w:hAnsi="宋体" w:cs="宋体"/>
                <w:color w:val="000000"/>
                <w:kern w:val="0"/>
                <w:sz w:val="20"/>
                <w:szCs w:val="20"/>
              </w:rPr>
            </w:pPr>
            <w:r>
              <w:rPr>
                <w:rFonts w:hint="eastAsia" w:ascii="宋体" w:hAnsi="宋体" w:cs="宋体"/>
                <w:color w:val="000000"/>
                <w:kern w:val="0"/>
                <w:sz w:val="20"/>
                <w:szCs w:val="20"/>
              </w:rPr>
              <w:t>　较好</w:t>
            </w:r>
          </w:p>
        </w:tc>
        <w:tc>
          <w:tcPr>
            <w:tcW w:w="312" w:type="pct"/>
            <w:tcBorders>
              <w:top w:val="single" w:color="auto" w:sz="4" w:space="0"/>
              <w:left w:val="single" w:color="auto" w:sz="4" w:space="0"/>
              <w:bottom w:val="single" w:color="auto" w:sz="4" w:space="0"/>
              <w:right w:val="single" w:color="auto" w:sz="4" w:space="0"/>
            </w:tcBorders>
            <w:vAlign w:val="center"/>
          </w:tcPr>
          <w:p w14:paraId="575B58F2">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12" w:type="pct"/>
            <w:tcBorders>
              <w:top w:val="single" w:color="auto" w:sz="4" w:space="0"/>
              <w:left w:val="single" w:color="auto" w:sz="4" w:space="0"/>
              <w:bottom w:val="single" w:color="auto" w:sz="4" w:space="0"/>
              <w:right w:val="single" w:color="auto" w:sz="4" w:space="0"/>
            </w:tcBorders>
            <w:vAlign w:val="center"/>
          </w:tcPr>
          <w:p w14:paraId="39290C31">
            <w:pPr>
              <w:widowControl/>
              <w:jc w:val="center"/>
              <w:rPr>
                <w:rFonts w:ascii="宋体" w:hAnsi="宋体" w:cs="宋体"/>
                <w:color w:val="000000"/>
                <w:kern w:val="0"/>
                <w:sz w:val="20"/>
                <w:szCs w:val="20"/>
              </w:rPr>
            </w:pPr>
            <w:r>
              <w:rPr>
                <w:rFonts w:hint="eastAsia" w:ascii="宋体" w:hAnsi="宋体" w:cs="宋体"/>
                <w:color w:val="000000"/>
                <w:kern w:val="0"/>
                <w:sz w:val="20"/>
                <w:szCs w:val="20"/>
              </w:rPr>
              <w:t>　4</w:t>
            </w:r>
          </w:p>
        </w:tc>
        <w:tc>
          <w:tcPr>
            <w:tcW w:w="1269" w:type="pct"/>
            <w:tcBorders>
              <w:top w:val="single" w:color="auto" w:sz="4" w:space="0"/>
              <w:left w:val="single" w:color="auto" w:sz="4" w:space="0"/>
              <w:bottom w:val="single" w:color="auto" w:sz="4" w:space="0"/>
              <w:right w:val="single" w:color="auto" w:sz="4" w:space="0"/>
            </w:tcBorders>
            <w:vAlign w:val="center"/>
          </w:tcPr>
          <w:p w14:paraId="31218F36">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1234" w:type="pct"/>
            <w:tcBorders>
              <w:top w:val="single" w:color="auto" w:sz="4" w:space="0"/>
              <w:left w:val="single" w:color="auto" w:sz="4" w:space="0"/>
              <w:bottom w:val="single" w:color="auto" w:sz="4" w:space="0"/>
              <w:right w:val="single" w:color="auto" w:sz="4" w:space="0"/>
            </w:tcBorders>
            <w:vAlign w:val="center"/>
          </w:tcPr>
          <w:p w14:paraId="6454AFAE">
            <w:pPr>
              <w:widowControl/>
              <w:jc w:val="left"/>
              <w:rPr>
                <w:rFonts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14:paraId="3AD7527C">
        <w:tblPrEx>
          <w:tblCellMar>
            <w:top w:w="0" w:type="dxa"/>
            <w:left w:w="108" w:type="dxa"/>
            <w:bottom w:w="0" w:type="dxa"/>
            <w:right w:w="108" w:type="dxa"/>
          </w:tblCellMar>
        </w:tblPrEx>
        <w:trPr>
          <w:cantSplit/>
          <w:trHeight w:val="1210" w:hRule="atLeast"/>
        </w:trPr>
        <w:tc>
          <w:tcPr>
            <w:tcW w:w="413" w:type="pct"/>
            <w:vMerge w:val="continue"/>
            <w:tcBorders>
              <w:top w:val="nil"/>
              <w:left w:val="single" w:color="auto" w:sz="4" w:space="0"/>
              <w:bottom w:val="single" w:color="000000" w:sz="4" w:space="0"/>
              <w:right w:val="single" w:color="auto" w:sz="4" w:space="0"/>
            </w:tcBorders>
            <w:vAlign w:val="center"/>
          </w:tcPr>
          <w:p w14:paraId="70BC6A8C">
            <w:pPr>
              <w:widowControl/>
              <w:jc w:val="left"/>
              <w:rPr>
                <w:rFonts w:ascii="宋体" w:hAnsi="宋体" w:cs="宋体"/>
                <w:color w:val="000000"/>
                <w:kern w:val="0"/>
                <w:sz w:val="20"/>
                <w:szCs w:val="20"/>
              </w:rPr>
            </w:pPr>
          </w:p>
        </w:tc>
        <w:tc>
          <w:tcPr>
            <w:tcW w:w="413" w:type="pct"/>
            <w:tcBorders>
              <w:top w:val="single" w:color="auto" w:sz="4" w:space="0"/>
              <w:left w:val="nil"/>
              <w:bottom w:val="single" w:color="auto" w:sz="4" w:space="0"/>
              <w:right w:val="single" w:color="auto" w:sz="4" w:space="0"/>
            </w:tcBorders>
            <w:vAlign w:val="center"/>
          </w:tcPr>
          <w:p w14:paraId="6F1A931D">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绩效管理（4）</w:t>
            </w:r>
          </w:p>
        </w:tc>
        <w:tc>
          <w:tcPr>
            <w:tcW w:w="364" w:type="pct"/>
            <w:tcBorders>
              <w:top w:val="single" w:color="auto" w:sz="4" w:space="0"/>
              <w:left w:val="nil"/>
              <w:bottom w:val="single" w:color="auto" w:sz="4" w:space="0"/>
              <w:right w:val="single" w:color="auto" w:sz="4" w:space="0"/>
            </w:tcBorders>
            <w:vAlign w:val="center"/>
          </w:tcPr>
          <w:p w14:paraId="5BD24632">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绩效管理情况</w:t>
            </w:r>
          </w:p>
        </w:tc>
        <w:tc>
          <w:tcPr>
            <w:tcW w:w="365" w:type="pct"/>
            <w:tcBorders>
              <w:top w:val="single" w:color="auto" w:sz="4" w:space="0"/>
              <w:left w:val="nil"/>
              <w:bottom w:val="single" w:color="auto" w:sz="4" w:space="0"/>
              <w:right w:val="single" w:color="auto" w:sz="4" w:space="0"/>
            </w:tcBorders>
            <w:vAlign w:val="center"/>
          </w:tcPr>
          <w:p w14:paraId="58699A6F">
            <w:pPr>
              <w:widowControl/>
              <w:jc w:val="left"/>
              <w:rPr>
                <w:rFonts w:ascii="宋体" w:hAnsi="宋体" w:cs="宋体"/>
                <w:color w:val="000000"/>
                <w:kern w:val="0"/>
                <w:sz w:val="20"/>
                <w:szCs w:val="20"/>
              </w:rPr>
            </w:pPr>
            <w:r>
              <w:rPr>
                <w:rFonts w:hint="eastAsia" w:ascii="宋体" w:hAnsi="宋体" w:cs="宋体"/>
                <w:color w:val="000000"/>
                <w:kern w:val="0"/>
                <w:sz w:val="20"/>
                <w:szCs w:val="20"/>
              </w:rPr>
              <w:t>　加强绩效管理深度融合预算编制、执行、监督全过程</w:t>
            </w:r>
          </w:p>
        </w:tc>
        <w:tc>
          <w:tcPr>
            <w:tcW w:w="318" w:type="pct"/>
            <w:tcBorders>
              <w:top w:val="single" w:color="auto" w:sz="4" w:space="0"/>
              <w:left w:val="nil"/>
              <w:bottom w:val="single" w:color="auto" w:sz="4" w:space="0"/>
              <w:right w:val="single" w:color="auto" w:sz="4" w:space="0"/>
            </w:tcBorders>
            <w:vAlign w:val="center"/>
          </w:tcPr>
          <w:p w14:paraId="1D008768">
            <w:pPr>
              <w:widowControl/>
              <w:jc w:val="left"/>
              <w:rPr>
                <w:rFonts w:ascii="宋体" w:hAnsi="宋体" w:cs="宋体"/>
                <w:color w:val="000000"/>
                <w:kern w:val="0"/>
                <w:sz w:val="20"/>
                <w:szCs w:val="20"/>
              </w:rPr>
            </w:pPr>
            <w:r>
              <w:rPr>
                <w:rFonts w:hint="eastAsia" w:ascii="宋体" w:hAnsi="宋体" w:cs="宋体"/>
                <w:color w:val="000000"/>
                <w:kern w:val="0"/>
                <w:sz w:val="20"/>
                <w:szCs w:val="20"/>
              </w:rPr>
              <w:t>　较好</w:t>
            </w:r>
          </w:p>
        </w:tc>
        <w:tc>
          <w:tcPr>
            <w:tcW w:w="312" w:type="pct"/>
            <w:tcBorders>
              <w:top w:val="single" w:color="auto" w:sz="4" w:space="0"/>
              <w:left w:val="nil"/>
              <w:bottom w:val="single" w:color="auto" w:sz="4" w:space="0"/>
              <w:right w:val="single" w:color="auto" w:sz="4" w:space="0"/>
            </w:tcBorders>
            <w:vAlign w:val="center"/>
          </w:tcPr>
          <w:p w14:paraId="04C6D660">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12" w:type="pct"/>
            <w:tcBorders>
              <w:top w:val="single" w:color="auto" w:sz="4" w:space="0"/>
              <w:left w:val="nil"/>
              <w:bottom w:val="single" w:color="auto" w:sz="4" w:space="0"/>
              <w:right w:val="nil"/>
            </w:tcBorders>
            <w:vAlign w:val="center"/>
          </w:tcPr>
          <w:p w14:paraId="64613A75">
            <w:pPr>
              <w:widowControl/>
              <w:jc w:val="center"/>
              <w:rPr>
                <w:rFonts w:ascii="宋体" w:hAnsi="宋体" w:cs="宋体"/>
                <w:color w:val="000000"/>
                <w:kern w:val="0"/>
                <w:sz w:val="20"/>
                <w:szCs w:val="20"/>
              </w:rPr>
            </w:pPr>
            <w:r>
              <w:rPr>
                <w:rFonts w:hint="eastAsia" w:ascii="宋体" w:hAnsi="宋体" w:cs="宋体"/>
                <w:color w:val="000000"/>
                <w:kern w:val="0"/>
                <w:sz w:val="20"/>
                <w:szCs w:val="20"/>
              </w:rPr>
              <w:t>　3</w:t>
            </w:r>
          </w:p>
        </w:tc>
        <w:tc>
          <w:tcPr>
            <w:tcW w:w="1269" w:type="pct"/>
            <w:tcBorders>
              <w:top w:val="single" w:color="auto" w:sz="4" w:space="0"/>
              <w:left w:val="single" w:color="auto" w:sz="4" w:space="0"/>
              <w:bottom w:val="single" w:color="auto" w:sz="4" w:space="0"/>
              <w:right w:val="single" w:color="auto" w:sz="4" w:space="0"/>
            </w:tcBorders>
            <w:vAlign w:val="center"/>
          </w:tcPr>
          <w:p w14:paraId="3D3AC0E2">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1234" w:type="pct"/>
            <w:tcBorders>
              <w:top w:val="single" w:color="auto" w:sz="4" w:space="0"/>
              <w:left w:val="nil"/>
              <w:bottom w:val="single" w:color="auto" w:sz="4" w:space="0"/>
              <w:right w:val="single" w:color="auto" w:sz="4" w:space="0"/>
            </w:tcBorders>
            <w:vAlign w:val="center"/>
          </w:tcPr>
          <w:p w14:paraId="6732B96A">
            <w:pPr>
              <w:widowControl/>
              <w:jc w:val="left"/>
              <w:rPr>
                <w:rFonts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14:paraId="04AF4A87">
        <w:tblPrEx>
          <w:tblCellMar>
            <w:top w:w="0" w:type="dxa"/>
            <w:left w:w="108" w:type="dxa"/>
            <w:bottom w:w="0" w:type="dxa"/>
            <w:right w:w="108" w:type="dxa"/>
          </w:tblCellMar>
        </w:tblPrEx>
        <w:trPr>
          <w:cantSplit/>
          <w:trHeight w:val="394" w:hRule="atLeast"/>
        </w:trPr>
        <w:tc>
          <w:tcPr>
            <w:tcW w:w="413" w:type="pct"/>
            <w:vMerge w:val="continue"/>
            <w:tcBorders>
              <w:top w:val="nil"/>
              <w:left w:val="single" w:color="auto" w:sz="4" w:space="0"/>
              <w:bottom w:val="single" w:color="000000" w:sz="4" w:space="0"/>
              <w:right w:val="single" w:color="auto" w:sz="4" w:space="0"/>
            </w:tcBorders>
            <w:vAlign w:val="center"/>
          </w:tcPr>
          <w:p w14:paraId="156550E2">
            <w:pPr>
              <w:widowControl/>
              <w:jc w:val="left"/>
              <w:rPr>
                <w:rFonts w:ascii="宋体" w:hAnsi="宋体" w:cs="宋体"/>
                <w:color w:val="000000"/>
                <w:kern w:val="0"/>
                <w:sz w:val="20"/>
                <w:szCs w:val="20"/>
              </w:rPr>
            </w:pPr>
          </w:p>
        </w:tc>
        <w:tc>
          <w:tcPr>
            <w:tcW w:w="413" w:type="pct"/>
            <w:tcBorders>
              <w:top w:val="single" w:color="auto" w:sz="4" w:space="0"/>
              <w:left w:val="nil"/>
              <w:bottom w:val="single" w:color="auto" w:sz="4" w:space="0"/>
              <w:right w:val="single" w:color="auto" w:sz="4" w:space="0"/>
            </w:tcBorders>
            <w:vAlign w:val="center"/>
          </w:tcPr>
          <w:p w14:paraId="55FE888B">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　</w:t>
            </w:r>
          </w:p>
        </w:tc>
        <w:tc>
          <w:tcPr>
            <w:tcW w:w="729" w:type="pct"/>
            <w:gridSpan w:val="2"/>
            <w:tcBorders>
              <w:top w:val="single" w:color="auto" w:sz="4" w:space="0"/>
              <w:left w:val="nil"/>
              <w:bottom w:val="single" w:color="auto" w:sz="4" w:space="0"/>
              <w:right w:val="single" w:color="000000" w:sz="4" w:space="0"/>
            </w:tcBorders>
            <w:vAlign w:val="center"/>
          </w:tcPr>
          <w:p w14:paraId="03573F9C">
            <w:pPr>
              <w:widowControl/>
              <w:jc w:val="center"/>
              <w:rPr>
                <w:rFonts w:ascii="宋体" w:hAnsi="宋体" w:cs="宋体"/>
                <w:color w:val="000000"/>
                <w:kern w:val="0"/>
                <w:sz w:val="20"/>
                <w:szCs w:val="20"/>
              </w:rPr>
            </w:pPr>
            <w:r>
              <w:rPr>
                <w:rFonts w:hint="eastAsia" w:ascii="宋体" w:hAnsi="宋体" w:cs="宋体"/>
                <w:color w:val="000000"/>
                <w:kern w:val="0"/>
                <w:sz w:val="20"/>
                <w:szCs w:val="20"/>
              </w:rPr>
              <w:t>2021年</w:t>
            </w:r>
          </w:p>
        </w:tc>
        <w:tc>
          <w:tcPr>
            <w:tcW w:w="318" w:type="pct"/>
            <w:tcBorders>
              <w:top w:val="single" w:color="auto" w:sz="4" w:space="0"/>
              <w:left w:val="nil"/>
              <w:bottom w:val="single" w:color="auto" w:sz="4" w:space="0"/>
              <w:right w:val="single" w:color="auto" w:sz="4" w:space="0"/>
            </w:tcBorders>
            <w:vAlign w:val="center"/>
          </w:tcPr>
          <w:p w14:paraId="2DCDE71B">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w:t>
            </w:r>
          </w:p>
        </w:tc>
        <w:tc>
          <w:tcPr>
            <w:tcW w:w="312" w:type="pct"/>
            <w:tcBorders>
              <w:top w:val="single" w:color="auto" w:sz="4" w:space="0"/>
              <w:left w:val="nil"/>
              <w:bottom w:val="single" w:color="auto" w:sz="4" w:space="0"/>
              <w:right w:val="single" w:color="auto" w:sz="4" w:space="0"/>
            </w:tcBorders>
            <w:vAlign w:val="center"/>
          </w:tcPr>
          <w:p w14:paraId="476991AC">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312" w:type="pct"/>
            <w:tcBorders>
              <w:top w:val="single" w:color="auto" w:sz="4" w:space="0"/>
              <w:left w:val="nil"/>
              <w:bottom w:val="single" w:color="auto" w:sz="4" w:space="0"/>
              <w:right w:val="single" w:color="auto" w:sz="4" w:space="0"/>
            </w:tcBorders>
            <w:vAlign w:val="center"/>
          </w:tcPr>
          <w:p w14:paraId="39898631">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269" w:type="pct"/>
            <w:tcBorders>
              <w:top w:val="single" w:color="auto" w:sz="4" w:space="0"/>
              <w:left w:val="single" w:color="auto" w:sz="4" w:space="0"/>
              <w:bottom w:val="single" w:color="auto" w:sz="4" w:space="0"/>
              <w:right w:val="single" w:color="auto" w:sz="4" w:space="0"/>
            </w:tcBorders>
            <w:vAlign w:val="center"/>
          </w:tcPr>
          <w:p w14:paraId="78B32013">
            <w:pPr>
              <w:widowControl/>
              <w:jc w:val="center"/>
              <w:rPr>
                <w:rFonts w:ascii="宋体" w:hAnsi="宋体" w:cs="宋体"/>
                <w:color w:val="000000"/>
                <w:kern w:val="0"/>
                <w:sz w:val="20"/>
                <w:szCs w:val="20"/>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234" w:type="pct"/>
            <w:tcBorders>
              <w:top w:val="single" w:color="auto" w:sz="4" w:space="0"/>
              <w:left w:val="nil"/>
              <w:bottom w:val="single" w:color="auto" w:sz="4" w:space="0"/>
              <w:right w:val="single" w:color="auto" w:sz="4" w:space="0"/>
            </w:tcBorders>
            <w:vAlign w:val="center"/>
          </w:tcPr>
          <w:p w14:paraId="478A85BA">
            <w:pPr>
              <w:widowControl/>
              <w:jc w:val="center"/>
              <w:rPr>
                <w:rFonts w:eastAsia="Times New Roman"/>
                <w:kern w:val="0"/>
                <w:sz w:val="20"/>
                <w:szCs w:val="20"/>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14:paraId="674F3494">
        <w:tblPrEx>
          <w:tblCellMar>
            <w:top w:w="0" w:type="dxa"/>
            <w:left w:w="108" w:type="dxa"/>
            <w:bottom w:w="0" w:type="dxa"/>
            <w:right w:w="108" w:type="dxa"/>
          </w:tblCellMar>
        </w:tblPrEx>
        <w:trPr>
          <w:cantSplit/>
          <w:trHeight w:val="2229" w:hRule="atLeast"/>
        </w:trPr>
        <w:tc>
          <w:tcPr>
            <w:tcW w:w="413" w:type="pct"/>
            <w:vMerge w:val="continue"/>
            <w:tcBorders>
              <w:top w:val="nil"/>
              <w:left w:val="single" w:color="auto" w:sz="4" w:space="0"/>
              <w:bottom w:val="single" w:color="000000" w:sz="4" w:space="0"/>
              <w:right w:val="single" w:color="auto" w:sz="4" w:space="0"/>
            </w:tcBorders>
            <w:vAlign w:val="center"/>
          </w:tcPr>
          <w:p w14:paraId="69CF2492">
            <w:pPr>
              <w:widowControl/>
              <w:jc w:val="left"/>
              <w:rPr>
                <w:rFonts w:ascii="宋体" w:hAnsi="宋体" w:cs="宋体"/>
                <w:color w:val="000000"/>
                <w:kern w:val="0"/>
                <w:sz w:val="20"/>
                <w:szCs w:val="20"/>
              </w:rPr>
            </w:pPr>
          </w:p>
        </w:tc>
        <w:tc>
          <w:tcPr>
            <w:tcW w:w="413" w:type="pct"/>
            <w:tcBorders>
              <w:top w:val="nil"/>
              <w:left w:val="nil"/>
              <w:bottom w:val="single" w:color="auto" w:sz="4" w:space="0"/>
              <w:right w:val="single" w:color="auto" w:sz="4" w:space="0"/>
            </w:tcBorders>
            <w:vAlign w:val="center"/>
          </w:tcPr>
          <w:p w14:paraId="7E5058CD">
            <w:pPr>
              <w:widowControl/>
              <w:rPr>
                <w:rFonts w:ascii="宋体" w:hAnsi="宋体" w:cs="宋体"/>
                <w:color w:val="000000"/>
                <w:kern w:val="0"/>
                <w:sz w:val="20"/>
                <w:szCs w:val="20"/>
              </w:rPr>
            </w:pPr>
            <w:r>
              <w:rPr>
                <w:rFonts w:hint="eastAsia" w:ascii="宋体" w:hAnsi="宋体" w:cs="宋体"/>
                <w:color w:val="000000"/>
                <w:kern w:val="0"/>
                <w:sz w:val="20"/>
                <w:szCs w:val="20"/>
              </w:rPr>
              <w:t>结转结余率（4）</w:t>
            </w:r>
          </w:p>
        </w:tc>
        <w:tc>
          <w:tcPr>
            <w:tcW w:w="729" w:type="pct"/>
            <w:gridSpan w:val="2"/>
            <w:tcBorders>
              <w:top w:val="single" w:color="auto" w:sz="4" w:space="0"/>
              <w:left w:val="nil"/>
              <w:bottom w:val="single" w:color="auto" w:sz="4" w:space="0"/>
              <w:right w:val="single" w:color="000000" w:sz="4" w:space="0"/>
            </w:tcBorders>
            <w:vAlign w:val="center"/>
          </w:tcPr>
          <w:p w14:paraId="78F93A3E">
            <w:pPr>
              <w:widowControl/>
              <w:jc w:val="center"/>
              <w:rPr>
                <w:rFonts w:ascii="宋体" w:hAnsi="宋体" w:cs="宋体"/>
                <w:color w:val="000000"/>
                <w:kern w:val="0"/>
                <w:sz w:val="20"/>
                <w:szCs w:val="20"/>
              </w:rPr>
            </w:pPr>
            <w:r>
              <w:rPr>
                <w:rFonts w:hint="eastAsia" w:ascii="宋体" w:hAnsi="宋体" w:cs="宋体"/>
                <w:color w:val="000000"/>
                <w:kern w:val="0"/>
                <w:sz w:val="20"/>
                <w:szCs w:val="20"/>
              </w:rPr>
              <w:t>　6</w:t>
            </w:r>
            <w:r>
              <w:rPr>
                <w:rFonts w:ascii="宋体" w:hAnsi="宋体" w:cs="宋体"/>
                <w:color w:val="000000"/>
                <w:kern w:val="0"/>
                <w:sz w:val="20"/>
                <w:szCs w:val="20"/>
              </w:rPr>
              <w:t>.3</w:t>
            </w:r>
            <w:r>
              <w:rPr>
                <w:rFonts w:hint="eastAsia" w:ascii="宋体" w:hAnsi="宋体" w:cs="宋体"/>
                <w:color w:val="000000"/>
                <w:kern w:val="0"/>
                <w:sz w:val="20"/>
                <w:szCs w:val="20"/>
              </w:rPr>
              <w:t>%</w:t>
            </w:r>
          </w:p>
        </w:tc>
        <w:tc>
          <w:tcPr>
            <w:tcW w:w="318" w:type="pct"/>
            <w:tcBorders>
              <w:top w:val="nil"/>
              <w:left w:val="nil"/>
              <w:bottom w:val="single" w:color="auto" w:sz="4" w:space="0"/>
              <w:right w:val="single" w:color="auto" w:sz="4" w:space="0"/>
            </w:tcBorders>
            <w:vAlign w:val="center"/>
          </w:tcPr>
          <w:p w14:paraId="53CE1910">
            <w:pPr>
              <w:widowControl/>
              <w:jc w:val="center"/>
              <w:rPr>
                <w:rFonts w:ascii="宋体" w:hAnsi="宋体" w:cs="宋体"/>
                <w:color w:val="000000"/>
                <w:kern w:val="0"/>
                <w:sz w:val="20"/>
                <w:szCs w:val="20"/>
              </w:rPr>
            </w:pPr>
            <w:r>
              <w:rPr>
                <w:rFonts w:hint="eastAsia" w:ascii="宋体" w:hAnsi="宋体" w:cs="宋体"/>
                <w:color w:val="000000"/>
                <w:kern w:val="0"/>
                <w:sz w:val="20"/>
                <w:szCs w:val="20"/>
              </w:rPr>
              <w:t>　6%</w:t>
            </w:r>
          </w:p>
        </w:tc>
        <w:tc>
          <w:tcPr>
            <w:tcW w:w="312" w:type="pct"/>
            <w:tcBorders>
              <w:top w:val="nil"/>
              <w:left w:val="nil"/>
              <w:bottom w:val="single" w:color="auto" w:sz="4" w:space="0"/>
              <w:right w:val="single" w:color="auto" w:sz="4" w:space="0"/>
            </w:tcBorders>
            <w:vAlign w:val="center"/>
          </w:tcPr>
          <w:p w14:paraId="053E8865">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12" w:type="pct"/>
            <w:tcBorders>
              <w:top w:val="nil"/>
              <w:left w:val="nil"/>
              <w:bottom w:val="single" w:color="auto" w:sz="4" w:space="0"/>
              <w:right w:val="nil"/>
            </w:tcBorders>
            <w:vAlign w:val="center"/>
          </w:tcPr>
          <w:p w14:paraId="69FD2EDB">
            <w:pPr>
              <w:widowControl/>
              <w:jc w:val="center"/>
              <w:rPr>
                <w:rFonts w:ascii="宋体" w:hAnsi="宋体" w:cs="宋体"/>
                <w:color w:val="000000"/>
                <w:kern w:val="0"/>
                <w:sz w:val="20"/>
                <w:szCs w:val="20"/>
              </w:rPr>
            </w:pPr>
            <w:r>
              <w:rPr>
                <w:rFonts w:hint="eastAsia" w:ascii="宋体" w:hAnsi="宋体" w:cs="宋体"/>
                <w:color w:val="000000"/>
                <w:kern w:val="0"/>
                <w:sz w:val="20"/>
                <w:szCs w:val="20"/>
              </w:rPr>
              <w:t>　4</w:t>
            </w:r>
          </w:p>
        </w:tc>
        <w:tc>
          <w:tcPr>
            <w:tcW w:w="1269" w:type="pct"/>
            <w:tcBorders>
              <w:top w:val="single" w:color="auto" w:sz="4" w:space="0"/>
              <w:left w:val="single" w:color="auto" w:sz="4" w:space="0"/>
              <w:bottom w:val="single" w:color="auto" w:sz="4" w:space="0"/>
              <w:right w:val="single" w:color="auto" w:sz="4" w:space="0"/>
            </w:tcBorders>
            <w:vAlign w:val="center"/>
          </w:tcPr>
          <w:p w14:paraId="1C6306E0">
            <w:pPr>
              <w:widowControl/>
              <w:jc w:val="left"/>
              <w:rPr>
                <w:rFonts w:ascii="宋体" w:hAnsi="宋体" w:cs="宋体"/>
                <w:color w:val="000000"/>
                <w:kern w:val="0"/>
                <w:sz w:val="18"/>
                <w:szCs w:val="18"/>
              </w:rPr>
            </w:pPr>
            <w:r>
              <w:rPr>
                <w:rFonts w:hint="eastAsia" w:ascii="宋体" w:hAnsi="宋体" w:cs="宋体"/>
                <w:color w:val="000000"/>
                <w:kern w:val="0"/>
                <w:sz w:val="18"/>
                <w:szCs w:val="18"/>
              </w:rPr>
              <w:t>结转结余率=结转结余总额/支出预算数×100%。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结转结余总额：部门（单位）本年度的结转资金与结余资金之和。</w:t>
            </w:r>
          </w:p>
        </w:tc>
        <w:tc>
          <w:tcPr>
            <w:tcW w:w="1234" w:type="pct"/>
            <w:tcBorders>
              <w:top w:val="single" w:color="auto" w:sz="4" w:space="0"/>
              <w:left w:val="nil"/>
              <w:bottom w:val="single" w:color="auto" w:sz="4" w:space="0"/>
              <w:right w:val="single" w:color="auto" w:sz="4" w:space="0"/>
            </w:tcBorders>
            <w:vAlign w:val="center"/>
          </w:tcPr>
          <w:p w14:paraId="0DD6A8E9">
            <w:pPr>
              <w:widowControl/>
              <w:jc w:val="left"/>
              <w:rPr>
                <w:rFonts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14:paraId="77C17F95">
        <w:tblPrEx>
          <w:tblCellMar>
            <w:top w:w="0" w:type="dxa"/>
            <w:left w:w="108" w:type="dxa"/>
            <w:bottom w:w="0" w:type="dxa"/>
            <w:right w:w="108" w:type="dxa"/>
          </w:tblCellMar>
        </w:tblPrEx>
        <w:trPr>
          <w:cantSplit/>
          <w:trHeight w:val="981" w:hRule="atLeast"/>
        </w:trPr>
        <w:tc>
          <w:tcPr>
            <w:tcW w:w="413" w:type="pct"/>
            <w:vMerge w:val="continue"/>
            <w:tcBorders>
              <w:top w:val="nil"/>
              <w:left w:val="single" w:color="auto" w:sz="4" w:space="0"/>
              <w:bottom w:val="single" w:color="000000" w:sz="4" w:space="0"/>
              <w:right w:val="single" w:color="auto" w:sz="4" w:space="0"/>
            </w:tcBorders>
            <w:vAlign w:val="center"/>
          </w:tcPr>
          <w:p w14:paraId="52F8A757">
            <w:pPr>
              <w:widowControl/>
              <w:jc w:val="left"/>
              <w:rPr>
                <w:rFonts w:ascii="宋体" w:hAnsi="宋体" w:cs="宋体"/>
                <w:color w:val="000000"/>
                <w:kern w:val="0"/>
                <w:sz w:val="20"/>
                <w:szCs w:val="20"/>
              </w:rPr>
            </w:pPr>
          </w:p>
        </w:tc>
        <w:tc>
          <w:tcPr>
            <w:tcW w:w="413" w:type="pct"/>
            <w:tcBorders>
              <w:top w:val="nil"/>
              <w:left w:val="nil"/>
              <w:bottom w:val="single" w:color="auto" w:sz="4" w:space="0"/>
              <w:right w:val="single" w:color="auto" w:sz="4" w:space="0"/>
            </w:tcBorders>
            <w:vAlign w:val="center"/>
          </w:tcPr>
          <w:p w14:paraId="49752762">
            <w:pPr>
              <w:widowControl/>
              <w:rPr>
                <w:rFonts w:ascii="宋体" w:hAnsi="宋体" w:cs="宋体"/>
                <w:color w:val="000000"/>
                <w:kern w:val="0"/>
                <w:sz w:val="20"/>
                <w:szCs w:val="20"/>
              </w:rPr>
            </w:pPr>
            <w:r>
              <w:rPr>
                <w:rFonts w:hint="eastAsia" w:ascii="宋体" w:hAnsi="宋体" w:cs="宋体"/>
                <w:color w:val="000000"/>
                <w:kern w:val="0"/>
                <w:sz w:val="20"/>
                <w:szCs w:val="20"/>
              </w:rPr>
              <w:t>部门预决算差异率（4）</w:t>
            </w:r>
          </w:p>
        </w:tc>
        <w:tc>
          <w:tcPr>
            <w:tcW w:w="729" w:type="pct"/>
            <w:gridSpan w:val="2"/>
            <w:tcBorders>
              <w:top w:val="single" w:color="auto" w:sz="4" w:space="0"/>
              <w:left w:val="nil"/>
              <w:bottom w:val="single" w:color="auto" w:sz="4" w:space="0"/>
              <w:right w:val="nil"/>
            </w:tcBorders>
            <w:vAlign w:val="center"/>
          </w:tcPr>
          <w:p w14:paraId="03217FF2">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318" w:type="pct"/>
            <w:tcBorders>
              <w:top w:val="nil"/>
              <w:left w:val="single" w:color="auto" w:sz="4" w:space="0"/>
              <w:bottom w:val="single" w:color="auto" w:sz="4" w:space="0"/>
              <w:right w:val="single" w:color="auto" w:sz="4" w:space="0"/>
            </w:tcBorders>
            <w:vAlign w:val="center"/>
          </w:tcPr>
          <w:p w14:paraId="7B601057">
            <w:pPr>
              <w:widowControl/>
              <w:jc w:val="left"/>
              <w:rPr>
                <w:rFonts w:ascii="宋体" w:hAnsi="宋体" w:cs="宋体"/>
                <w:color w:val="000000"/>
                <w:kern w:val="0"/>
                <w:sz w:val="20"/>
                <w:szCs w:val="20"/>
              </w:rPr>
            </w:pPr>
            <w:r>
              <w:rPr>
                <w:rFonts w:hint="eastAsia" w:ascii="宋体" w:hAnsi="宋体" w:cs="宋体"/>
                <w:color w:val="000000"/>
                <w:kern w:val="0"/>
                <w:sz w:val="20"/>
                <w:szCs w:val="20"/>
              </w:rPr>
              <w:t>　8</w:t>
            </w:r>
            <w:r>
              <w:rPr>
                <w:rFonts w:ascii="宋体" w:hAnsi="宋体" w:cs="宋体"/>
                <w:color w:val="000000"/>
                <w:kern w:val="0"/>
                <w:sz w:val="20"/>
                <w:szCs w:val="20"/>
              </w:rPr>
              <w:t>.94</w:t>
            </w:r>
            <w:r>
              <w:rPr>
                <w:rFonts w:hint="eastAsia" w:ascii="宋体" w:hAnsi="宋体" w:cs="宋体"/>
                <w:color w:val="000000"/>
                <w:kern w:val="0"/>
                <w:sz w:val="20"/>
                <w:szCs w:val="20"/>
              </w:rPr>
              <w:t>%</w:t>
            </w:r>
          </w:p>
        </w:tc>
        <w:tc>
          <w:tcPr>
            <w:tcW w:w="312" w:type="pct"/>
            <w:tcBorders>
              <w:top w:val="nil"/>
              <w:left w:val="nil"/>
              <w:bottom w:val="single" w:color="auto" w:sz="4" w:space="0"/>
              <w:right w:val="single" w:color="auto" w:sz="4" w:space="0"/>
            </w:tcBorders>
            <w:vAlign w:val="center"/>
          </w:tcPr>
          <w:p w14:paraId="7A5E0BDE">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12" w:type="pct"/>
            <w:tcBorders>
              <w:top w:val="nil"/>
              <w:left w:val="nil"/>
              <w:bottom w:val="single" w:color="auto" w:sz="4" w:space="0"/>
              <w:right w:val="nil"/>
            </w:tcBorders>
            <w:vAlign w:val="center"/>
          </w:tcPr>
          <w:p w14:paraId="077257D1">
            <w:pPr>
              <w:widowControl/>
              <w:jc w:val="center"/>
              <w:rPr>
                <w:rFonts w:ascii="宋体" w:hAnsi="宋体" w:cs="宋体"/>
                <w:color w:val="000000"/>
                <w:kern w:val="0"/>
                <w:sz w:val="20"/>
                <w:szCs w:val="20"/>
              </w:rPr>
            </w:pPr>
            <w:r>
              <w:rPr>
                <w:rFonts w:hint="eastAsia" w:ascii="宋体" w:hAnsi="宋体" w:cs="宋体"/>
                <w:color w:val="000000"/>
                <w:kern w:val="0"/>
                <w:sz w:val="20"/>
                <w:szCs w:val="20"/>
              </w:rPr>
              <w:t>　3</w:t>
            </w:r>
          </w:p>
        </w:tc>
        <w:tc>
          <w:tcPr>
            <w:tcW w:w="1269" w:type="pct"/>
            <w:tcBorders>
              <w:top w:val="nil"/>
              <w:left w:val="single" w:color="auto" w:sz="4" w:space="0"/>
              <w:bottom w:val="single" w:color="auto" w:sz="4" w:space="0"/>
              <w:right w:val="single" w:color="auto" w:sz="4" w:space="0"/>
            </w:tcBorders>
            <w:vAlign w:val="center"/>
          </w:tcPr>
          <w:p w14:paraId="54EF6E91">
            <w:pPr>
              <w:widowControl/>
              <w:jc w:val="left"/>
              <w:rPr>
                <w:rFonts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1234" w:type="pct"/>
            <w:tcBorders>
              <w:top w:val="nil"/>
              <w:left w:val="nil"/>
              <w:bottom w:val="single" w:color="auto" w:sz="4" w:space="0"/>
              <w:right w:val="single" w:color="auto" w:sz="4" w:space="0"/>
            </w:tcBorders>
            <w:vAlign w:val="center"/>
          </w:tcPr>
          <w:p w14:paraId="4CFF4ED2">
            <w:pPr>
              <w:widowControl/>
              <w:jc w:val="left"/>
              <w:rPr>
                <w:rFonts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14:paraId="1F92E93C">
        <w:tblPrEx>
          <w:tblCellMar>
            <w:top w:w="0" w:type="dxa"/>
            <w:left w:w="108" w:type="dxa"/>
            <w:bottom w:w="0" w:type="dxa"/>
            <w:right w:w="108" w:type="dxa"/>
          </w:tblCellMar>
        </w:tblPrEx>
        <w:trPr>
          <w:cantSplit/>
          <w:trHeight w:val="484" w:hRule="atLeast"/>
        </w:trPr>
        <w:tc>
          <w:tcPr>
            <w:tcW w:w="1873" w:type="pct"/>
            <w:gridSpan w:val="5"/>
            <w:tcBorders>
              <w:top w:val="single" w:color="auto" w:sz="4" w:space="0"/>
              <w:left w:val="single" w:color="auto" w:sz="4" w:space="0"/>
              <w:bottom w:val="single" w:color="auto" w:sz="4" w:space="0"/>
              <w:right w:val="single" w:color="auto" w:sz="4" w:space="0"/>
            </w:tcBorders>
            <w:vAlign w:val="center"/>
          </w:tcPr>
          <w:p w14:paraId="020A1E2E">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312" w:type="pct"/>
            <w:tcBorders>
              <w:top w:val="nil"/>
              <w:left w:val="nil"/>
              <w:bottom w:val="single" w:color="auto" w:sz="4" w:space="0"/>
              <w:right w:val="single" w:color="auto" w:sz="4" w:space="0"/>
            </w:tcBorders>
            <w:vAlign w:val="center"/>
          </w:tcPr>
          <w:p w14:paraId="17ED6CAA">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312" w:type="pct"/>
            <w:tcBorders>
              <w:top w:val="nil"/>
              <w:left w:val="nil"/>
              <w:bottom w:val="single" w:color="auto" w:sz="4" w:space="0"/>
              <w:right w:val="nil"/>
            </w:tcBorders>
            <w:vAlign w:val="center"/>
          </w:tcPr>
          <w:p w14:paraId="451D26D1">
            <w:pPr>
              <w:widowControl/>
              <w:jc w:val="center"/>
              <w:rPr>
                <w:rFonts w:ascii="宋体" w:hAnsi="宋体" w:cs="宋体"/>
                <w:color w:val="000000"/>
                <w:kern w:val="0"/>
                <w:sz w:val="20"/>
                <w:szCs w:val="20"/>
              </w:rPr>
            </w:pPr>
            <w:r>
              <w:rPr>
                <w:rFonts w:hint="eastAsia" w:ascii="宋体" w:hAnsi="宋体" w:cs="宋体"/>
                <w:color w:val="000000"/>
                <w:kern w:val="0"/>
                <w:sz w:val="20"/>
                <w:szCs w:val="20"/>
              </w:rPr>
              <w:t>　95.39</w:t>
            </w:r>
          </w:p>
        </w:tc>
        <w:tc>
          <w:tcPr>
            <w:tcW w:w="2503" w:type="pct"/>
            <w:gridSpan w:val="2"/>
            <w:tcBorders>
              <w:top w:val="single" w:color="auto" w:sz="4" w:space="0"/>
              <w:left w:val="single" w:color="auto" w:sz="4" w:space="0"/>
              <w:bottom w:val="single" w:color="auto" w:sz="4" w:space="0"/>
              <w:right w:val="single" w:color="000000" w:sz="4" w:space="0"/>
            </w:tcBorders>
            <w:vAlign w:val="center"/>
          </w:tcPr>
          <w:p w14:paraId="0A2F34BE">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bl>
    <w:p w14:paraId="607B97DA">
      <w:pPr>
        <w:spacing w:line="20" w:lineRule="exact"/>
        <w:rPr>
          <w:rFonts w:ascii="方正小标宋简体" w:eastAsia="方正小标宋简体"/>
          <w:sz w:val="36"/>
          <w:szCs w:val="36"/>
        </w:rPr>
      </w:pPr>
    </w:p>
    <w:sectPr>
      <w:footerReference r:id="rId4" w:type="default"/>
      <w:pgSz w:w="16838" w:h="11906" w:orient="landscape"/>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4EC2C">
    <w:pPr>
      <w:pStyle w:val="5"/>
      <w:ind w:firstLine="360"/>
      <w:jc w:val="center"/>
      <w:rPr>
        <w:sz w:val="21"/>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56B89C">
                          <w:pPr>
                            <w:pStyle w:val="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656B89C">
                    <w:pPr>
                      <w:pStyle w:val="5"/>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18ACC">
    <w:pPr>
      <w:pStyle w:val="5"/>
      <w:jc w:val="right"/>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24B7E">
                          <w:pPr>
                            <w:pStyle w:val="5"/>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7024B7E">
                    <w:pPr>
                      <w:pStyle w:val="5"/>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77F09F4"/>
    <w:rsid w:val="00001A75"/>
    <w:rsid w:val="00047348"/>
    <w:rsid w:val="00077447"/>
    <w:rsid w:val="000C7E1A"/>
    <w:rsid w:val="002278EE"/>
    <w:rsid w:val="00254543"/>
    <w:rsid w:val="0027300F"/>
    <w:rsid w:val="002813EE"/>
    <w:rsid w:val="002A2D89"/>
    <w:rsid w:val="002D1F05"/>
    <w:rsid w:val="002F51DD"/>
    <w:rsid w:val="0033785A"/>
    <w:rsid w:val="00344DB0"/>
    <w:rsid w:val="00394F14"/>
    <w:rsid w:val="003A0AD9"/>
    <w:rsid w:val="003D67B4"/>
    <w:rsid w:val="003E56E3"/>
    <w:rsid w:val="00471761"/>
    <w:rsid w:val="00475740"/>
    <w:rsid w:val="00514CEE"/>
    <w:rsid w:val="00632669"/>
    <w:rsid w:val="006774F6"/>
    <w:rsid w:val="00686AD8"/>
    <w:rsid w:val="006C426D"/>
    <w:rsid w:val="006E3009"/>
    <w:rsid w:val="0070493E"/>
    <w:rsid w:val="0076531E"/>
    <w:rsid w:val="007665CB"/>
    <w:rsid w:val="007A61E0"/>
    <w:rsid w:val="00821E81"/>
    <w:rsid w:val="00885CF3"/>
    <w:rsid w:val="0096264D"/>
    <w:rsid w:val="009863B4"/>
    <w:rsid w:val="0099737B"/>
    <w:rsid w:val="009D4462"/>
    <w:rsid w:val="00A52948"/>
    <w:rsid w:val="00A72356"/>
    <w:rsid w:val="00A9415B"/>
    <w:rsid w:val="00B04D73"/>
    <w:rsid w:val="00B30C3F"/>
    <w:rsid w:val="00BC28F3"/>
    <w:rsid w:val="00BE218E"/>
    <w:rsid w:val="00BF7FFC"/>
    <w:rsid w:val="00C03D04"/>
    <w:rsid w:val="00C74794"/>
    <w:rsid w:val="00CC025A"/>
    <w:rsid w:val="00CC27CC"/>
    <w:rsid w:val="00CE56A4"/>
    <w:rsid w:val="00D0704D"/>
    <w:rsid w:val="00D40ECF"/>
    <w:rsid w:val="00D4560E"/>
    <w:rsid w:val="00D6350E"/>
    <w:rsid w:val="00D64A32"/>
    <w:rsid w:val="00D7695E"/>
    <w:rsid w:val="00E63212"/>
    <w:rsid w:val="00E949CE"/>
    <w:rsid w:val="00FC7311"/>
    <w:rsid w:val="15067FEF"/>
    <w:rsid w:val="175F53D8"/>
    <w:rsid w:val="37173543"/>
    <w:rsid w:val="3FDBA076"/>
    <w:rsid w:val="3FDFB3F0"/>
    <w:rsid w:val="3FDFC9A6"/>
    <w:rsid w:val="3FF76880"/>
    <w:rsid w:val="5BFD4AC2"/>
    <w:rsid w:val="67759716"/>
    <w:rsid w:val="6F7ED27B"/>
    <w:rsid w:val="75B17A7C"/>
    <w:rsid w:val="7AB7FF50"/>
    <w:rsid w:val="7AEAF641"/>
    <w:rsid w:val="7BAD2729"/>
    <w:rsid w:val="7BFEB0DB"/>
    <w:rsid w:val="7FFF4E81"/>
    <w:rsid w:val="7FFFD0D3"/>
    <w:rsid w:val="8716660E"/>
    <w:rsid w:val="A3AA735E"/>
    <w:rsid w:val="A75D4892"/>
    <w:rsid w:val="AFFFCE02"/>
    <w:rsid w:val="CEFD3F3D"/>
    <w:rsid w:val="D6B22E60"/>
    <w:rsid w:val="EA3F77F2"/>
    <w:rsid w:val="EEFE5989"/>
    <w:rsid w:val="EFCF3EAE"/>
    <w:rsid w:val="F4FDEB06"/>
    <w:rsid w:val="F5B764A2"/>
    <w:rsid w:val="F77F09F4"/>
    <w:rsid w:val="FBFF6E65"/>
    <w:rsid w:val="FEEF6AA0"/>
    <w:rsid w:val="FFB792B8"/>
    <w:rsid w:val="FFD7BFFC"/>
    <w:rsid w:val="FFFA6B0F"/>
    <w:rsid w:val="FFFFB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line="600" w:lineRule="exact"/>
      <w:ind w:firstLine="640"/>
      <w:outlineLvl w:val="0"/>
    </w:pPr>
    <w:rPr>
      <w:rFonts w:ascii="黑体" w:hAnsi="黑体" w:eastAsia="黑体" w:cs="宋体"/>
      <w:color w:val="000000"/>
      <w:kern w:val="0"/>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列出段落1"/>
    <w:basedOn w:val="1"/>
    <w:qFormat/>
    <w:uiPriority w:val="34"/>
    <w:pPr>
      <w:ind w:firstLine="420" w:firstLineChars="200"/>
    </w:pPr>
    <w:rPr>
      <w:rFonts w:ascii="Calibri" w:hAnsi="Calibri" w:cs="黑体"/>
      <w:szCs w:val="22"/>
    </w:rPr>
  </w:style>
  <w:style w:type="character" w:customStyle="1" w:styleId="10">
    <w:name w:val="NormalCharacter"/>
    <w:qFormat/>
    <w:uiPriority w:val="0"/>
    <w:rPr>
      <w:kern w:val="2"/>
      <w:sz w:val="21"/>
      <w:szCs w:val="22"/>
      <w:lang w:val="en-US" w:eastAsia="zh-CN" w:bidi="ar-SA"/>
    </w:rPr>
  </w:style>
  <w:style w:type="character" w:customStyle="1" w:styleId="11">
    <w:name w:val="批注框文本 Char"/>
    <w:basedOn w:val="8"/>
    <w:link w:val="4"/>
    <w:semiHidden/>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5286</Words>
  <Characters>5586</Characters>
  <Lines>61</Lines>
  <Paragraphs>17</Paragraphs>
  <TotalTime>58</TotalTime>
  <ScaleCrop>false</ScaleCrop>
  <LinksUpToDate>false</LinksUpToDate>
  <CharactersWithSpaces>5586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2023-05-30T06:58:00Z</dcterms:created>
  <dc:creator>user</dc:creator>
  <cp:lastModifiedBy>苏坡云☁️</cp:lastModifiedBy>
  <cp:lastPrinted>2023-08-16T08:27:00Z</cp:lastPrinted>
  <dcterms:modified xsi:type="dcterms:W3CDTF">2025-06-06T08:44:13Z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eyJoZGlkIjoiNGIyYTFhY2FhY2RjN2E2ZjE5YjM5MTEwYTMzNTI3ZmUiLCJ1c2VySWQiOiI3NjEzMzMyNDYifQ==</vt:lpwstr>
  </property>
  <property fmtid="{D5CDD505-2E9C-101B-9397-08002B2CF9AE}" pid="4" name="ICV">
    <vt:lpwstr>898F5931033148AAB79699994345BA82_12</vt:lpwstr>
  </property>
</Properties>
</file>