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val="0"/>
        <w:suppressLineNumbers w:val="0"/>
        <w:spacing w:before="0" w:beforeAutospacing="0" w:after="0" w:afterAutospacing="0" w:line="480" w:lineRule="exact"/>
        <w:ind w:left="0" w:right="0"/>
        <w:jc w:val="both"/>
        <w:rPr>
          <w:rFonts w:hint="eastAsia" w:ascii="黑体" w:hAnsi="宋体" w:eastAsia="黑体" w:cs="黑体"/>
          <w:kern w:val="2"/>
          <w:sz w:val="32"/>
          <w:szCs w:val="32"/>
        </w:rPr>
      </w:pPr>
      <w:r>
        <w:rPr>
          <w:rFonts w:hint="eastAsia" w:ascii="黑体" w:hAnsi="宋体" w:eastAsia="黑体" w:cs="黑体"/>
          <w:kern w:val="2"/>
          <w:sz w:val="32"/>
          <w:szCs w:val="32"/>
          <w:lang w:val="en-US" w:eastAsia="zh-CN" w:bidi="ar"/>
        </w:rPr>
        <w:t xml:space="preserve">     </w:t>
      </w:r>
    </w:p>
    <w:p>
      <w:pPr>
        <w:keepNext w:val="0"/>
        <w:keepLines w:val="0"/>
        <w:widowControl w:val="0"/>
        <w:suppressLineNumbers w:val="0"/>
        <w:spacing w:before="0" w:beforeAutospacing="0" w:after="0" w:afterAutospacing="0" w:line="480" w:lineRule="exact"/>
        <w:ind w:left="0" w:right="0"/>
        <w:jc w:val="both"/>
        <w:rPr>
          <w:rFonts w:hint="default" w:ascii="方正小标宋简体" w:hAnsi="宋体" w:eastAsia="方正小标宋简体" w:cs="方正小标宋简体"/>
          <w:kern w:val="2"/>
          <w:sz w:val="36"/>
          <w:szCs w:val="36"/>
        </w:rPr>
      </w:pPr>
      <w:r>
        <w:rPr>
          <w:rFonts w:hint="default" w:ascii="方正小标宋简体" w:hAnsi="Times New Roman" w:eastAsia="方正小标宋简体" w:cs="方正小标宋简体"/>
          <w:kern w:val="2"/>
          <w:sz w:val="36"/>
          <w:szCs w:val="36"/>
          <w:lang w:val="en-US" w:eastAsia="zh-CN" w:bidi="ar"/>
        </w:rPr>
        <w:t xml:space="preserve">                </w:t>
      </w:r>
      <w:r>
        <w:rPr>
          <w:rFonts w:hint="default" w:ascii="方正小标宋简体" w:hAnsi="方正小标宋简体" w:eastAsia="方正小标宋简体" w:cs="方正小标宋简体"/>
          <w:kern w:val="2"/>
          <w:sz w:val="36"/>
          <w:szCs w:val="36"/>
          <w:lang w:val="en-US" w:eastAsia="zh-CN" w:bidi="ar"/>
        </w:rPr>
        <w:t>项目支出绩效自评表</w:t>
      </w:r>
    </w:p>
    <w:p>
      <w:pPr>
        <w:keepNext w:val="0"/>
        <w:keepLines w:val="0"/>
        <w:widowControl w:val="0"/>
        <w:suppressLineNumbers w:val="0"/>
        <w:spacing w:before="0" w:beforeAutospacing="0" w:after="0" w:afterAutospacing="0" w:line="480" w:lineRule="exact"/>
        <w:ind w:left="0" w:right="0"/>
        <w:jc w:val="both"/>
        <w:rPr>
          <w:rFonts w:hint="default" w:ascii="仿宋_GB2312" w:hAnsi="宋体" w:eastAsia="仿宋_GB2312" w:cs="仿宋_GB2312"/>
          <w:kern w:val="2"/>
          <w:sz w:val="28"/>
          <w:szCs w:val="28"/>
        </w:rPr>
      </w:pPr>
      <w:r>
        <w:rPr>
          <w:rFonts w:hint="default" w:ascii="仿宋_GB2312" w:hAnsi="Times New Roman" w:eastAsia="仿宋_GB2312" w:cs="仿宋_GB2312"/>
          <w:kern w:val="2"/>
          <w:sz w:val="28"/>
          <w:szCs w:val="28"/>
          <w:lang w:val="en-US" w:eastAsia="zh-CN" w:bidi="ar"/>
        </w:rPr>
        <w:t xml:space="preserve">                     </w:t>
      </w:r>
      <w:r>
        <w:rPr>
          <w:rFonts w:hint="default" w:ascii="仿宋_GB2312" w:hAnsi="宋体" w:eastAsia="仿宋_GB2312" w:cs="仿宋_GB2312"/>
          <w:kern w:val="2"/>
          <w:sz w:val="28"/>
          <w:szCs w:val="28"/>
          <w:lang w:val="en-US" w:eastAsia="zh-CN" w:bidi="ar"/>
        </w:rPr>
        <w:t xml:space="preserve">    （202</w:t>
      </w:r>
      <w:r>
        <w:rPr>
          <w:rFonts w:hint="eastAsia" w:ascii="仿宋_GB2312" w:hAnsi="宋体" w:cs="仿宋_GB2312"/>
          <w:kern w:val="2"/>
          <w:sz w:val="28"/>
          <w:szCs w:val="28"/>
          <w:lang w:val="en-US" w:eastAsia="zh-CN" w:bidi="ar"/>
        </w:rPr>
        <w:t>2</w:t>
      </w:r>
      <w:bookmarkStart w:id="0" w:name="_GoBack"/>
      <w:bookmarkEnd w:id="0"/>
      <w:r>
        <w:rPr>
          <w:rFonts w:hint="default" w:ascii="仿宋_GB2312" w:hAnsi="宋体" w:eastAsia="仿宋_GB2312" w:cs="仿宋_GB2312"/>
          <w:kern w:val="2"/>
          <w:sz w:val="28"/>
          <w:szCs w:val="28"/>
          <w:lang w:val="en-US" w:eastAsia="zh-CN" w:bidi="ar"/>
        </w:rPr>
        <w:t>年度）</w:t>
      </w:r>
    </w:p>
    <w:p>
      <w:pPr>
        <w:keepNext w:val="0"/>
        <w:keepLines w:val="0"/>
        <w:widowControl w:val="0"/>
        <w:suppressLineNumbers w:val="0"/>
        <w:spacing w:before="0" w:beforeAutospacing="0" w:after="0" w:afterAutospacing="0" w:line="240" w:lineRule="exact"/>
        <w:ind w:left="0" w:right="0"/>
        <w:jc w:val="both"/>
        <w:rPr>
          <w:rFonts w:hint="default" w:ascii="仿宋_GB2312" w:hAnsi="宋体" w:eastAsia="仿宋_GB2312" w:cs="仿宋_GB2312"/>
          <w:kern w:val="2"/>
          <w:sz w:val="30"/>
          <w:szCs w:val="30"/>
        </w:rPr>
      </w:pPr>
      <w:r>
        <w:rPr>
          <w:rFonts w:hint="default" w:ascii="仿宋_GB2312" w:hAnsi="宋体" w:eastAsia="仿宋_GB2312" w:cs="仿宋_GB2312"/>
          <w:kern w:val="2"/>
          <w:sz w:val="30"/>
          <w:szCs w:val="30"/>
          <w:lang w:val="en-US" w:eastAsia="zh-CN" w:bidi="ar"/>
        </w:rPr>
        <w:t xml:space="preserve"> </w:t>
      </w:r>
    </w:p>
    <w:tbl>
      <w:tblPr>
        <w:tblStyle w:val="2"/>
        <w:tblW w:w="9038"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585"/>
        <w:gridCol w:w="975"/>
        <w:gridCol w:w="1105"/>
        <w:gridCol w:w="727"/>
        <w:gridCol w:w="1127"/>
        <w:gridCol w:w="283"/>
        <w:gridCol w:w="849"/>
        <w:gridCol w:w="848"/>
        <w:gridCol w:w="279"/>
        <w:gridCol w:w="284"/>
        <w:gridCol w:w="420"/>
        <w:gridCol w:w="143"/>
        <w:gridCol w:w="703"/>
        <w:gridCol w:w="7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项目名称</w:t>
            </w:r>
          </w:p>
        </w:tc>
        <w:tc>
          <w:tcPr>
            <w:tcW w:w="7478" w:type="dxa"/>
            <w:gridSpan w:val="1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学生资助-中职国家助学金</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主管部门</w:t>
            </w:r>
          </w:p>
        </w:tc>
        <w:tc>
          <w:tcPr>
            <w:tcW w:w="4091"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北京市教育委员会</w:t>
            </w:r>
          </w:p>
        </w:tc>
        <w:tc>
          <w:tcPr>
            <w:tcW w:w="112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实施单位</w:t>
            </w:r>
          </w:p>
        </w:tc>
        <w:tc>
          <w:tcPr>
            <w:tcW w:w="2260"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北京铁路电气化学校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1560" w:type="dxa"/>
            <w:gridSpan w:val="2"/>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项目负责人</w:t>
            </w:r>
          </w:p>
        </w:tc>
        <w:tc>
          <w:tcPr>
            <w:tcW w:w="4091"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eastAsia"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黄丽娟</w:t>
            </w:r>
          </w:p>
        </w:tc>
        <w:tc>
          <w:tcPr>
            <w:tcW w:w="112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联系电话</w:t>
            </w:r>
          </w:p>
        </w:tc>
        <w:tc>
          <w:tcPr>
            <w:tcW w:w="2260" w:type="dxa"/>
            <w:gridSpan w:val="5"/>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60797798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560" w:type="dxa"/>
            <w:gridSpan w:val="2"/>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项目资金</w:t>
            </w:r>
            <w:r>
              <w:rPr>
                <w:rFonts w:hint="default" w:ascii="宋体" w:hAnsi="宋体" w:eastAsia="宋体" w:cs="宋体"/>
                <w:i w:val="0"/>
                <w:iCs w:val="0"/>
                <w:color w:val="000000"/>
                <w:kern w:val="0"/>
                <w:sz w:val="22"/>
                <w:szCs w:val="22"/>
                <w:highlight w:val="none"/>
                <w:u w:val="none"/>
                <w:lang w:val="en-US" w:eastAsia="zh-CN" w:bidi="ar"/>
              </w:rPr>
              <w:br w:type="textWrapping"/>
            </w:r>
            <w:r>
              <w:rPr>
                <w:rFonts w:hint="default" w:ascii="宋体" w:hAnsi="宋体" w:eastAsia="宋体" w:cs="宋体"/>
                <w:i w:val="0"/>
                <w:iCs w:val="0"/>
                <w:color w:val="000000"/>
                <w:kern w:val="0"/>
                <w:sz w:val="22"/>
                <w:szCs w:val="22"/>
                <w:highlight w:val="none"/>
                <w:u w:val="none"/>
                <w:lang w:val="en-US" w:eastAsia="zh-CN" w:bidi="ar"/>
              </w:rPr>
              <w:t>（万元）</w:t>
            </w: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年初预</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算数</w:t>
            </w:r>
          </w:p>
        </w:tc>
        <w:tc>
          <w:tcPr>
            <w:tcW w:w="113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全年预</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算数</w:t>
            </w:r>
          </w:p>
        </w:tc>
        <w:tc>
          <w:tcPr>
            <w:tcW w:w="112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全年</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执行数</w:t>
            </w:r>
          </w:p>
        </w:tc>
        <w:tc>
          <w:tcPr>
            <w:tcW w:w="70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分值</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执行率</w:t>
            </w:r>
          </w:p>
        </w:tc>
        <w:tc>
          <w:tcPr>
            <w:tcW w:w="7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1560" w:type="dxa"/>
            <w:gridSpan w:val="2"/>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年度资金总额</w:t>
            </w:r>
          </w:p>
        </w:tc>
        <w:tc>
          <w:tcPr>
            <w:tcW w:w="1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8.75</w:t>
            </w:r>
          </w:p>
        </w:tc>
        <w:tc>
          <w:tcPr>
            <w:tcW w:w="113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8.75</w:t>
            </w:r>
          </w:p>
        </w:tc>
        <w:tc>
          <w:tcPr>
            <w:tcW w:w="112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8.75</w:t>
            </w:r>
          </w:p>
        </w:tc>
        <w:tc>
          <w:tcPr>
            <w:tcW w:w="70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10</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7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1" w:hRule="atLeast"/>
          <w:jc w:val="center"/>
        </w:trPr>
        <w:tc>
          <w:tcPr>
            <w:tcW w:w="1560" w:type="dxa"/>
            <w:gridSpan w:val="2"/>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其中：当年财政</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拨款</w:t>
            </w:r>
          </w:p>
        </w:tc>
        <w:tc>
          <w:tcPr>
            <w:tcW w:w="1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8.75</w:t>
            </w:r>
          </w:p>
        </w:tc>
        <w:tc>
          <w:tcPr>
            <w:tcW w:w="113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8.75</w:t>
            </w:r>
          </w:p>
        </w:tc>
        <w:tc>
          <w:tcPr>
            <w:tcW w:w="112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8.75</w:t>
            </w:r>
          </w:p>
        </w:tc>
        <w:tc>
          <w:tcPr>
            <w:tcW w:w="70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7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7" w:hRule="atLeast"/>
          <w:jc w:val="center"/>
        </w:trPr>
        <w:tc>
          <w:tcPr>
            <w:tcW w:w="1560" w:type="dxa"/>
            <w:gridSpan w:val="2"/>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 xml:space="preserve">      上年结转资金</w:t>
            </w:r>
          </w:p>
        </w:tc>
        <w:tc>
          <w:tcPr>
            <w:tcW w:w="1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13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12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70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7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1560" w:type="dxa"/>
            <w:gridSpan w:val="2"/>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832"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 xml:space="preserve">  其他资金</w:t>
            </w:r>
          </w:p>
        </w:tc>
        <w:tc>
          <w:tcPr>
            <w:tcW w:w="1127"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132"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1127"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704" w:type="dxa"/>
            <w:gridSpan w:val="2"/>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w:t>
            </w:r>
          </w:p>
        </w:tc>
        <w:tc>
          <w:tcPr>
            <w:tcW w:w="846"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710"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48" w:hRule="atLeast"/>
          <w:jc w:val="center"/>
        </w:trPr>
        <w:tc>
          <w:tcPr>
            <w:tcW w:w="585"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年度总体目标</w:t>
            </w:r>
          </w:p>
        </w:tc>
        <w:tc>
          <w:tcPr>
            <w:tcW w:w="5066" w:type="dxa"/>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预期目标</w:t>
            </w:r>
          </w:p>
        </w:tc>
        <w:tc>
          <w:tcPr>
            <w:tcW w:w="3387" w:type="dxa"/>
            <w:gridSpan w:val="7"/>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实际完成情况</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97" w:hRule="atLeast"/>
          <w:jc w:val="center"/>
        </w:trPr>
        <w:tc>
          <w:tcPr>
            <w:tcW w:w="585"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5066" w:type="dxa"/>
            <w:gridSpan w:val="6"/>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为我校全日制学历教育具有正式学籍的涉农专业学生和家庭经济困难学生发放助学金。遵照《北京市教育委员会等六部门关于印发&lt;北京市高等教育、中等职业教育、普通高中学生资助资金管理实施办法&gt;的通知》（京教财〔2020〕22号）规定的标准发放助学金，一等助学金每生每学年2500元，二等助学金每生每学年1800元。该项目完成后：进一步改善教育民生，促进教育公平，保证教育教学的正常的进行。</w:t>
            </w:r>
          </w:p>
        </w:tc>
        <w:tc>
          <w:tcPr>
            <w:tcW w:w="3387" w:type="dxa"/>
            <w:gridSpan w:val="7"/>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遵照《北京市教育委员会等六部门关于印发&lt;北京市高等教育、中等职业教育、普通高中学生资助资金管理实施办法&gt;的通知》（京教财〔2020〕22号）</w:t>
            </w:r>
            <w:r>
              <w:rPr>
                <w:rFonts w:hint="eastAsia" w:ascii="宋体" w:hAnsi="宋体" w:eastAsia="宋体" w:cs="宋体"/>
                <w:i w:val="0"/>
                <w:iCs w:val="0"/>
                <w:color w:val="000000"/>
                <w:kern w:val="0"/>
                <w:sz w:val="22"/>
                <w:szCs w:val="22"/>
                <w:highlight w:val="none"/>
                <w:u w:val="none"/>
                <w:lang w:val="en-US" w:eastAsia="zh-CN" w:bidi="ar"/>
              </w:rPr>
              <w:t>，完成了</w:t>
            </w:r>
            <w:r>
              <w:rPr>
                <w:rFonts w:hint="default" w:ascii="宋体" w:hAnsi="宋体" w:eastAsia="宋体" w:cs="宋体"/>
                <w:i w:val="0"/>
                <w:iCs w:val="0"/>
                <w:color w:val="000000"/>
                <w:kern w:val="0"/>
                <w:sz w:val="22"/>
                <w:szCs w:val="22"/>
                <w:highlight w:val="none"/>
                <w:u w:val="none"/>
                <w:lang w:val="en-US" w:eastAsia="zh-CN" w:bidi="ar"/>
              </w:rPr>
              <w:t>我校全日制学历教育具有正式学籍的涉农专业学生和家庭经济困难学生</w:t>
            </w:r>
            <w:r>
              <w:rPr>
                <w:rFonts w:hint="eastAsia" w:ascii="宋体" w:hAnsi="宋体" w:eastAsia="宋体" w:cs="宋体"/>
                <w:i w:val="0"/>
                <w:iCs w:val="0"/>
                <w:color w:val="000000"/>
                <w:kern w:val="0"/>
                <w:sz w:val="22"/>
                <w:szCs w:val="22"/>
                <w:highlight w:val="none"/>
                <w:u w:val="none"/>
                <w:lang w:val="en-US" w:eastAsia="zh-CN" w:bidi="ar"/>
              </w:rPr>
              <w:t>的助学金发放，促进了教育公平，保证了教育教学的正常进行。</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30" w:hRule="atLeast"/>
          <w:jc w:val="center"/>
        </w:trPr>
        <w:tc>
          <w:tcPr>
            <w:tcW w:w="585" w:type="dxa"/>
            <w:vMerge w:val="restart"/>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绩</w:t>
            </w:r>
            <w:r>
              <w:rPr>
                <w:rFonts w:hint="default" w:ascii="宋体" w:hAnsi="宋体" w:eastAsia="宋体" w:cs="宋体"/>
                <w:i w:val="0"/>
                <w:iCs w:val="0"/>
                <w:color w:val="000000"/>
                <w:kern w:val="0"/>
                <w:sz w:val="22"/>
                <w:szCs w:val="22"/>
                <w:highlight w:val="none"/>
                <w:u w:val="none"/>
                <w:lang w:val="en-US" w:eastAsia="zh-CN" w:bidi="ar"/>
              </w:rPr>
              <w:br w:type="textWrapping"/>
            </w:r>
            <w:r>
              <w:rPr>
                <w:rFonts w:hint="default" w:ascii="宋体" w:hAnsi="宋体" w:eastAsia="宋体" w:cs="宋体"/>
                <w:i w:val="0"/>
                <w:iCs w:val="0"/>
                <w:color w:val="000000"/>
                <w:kern w:val="0"/>
                <w:sz w:val="22"/>
                <w:szCs w:val="22"/>
                <w:highlight w:val="none"/>
                <w:u w:val="none"/>
                <w:lang w:val="en-US" w:eastAsia="zh-CN" w:bidi="ar"/>
              </w:rPr>
              <w:t>效</w:t>
            </w:r>
            <w:r>
              <w:rPr>
                <w:rFonts w:hint="default" w:ascii="宋体" w:hAnsi="宋体" w:eastAsia="宋体" w:cs="宋体"/>
                <w:i w:val="0"/>
                <w:iCs w:val="0"/>
                <w:color w:val="000000"/>
                <w:kern w:val="0"/>
                <w:sz w:val="22"/>
                <w:szCs w:val="22"/>
                <w:highlight w:val="none"/>
                <w:u w:val="none"/>
                <w:lang w:val="en-US" w:eastAsia="zh-CN" w:bidi="ar"/>
              </w:rPr>
              <w:br w:type="textWrapping"/>
            </w:r>
            <w:r>
              <w:rPr>
                <w:rFonts w:hint="default" w:ascii="宋体" w:hAnsi="宋体" w:eastAsia="宋体" w:cs="宋体"/>
                <w:i w:val="0"/>
                <w:iCs w:val="0"/>
                <w:color w:val="000000"/>
                <w:kern w:val="0"/>
                <w:sz w:val="22"/>
                <w:szCs w:val="22"/>
                <w:highlight w:val="none"/>
                <w:u w:val="none"/>
                <w:lang w:val="en-US" w:eastAsia="zh-CN" w:bidi="ar"/>
              </w:rPr>
              <w:t>指</w:t>
            </w:r>
            <w:r>
              <w:rPr>
                <w:rFonts w:hint="default" w:ascii="宋体" w:hAnsi="宋体" w:eastAsia="宋体" w:cs="宋体"/>
                <w:i w:val="0"/>
                <w:iCs w:val="0"/>
                <w:color w:val="000000"/>
                <w:kern w:val="0"/>
                <w:sz w:val="22"/>
                <w:szCs w:val="22"/>
                <w:highlight w:val="none"/>
                <w:u w:val="none"/>
                <w:lang w:val="en-US" w:eastAsia="zh-CN" w:bidi="ar"/>
              </w:rPr>
              <w:br w:type="textWrapping"/>
            </w:r>
            <w:r>
              <w:rPr>
                <w:rFonts w:hint="default" w:ascii="宋体" w:hAnsi="宋体" w:eastAsia="宋体" w:cs="宋体"/>
                <w:i w:val="0"/>
                <w:iCs w:val="0"/>
                <w:color w:val="000000"/>
                <w:kern w:val="0"/>
                <w:sz w:val="22"/>
                <w:szCs w:val="22"/>
                <w:highlight w:val="none"/>
                <w:u w:val="none"/>
                <w:lang w:val="en-US" w:eastAsia="zh-CN" w:bidi="ar"/>
              </w:rPr>
              <w:t>标</w:t>
            </w:r>
          </w:p>
        </w:tc>
        <w:tc>
          <w:tcPr>
            <w:tcW w:w="97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一级指标</w:t>
            </w:r>
          </w:p>
        </w:tc>
        <w:tc>
          <w:tcPr>
            <w:tcW w:w="110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二级指标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三级指标</w:t>
            </w:r>
          </w:p>
        </w:tc>
        <w:tc>
          <w:tcPr>
            <w:tcW w:w="84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年度</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指标值</w:t>
            </w:r>
          </w:p>
        </w:tc>
        <w:tc>
          <w:tcPr>
            <w:tcW w:w="84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实际</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完成值</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分值</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得分</w:t>
            </w:r>
          </w:p>
        </w:tc>
        <w:tc>
          <w:tcPr>
            <w:tcW w:w="141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偏差原因分析及改进</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措施</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9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产出指标</w:t>
            </w:r>
          </w:p>
        </w:tc>
        <w:tc>
          <w:tcPr>
            <w:tcW w:w="11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数量指标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中等职业学校国家助学金受助人数占应受助学生数的比例</w:t>
            </w:r>
          </w:p>
        </w:tc>
        <w:tc>
          <w:tcPr>
            <w:tcW w:w="84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84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50</w:t>
            </w:r>
          </w:p>
        </w:tc>
        <w:tc>
          <w:tcPr>
            <w:tcW w:w="141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97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效益指标</w:t>
            </w:r>
          </w:p>
        </w:tc>
        <w:tc>
          <w:tcPr>
            <w:tcW w:w="1105"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社会效益</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指标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中等职业学生因贫辍学率</w:t>
            </w:r>
          </w:p>
        </w:tc>
        <w:tc>
          <w:tcPr>
            <w:tcW w:w="84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0%</w:t>
            </w:r>
          </w:p>
        </w:tc>
        <w:tc>
          <w:tcPr>
            <w:tcW w:w="84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30</w:t>
            </w:r>
          </w:p>
        </w:tc>
        <w:tc>
          <w:tcPr>
            <w:tcW w:w="141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6" w:hRule="atLeast"/>
          <w:jc w:val="center"/>
        </w:trPr>
        <w:tc>
          <w:tcPr>
            <w:tcW w:w="585" w:type="dxa"/>
            <w:vMerge w:val="continue"/>
            <w:tcBorders>
              <w:top w:val="nil"/>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c>
          <w:tcPr>
            <w:tcW w:w="97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满意度</w:t>
            </w: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指标</w:t>
            </w:r>
          </w:p>
        </w:tc>
        <w:tc>
          <w:tcPr>
            <w:tcW w:w="1105" w:type="dxa"/>
            <w:tcBorders>
              <w:top w:val="nil"/>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服务对象满意度标</w:t>
            </w:r>
          </w:p>
        </w:tc>
        <w:tc>
          <w:tcPr>
            <w:tcW w:w="2137" w:type="dxa"/>
            <w:gridSpan w:val="3"/>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学生、家长满意度</w:t>
            </w:r>
          </w:p>
        </w:tc>
        <w:tc>
          <w:tcPr>
            <w:tcW w:w="849"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848" w:type="dxa"/>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w:t>
            </w:r>
          </w:p>
        </w:tc>
        <w:tc>
          <w:tcPr>
            <w:tcW w:w="141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7" w:hRule="atLeast"/>
          <w:jc w:val="center"/>
        </w:trPr>
        <w:tc>
          <w:tcPr>
            <w:tcW w:w="6499" w:type="dxa"/>
            <w:gridSpan w:val="8"/>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总分</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default" w:ascii="宋体" w:hAnsi="宋体" w:eastAsia="宋体" w:cs="宋体"/>
                <w:i w:val="0"/>
                <w:iCs w:val="0"/>
                <w:color w:val="000000"/>
                <w:kern w:val="0"/>
                <w:sz w:val="22"/>
                <w:szCs w:val="22"/>
                <w:highlight w:val="none"/>
                <w:u w:val="none"/>
                <w:lang w:val="en-US" w:eastAsia="zh-CN" w:bidi="ar"/>
              </w:rPr>
              <w:t>100</w:t>
            </w:r>
          </w:p>
        </w:tc>
        <w:tc>
          <w:tcPr>
            <w:tcW w:w="56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r>
              <w:rPr>
                <w:rFonts w:hint="eastAsia" w:ascii="宋体" w:hAnsi="宋体" w:eastAsia="宋体" w:cs="宋体"/>
                <w:i w:val="0"/>
                <w:iCs w:val="0"/>
                <w:color w:val="000000"/>
                <w:kern w:val="0"/>
                <w:sz w:val="22"/>
                <w:szCs w:val="22"/>
                <w:highlight w:val="none"/>
                <w:u w:val="none"/>
                <w:lang w:val="en-US" w:eastAsia="zh-CN" w:bidi="ar"/>
              </w:rPr>
              <w:t>100</w:t>
            </w:r>
          </w:p>
        </w:tc>
        <w:tc>
          <w:tcPr>
            <w:tcW w:w="1413" w:type="dxa"/>
            <w:gridSpan w:val="2"/>
            <w:tcBorders>
              <w:top w:val="single" w:color="auto" w:sz="4" w:space="0"/>
              <w:left w:val="nil"/>
              <w:bottom w:val="single" w:color="auto" w:sz="4" w:space="0"/>
              <w:right w:val="single" w:color="auto" w:sz="4" w:space="0"/>
            </w:tcBorders>
            <w:shd w:val="clear" w:color="auto" w:fill="auto"/>
            <w:vAlign w:val="center"/>
          </w:tcPr>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tc>
      </w:tr>
    </w:tbl>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p>
      <w:pPr>
        <w:keepNext w:val="0"/>
        <w:keepLines w:val="0"/>
        <w:widowControl/>
        <w:suppressLineNumbers w:val="0"/>
        <w:spacing w:before="0" w:beforeAutospacing="0" w:after="0" w:afterAutospacing="0" w:line="240" w:lineRule="exact"/>
        <w:ind w:left="0" w:right="0"/>
        <w:jc w:val="center"/>
        <w:rPr>
          <w:rFonts w:hint="default" w:ascii="宋体" w:hAnsi="宋体" w:eastAsia="宋体" w:cs="宋体"/>
          <w:i w:val="0"/>
          <w:iCs w:val="0"/>
          <w:color w:val="000000"/>
          <w:kern w:val="0"/>
          <w:sz w:val="22"/>
          <w:szCs w:val="22"/>
          <w:highlight w:val="none"/>
          <w:u w:val="none"/>
          <w:lang w:val="en-US" w:eastAsia="zh-CN" w:bidi="ar"/>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embedRegular r:id="rId1" w:fontKey="{52D212A0-4286-4AC1-B3EE-D5B4FA8D3A78}"/>
  </w:font>
  <w:font w:name="方正小标宋简体">
    <w:panose1 w:val="02000000000000000000"/>
    <w:charset w:val="86"/>
    <w:family w:val="auto"/>
    <w:pitch w:val="default"/>
    <w:sig w:usb0="00000001" w:usb1="080E0000" w:usb2="00000000" w:usb3="00000000" w:csb0="00040000" w:csb1="00000000"/>
    <w:embedRegular r:id="rId2" w:fontKey="{2355DFDD-E4EB-4F85-AD44-09ECEDC821E5}"/>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E1ZWM0NjZmNjcxMWM1MGE2OTZkZjZlMTgwZTAwOTMifQ=="/>
  </w:docVars>
  <w:rsids>
    <w:rsidRoot w:val="5E4D4389"/>
    <w:rsid w:val="0F494AD7"/>
    <w:rsid w:val="12970457"/>
    <w:rsid w:val="2CF93ECA"/>
    <w:rsid w:val="3CB524C1"/>
    <w:rsid w:val="3F4F62C4"/>
    <w:rsid w:val="4CA75A30"/>
    <w:rsid w:val="5E4D4389"/>
    <w:rsid w:val="6C60762A"/>
    <w:rsid w:val="6D6B7A3E"/>
    <w:rsid w:val="75964B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594</Words>
  <Characters>668</Characters>
  <Lines>0</Lines>
  <Paragraphs>0</Paragraphs>
  <TotalTime>0</TotalTime>
  <ScaleCrop>false</ScaleCrop>
  <LinksUpToDate>false</LinksUpToDate>
  <CharactersWithSpaces>726</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2023-04-28T01:17:00Z</dcterms:created>
  <dc:creator>Nowanow</dc:creator>
  <cp:lastModifiedBy>晓爽</cp:lastModifiedBy>
  <dcterms:modified xsi:type="dcterms:W3CDTF">2023-07-02T02:52:45Z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F12788C735DD418887C96CCFC8F602A0</vt:lpwstr>
  </property>
</Properties>
</file>