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华文中宋" w:hAnsi="华文中宋" w:eastAsia="华文中宋" w:cs="华文中宋"/>
          <w:sz w:val="36"/>
          <w:szCs w:val="36"/>
        </w:rPr>
      </w:pPr>
      <w:r>
        <w:rPr>
          <w:rFonts w:hint="eastAsia" w:ascii="方正小标宋简体" w:eastAsia="方正小标宋简体"/>
          <w:sz w:val="36"/>
          <w:szCs w:val="36"/>
        </w:rPr>
        <w:t xml:space="preserve">                </w:t>
      </w:r>
      <w:r>
        <w:rPr>
          <w:rFonts w:hint="eastAsia" w:ascii="华文中宋" w:hAnsi="华文中宋" w:eastAsia="华文中宋" w:cs="华文中宋"/>
          <w:sz w:val="36"/>
          <w:szCs w:val="36"/>
        </w:rPr>
        <w:t>项目支出绩效自评表</w:t>
      </w:r>
    </w:p>
    <w:p>
      <w:pPr>
        <w:spacing w:line="480" w:lineRule="exact"/>
        <w:rPr>
          <w:rFonts w:ascii="仿宋_GB2312" w:hAnsi="宋体"/>
          <w:sz w:val="28"/>
          <w:szCs w:val="28"/>
        </w:rPr>
      </w:pPr>
      <w:r>
        <w:rPr>
          <w:rFonts w:hint="eastAsia" w:ascii="仿宋_GB2312"/>
          <w:sz w:val="28"/>
          <w:szCs w:val="28"/>
        </w:rPr>
        <w:t xml:space="preserve">                   </w:t>
      </w:r>
      <w:r>
        <w:rPr>
          <w:rFonts w:ascii="仿宋_GB2312"/>
          <w:sz w:val="28"/>
          <w:szCs w:val="28"/>
        </w:rPr>
        <w:t xml:space="preserve">  </w:t>
      </w:r>
      <w:r>
        <w:rPr>
          <w:rFonts w:hint="eastAsia" w:ascii="仿宋_GB2312" w:hAnsi="宋体"/>
          <w:sz w:val="28"/>
          <w:szCs w:val="28"/>
        </w:rPr>
        <w:t xml:space="preserve"> </w:t>
      </w:r>
      <w:r>
        <w:rPr>
          <w:rFonts w:ascii="仿宋_GB2312" w:hAnsi="宋体"/>
          <w:sz w:val="28"/>
          <w:szCs w:val="28"/>
        </w:rPr>
        <w:t xml:space="preserve"> </w:t>
      </w:r>
      <w:r>
        <w:rPr>
          <w:rFonts w:hint="eastAsia" w:ascii="仿宋_GB2312" w:hAnsi="宋体"/>
          <w:sz w:val="28"/>
          <w:szCs w:val="28"/>
        </w:rPr>
        <w:t xml:space="preserve">  （</w:t>
      </w:r>
      <w:r>
        <w:rPr>
          <w:rFonts w:ascii="仿宋_GB2312" w:hAnsi="宋体"/>
          <w:sz w:val="28"/>
          <w:szCs w:val="28"/>
        </w:rPr>
        <w:t>202</w:t>
      </w:r>
      <w:r>
        <w:rPr>
          <w:rFonts w:hint="eastAsia" w:ascii="仿宋_GB2312" w:hAnsi="宋体"/>
          <w:sz w:val="28"/>
          <w:szCs w:val="28"/>
        </w:rPr>
        <w:t>2年度）</w:t>
      </w:r>
    </w:p>
    <w:tbl>
      <w:tblPr>
        <w:tblStyle w:val="5"/>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1007"/>
        <w:gridCol w:w="690"/>
        <w:gridCol w:w="279"/>
        <w:gridCol w:w="284"/>
        <w:gridCol w:w="420"/>
        <w:gridCol w:w="168"/>
        <w:gridCol w:w="678"/>
        <w:gridCol w:w="710"/>
      </w:tblGrid>
      <w:tr>
        <w:tblPrEx>
          <w:tblCellMar>
            <w:top w:w="0" w:type="dxa"/>
            <w:left w:w="108" w:type="dxa"/>
            <w:bottom w:w="0" w:type="dxa"/>
            <w:right w:w="108" w:type="dxa"/>
          </w:tblCellMar>
        </w:tblPrEx>
        <w:trPr>
          <w:jc w:val="center"/>
        </w:trPr>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项目名称</w:t>
            </w:r>
          </w:p>
        </w:tc>
        <w:tc>
          <w:tcPr>
            <w:tcW w:w="7478" w:type="dxa"/>
            <w:gridSpan w:val="1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职业教育创新发展-特高建设（中职专用）-轨道交通技术专业群特色高水平建设项目</w:t>
            </w:r>
          </w:p>
        </w:tc>
      </w:tr>
      <w:tr>
        <w:tblPrEx>
          <w:tblCellMar>
            <w:top w:w="0" w:type="dxa"/>
            <w:left w:w="108" w:type="dxa"/>
            <w:bottom w:w="0" w:type="dxa"/>
            <w:right w:w="108" w:type="dxa"/>
          </w:tblCellMar>
        </w:tblPrEx>
        <w:trPr>
          <w:jc w:val="center"/>
        </w:trPr>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主管部门</w:t>
            </w:r>
          </w:p>
        </w:tc>
        <w:tc>
          <w:tcPr>
            <w:tcW w:w="4249" w:type="dxa"/>
            <w:gridSpan w:val="5"/>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北京市教育委员会</w:t>
            </w:r>
          </w:p>
        </w:tc>
        <w:tc>
          <w:tcPr>
            <w:tcW w:w="969"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实施单位</w:t>
            </w:r>
          </w:p>
        </w:tc>
        <w:tc>
          <w:tcPr>
            <w:tcW w:w="2260" w:type="dxa"/>
            <w:gridSpan w:val="5"/>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北京铁路电气化学校</w:t>
            </w:r>
          </w:p>
        </w:tc>
      </w:tr>
      <w:tr>
        <w:tblPrEx>
          <w:tblCellMar>
            <w:top w:w="0" w:type="dxa"/>
            <w:left w:w="108" w:type="dxa"/>
            <w:bottom w:w="0" w:type="dxa"/>
            <w:right w:w="108" w:type="dxa"/>
          </w:tblCellMar>
        </w:tblPrEx>
        <w:trPr>
          <w:jc w:val="center"/>
        </w:trPr>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项目负责人</w:t>
            </w:r>
          </w:p>
        </w:tc>
        <w:tc>
          <w:tcPr>
            <w:tcW w:w="4249" w:type="dxa"/>
            <w:gridSpan w:val="5"/>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梁洁婷</w:t>
            </w:r>
          </w:p>
        </w:tc>
        <w:tc>
          <w:tcPr>
            <w:tcW w:w="969"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联系电话</w:t>
            </w:r>
          </w:p>
        </w:tc>
        <w:tc>
          <w:tcPr>
            <w:tcW w:w="2260" w:type="dxa"/>
            <w:gridSpan w:val="5"/>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010-60797798</w:t>
            </w:r>
          </w:p>
        </w:tc>
      </w:tr>
      <w:tr>
        <w:tblPrEx>
          <w:tblCellMar>
            <w:top w:w="0" w:type="dxa"/>
            <w:left w:w="108" w:type="dxa"/>
            <w:bottom w:w="0" w:type="dxa"/>
            <w:right w:w="108" w:type="dxa"/>
          </w:tblCellMar>
        </w:tblPrEx>
        <w:trPr>
          <w:jc w:val="center"/>
        </w:trPr>
        <w:tc>
          <w:tcPr>
            <w:tcW w:w="15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项目资金</w:t>
            </w:r>
            <w:r>
              <w:rPr>
                <w:rFonts w:hint="eastAsia" w:ascii="宋体" w:hAnsi="宋体" w:eastAsia="宋体" w:cs="宋体"/>
                <w:kern w:val="0"/>
                <w:sz w:val="21"/>
                <w:szCs w:val="21"/>
              </w:rPr>
              <w:br w:type="textWrapping"/>
            </w:r>
            <w:r>
              <w:rPr>
                <w:rFonts w:hint="eastAsia" w:ascii="宋体" w:hAnsi="宋体" w:eastAsia="宋体" w:cs="宋体"/>
                <w:kern w:val="0"/>
                <w:sz w:val="21"/>
                <w:szCs w:val="21"/>
              </w:rPr>
              <w:t>（万元）</w:t>
            </w:r>
          </w:p>
        </w:tc>
        <w:tc>
          <w:tcPr>
            <w:tcW w:w="1832"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2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年初预</w:t>
            </w:r>
          </w:p>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算数</w:t>
            </w:r>
          </w:p>
        </w:tc>
        <w:tc>
          <w:tcPr>
            <w:tcW w:w="1290"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全年预</w:t>
            </w:r>
          </w:p>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算数</w:t>
            </w:r>
          </w:p>
        </w:tc>
        <w:tc>
          <w:tcPr>
            <w:tcW w:w="969"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全年</w:t>
            </w:r>
          </w:p>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执行数</w:t>
            </w:r>
          </w:p>
        </w:tc>
        <w:tc>
          <w:tcPr>
            <w:tcW w:w="70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分值</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执行率</w:t>
            </w:r>
          </w:p>
        </w:tc>
        <w:tc>
          <w:tcPr>
            <w:tcW w:w="7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得分</w:t>
            </w:r>
          </w:p>
        </w:tc>
      </w:tr>
      <w:tr>
        <w:tblPrEx>
          <w:tblCellMar>
            <w:top w:w="0" w:type="dxa"/>
            <w:left w:w="108" w:type="dxa"/>
            <w:bottom w:w="0" w:type="dxa"/>
            <w:right w:w="108" w:type="dxa"/>
          </w:tblCellMar>
        </w:tblPrEx>
        <w:trPr>
          <w:jc w:val="center"/>
        </w:trPr>
        <w:tc>
          <w:tcPr>
            <w:tcW w:w="156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832"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ascii="宋体" w:hAnsi="宋体" w:eastAsia="宋体" w:cs="宋体"/>
                <w:kern w:val="0"/>
                <w:sz w:val="21"/>
                <w:szCs w:val="21"/>
              </w:rPr>
            </w:pPr>
            <w:r>
              <w:rPr>
                <w:rFonts w:hint="eastAsia" w:ascii="宋体" w:hAnsi="宋体" w:eastAsia="宋体" w:cs="宋体"/>
                <w:kern w:val="0"/>
                <w:sz w:val="21"/>
                <w:szCs w:val="21"/>
              </w:rPr>
              <w:t>年度资金总额</w:t>
            </w:r>
          </w:p>
        </w:tc>
        <w:tc>
          <w:tcPr>
            <w:tcW w:w="112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309.35</w:t>
            </w:r>
          </w:p>
        </w:tc>
        <w:tc>
          <w:tcPr>
            <w:tcW w:w="1290"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291.438</w:t>
            </w:r>
          </w:p>
        </w:tc>
        <w:tc>
          <w:tcPr>
            <w:tcW w:w="969"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291.06449</w:t>
            </w:r>
          </w:p>
        </w:tc>
        <w:tc>
          <w:tcPr>
            <w:tcW w:w="70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10</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99.87%</w:t>
            </w:r>
          </w:p>
        </w:tc>
        <w:tc>
          <w:tcPr>
            <w:tcW w:w="7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9.99</w:t>
            </w:r>
          </w:p>
        </w:tc>
      </w:tr>
      <w:tr>
        <w:tblPrEx>
          <w:tblCellMar>
            <w:top w:w="0" w:type="dxa"/>
            <w:left w:w="108" w:type="dxa"/>
            <w:bottom w:w="0" w:type="dxa"/>
            <w:right w:w="108" w:type="dxa"/>
          </w:tblCellMar>
        </w:tblPrEx>
        <w:trPr>
          <w:jc w:val="center"/>
        </w:trPr>
        <w:tc>
          <w:tcPr>
            <w:tcW w:w="156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832"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其中：当年财政</w:t>
            </w:r>
          </w:p>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拨款</w:t>
            </w:r>
          </w:p>
        </w:tc>
        <w:tc>
          <w:tcPr>
            <w:tcW w:w="112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309.35</w:t>
            </w:r>
          </w:p>
        </w:tc>
        <w:tc>
          <w:tcPr>
            <w:tcW w:w="1290"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291.438</w:t>
            </w:r>
          </w:p>
        </w:tc>
        <w:tc>
          <w:tcPr>
            <w:tcW w:w="969"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70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7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w:t>
            </w:r>
          </w:p>
        </w:tc>
      </w:tr>
      <w:tr>
        <w:tblPrEx>
          <w:tblCellMar>
            <w:top w:w="0" w:type="dxa"/>
            <w:left w:w="108" w:type="dxa"/>
            <w:bottom w:w="0" w:type="dxa"/>
            <w:right w:w="108" w:type="dxa"/>
          </w:tblCellMar>
        </w:tblPrEx>
        <w:trPr>
          <w:jc w:val="center"/>
        </w:trPr>
        <w:tc>
          <w:tcPr>
            <w:tcW w:w="156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832"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 xml:space="preserve">      上年结转资金</w:t>
            </w:r>
          </w:p>
        </w:tc>
        <w:tc>
          <w:tcPr>
            <w:tcW w:w="112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0</w:t>
            </w:r>
          </w:p>
        </w:tc>
        <w:tc>
          <w:tcPr>
            <w:tcW w:w="1290"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0</w:t>
            </w:r>
          </w:p>
        </w:tc>
        <w:tc>
          <w:tcPr>
            <w:tcW w:w="969"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70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7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w:t>
            </w:r>
          </w:p>
        </w:tc>
      </w:tr>
      <w:tr>
        <w:tblPrEx>
          <w:tblCellMar>
            <w:top w:w="0" w:type="dxa"/>
            <w:left w:w="108" w:type="dxa"/>
            <w:bottom w:w="0" w:type="dxa"/>
            <w:right w:w="108" w:type="dxa"/>
          </w:tblCellMar>
        </w:tblPrEx>
        <w:trPr>
          <w:jc w:val="center"/>
        </w:trPr>
        <w:tc>
          <w:tcPr>
            <w:tcW w:w="156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832"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 xml:space="preserve">  其他资金</w:t>
            </w:r>
          </w:p>
        </w:tc>
        <w:tc>
          <w:tcPr>
            <w:tcW w:w="112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290"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69"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70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7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w:t>
            </w:r>
          </w:p>
        </w:tc>
      </w:tr>
      <w:tr>
        <w:tblPrEx>
          <w:tblCellMar>
            <w:top w:w="0" w:type="dxa"/>
            <w:left w:w="108" w:type="dxa"/>
            <w:bottom w:w="0" w:type="dxa"/>
            <w:right w:w="108" w:type="dxa"/>
          </w:tblCellMar>
        </w:tblPrEx>
        <w:trPr>
          <w:jc w:val="center"/>
        </w:trPr>
        <w:tc>
          <w:tcPr>
            <w:tcW w:w="58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年度总体目标</w:t>
            </w:r>
          </w:p>
        </w:tc>
        <w:tc>
          <w:tcPr>
            <w:tcW w:w="5224" w:type="dxa"/>
            <w:gridSpan w:val="6"/>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预期目标</w:t>
            </w:r>
          </w:p>
        </w:tc>
        <w:tc>
          <w:tcPr>
            <w:tcW w:w="3229" w:type="dxa"/>
            <w:gridSpan w:val="7"/>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实际完成情况</w:t>
            </w:r>
          </w:p>
        </w:tc>
      </w:tr>
      <w:tr>
        <w:tblPrEx>
          <w:tblCellMar>
            <w:top w:w="0" w:type="dxa"/>
            <w:left w:w="108" w:type="dxa"/>
            <w:bottom w:w="0" w:type="dxa"/>
            <w:right w:w="108" w:type="dxa"/>
          </w:tblCellMar>
        </w:tblPrEx>
        <w:trPr>
          <w:jc w:val="center"/>
        </w:trPr>
        <w:tc>
          <w:tcPr>
            <w:tcW w:w="585"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5224" w:type="dxa"/>
            <w:gridSpan w:val="6"/>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eastAsia="宋体" w:cs="宋体"/>
                <w:kern w:val="0"/>
                <w:sz w:val="21"/>
                <w:szCs w:val="21"/>
              </w:rPr>
            </w:pPr>
            <w:r>
              <w:rPr>
                <w:rFonts w:hint="eastAsia" w:ascii="宋体" w:hAnsi="宋体" w:eastAsia="宋体" w:cs="宋体"/>
                <w:kern w:val="0"/>
                <w:sz w:val="21"/>
                <w:szCs w:val="21"/>
              </w:rPr>
              <w:t>主动适应北京轨道交通产业和高精尖产业人才迫切需求，服务首都城市安全运行、轨道交通快速发展和京津冀协同发展，按照“精准对接、做强特色、学历教育与社会培训并重”的专业建设思路，校企深度合作、工学紧密结合，落实立德树人根本任务，将劳模精神和工匠精神融入到人才培养全过程，积极探索1+x证书制度，形成符合技能人才成长规律的具有专业特色的工学结合人才培养模式。进一步深化工作过程导向课程体系开发，构建以学生为中心，以能力为导向，与职业资格标准相融合的课程体系，制定一体化人才培养方案，完成与工学结合相适应的课程资源建设，契合人工智能技术发展开发专业群共享的新技术拓展课程。广泛开展“有趣、有用、有效”课堂教学。建设一支“双师结构”“双师”素质、高水平结构化专业创新团队，造就一批在城市轨道交通行业有影响的教学名师。产教融合，校企合作开展“人才培养、职工培训、技能比赛、技能鉴定、技术研发、教科研”六位一体、开放共享的现代化城市轨道交通生产性实训基地建设，完成轨道交通技术实训基地规划、轨道交通专业群实训基地（实训室）建设标准制定和实训基地建设。依托“丝路工匠”职业院校国际合作联盟，发挥自身专业优势，制订国际可借鉴的职教专业标准和课程标准，为“一带一路”沿线国家提供城市轨道交通职业教育和人才支撑。建成国际领先、国内一流的高水平轨道交通技术专业群，形成中国特色的轨道交通技术专业群建设范式。</w:t>
            </w:r>
          </w:p>
        </w:tc>
        <w:tc>
          <w:tcPr>
            <w:tcW w:w="3229" w:type="dxa"/>
            <w:gridSpan w:val="7"/>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eastAsia="宋体" w:cs="宋体"/>
                <w:kern w:val="0"/>
                <w:sz w:val="21"/>
                <w:szCs w:val="21"/>
              </w:rPr>
            </w:pPr>
            <w:r>
              <w:rPr>
                <w:rFonts w:hint="eastAsia" w:ascii="宋体" w:hAnsi="宋体" w:eastAsia="宋体" w:cs="宋体"/>
                <w:kern w:val="0"/>
                <w:sz w:val="21"/>
                <w:szCs w:val="21"/>
              </w:rPr>
              <w:t>按照项目建设任务书和2022年预算绩效指标，为适应国家轨道交通“四网融合”新技术发展和关键岗位人才需求，以高素质技术技能人才为导向，构建“一体两翼”校企育训共用体，推进人才培育和社会服务，实现“高质量、有特色、国际化”发展。</w:t>
            </w:r>
          </w:p>
          <w:p>
            <w:pPr>
              <w:widowControl/>
              <w:spacing w:line="240" w:lineRule="exact"/>
              <w:jc w:val="left"/>
              <w:rPr>
                <w:rFonts w:ascii="宋体" w:hAnsi="宋体" w:eastAsia="宋体" w:cs="宋体"/>
                <w:kern w:val="0"/>
                <w:sz w:val="21"/>
                <w:szCs w:val="21"/>
              </w:rPr>
            </w:pPr>
            <w:r>
              <w:rPr>
                <w:rFonts w:hint="eastAsia" w:ascii="宋体" w:hAnsi="宋体" w:eastAsia="宋体" w:cs="宋体"/>
                <w:kern w:val="0"/>
                <w:sz w:val="21"/>
                <w:szCs w:val="21"/>
              </w:rPr>
              <w:t>1.落实立德树人根本任务，将劳模精神和工匠精神融入到人才培养全过程，开发“5年一贯制”大专、“5+2”中本贯通、“3+2”中高衔接三个层次的人才培养方案及教学标准。积极探索5个专业“1+x”证书制度，全面开展课程思政教育教学改革，形成符合技能人才成长规律的具有专业特色的工学结合人才培养模式。</w:t>
            </w:r>
          </w:p>
          <w:p>
            <w:pPr>
              <w:widowControl/>
              <w:spacing w:line="240" w:lineRule="exact"/>
              <w:jc w:val="left"/>
              <w:rPr>
                <w:rFonts w:ascii="宋体" w:hAnsi="宋体" w:eastAsia="宋体" w:cs="宋体"/>
                <w:kern w:val="0"/>
                <w:sz w:val="21"/>
                <w:szCs w:val="21"/>
              </w:rPr>
            </w:pPr>
            <w:r>
              <w:rPr>
                <w:rFonts w:hint="eastAsia" w:ascii="宋体" w:hAnsi="宋体" w:eastAsia="宋体" w:cs="宋体"/>
                <w:kern w:val="0"/>
                <w:sz w:val="21"/>
                <w:szCs w:val="21"/>
              </w:rPr>
              <w:t>2.以课程建设为抓手，促进“三教改革”。完成16门专业群核心课程新型活页式教材编写和24门数字化教学资源建设，打造在线开放式精品课程，探索“线上线下、同步异步”混合式教学模式，开展市级专业群教学资源库建设项目，提升课程建设团队、专业建设团队专业能力、教学能力、教科研能力、育人能力。</w:t>
            </w:r>
          </w:p>
          <w:p>
            <w:pPr>
              <w:widowControl/>
              <w:spacing w:line="240" w:lineRule="exact"/>
              <w:jc w:val="left"/>
              <w:rPr>
                <w:rFonts w:ascii="宋体" w:hAnsi="宋体" w:eastAsia="宋体" w:cs="宋体"/>
                <w:kern w:val="0"/>
                <w:sz w:val="21"/>
                <w:szCs w:val="21"/>
              </w:rPr>
            </w:pPr>
            <w:r>
              <w:rPr>
                <w:rFonts w:hint="eastAsia" w:ascii="宋体" w:hAnsi="宋体" w:eastAsia="宋体" w:cs="宋体"/>
                <w:kern w:val="0"/>
                <w:sz w:val="21"/>
                <w:szCs w:val="21"/>
              </w:rPr>
              <w:t>3.开展专业实训基地建设，完成行车值班员技能训练、“1+X”智能配电运维2个专业实训室建设。承办3项市级技能大赛，开展企业员工培训11722人日。</w:t>
            </w:r>
          </w:p>
          <w:p>
            <w:pPr>
              <w:widowControl/>
              <w:spacing w:line="240" w:lineRule="exact"/>
              <w:jc w:val="left"/>
              <w:rPr>
                <w:rFonts w:ascii="宋体" w:hAnsi="宋体" w:eastAsia="宋体" w:cs="宋体"/>
                <w:kern w:val="0"/>
                <w:sz w:val="21"/>
                <w:szCs w:val="21"/>
              </w:rPr>
            </w:pPr>
            <w:r>
              <w:rPr>
                <w:rFonts w:hint="eastAsia" w:ascii="宋体" w:hAnsi="宋体" w:eastAsia="宋体" w:cs="宋体"/>
                <w:kern w:val="0"/>
                <w:sz w:val="21"/>
                <w:szCs w:val="21"/>
              </w:rPr>
              <w:t>4.依托北京市丝路工匠联盟和“一带一路及金砖国家技能发展与创新”技能大赛平台，承办了第二届“丝路工匠”国际技能大赛“国际轨道列车驾驶技术”分赛项，中国、俄罗斯、白俄罗斯、哈萨克斯坦四国派出13个代表队参赛，我校获得特等奖一个，一等奖两个的优异成绩，积极探索走出去、国际化战略。</w:t>
            </w:r>
          </w:p>
          <w:p>
            <w:pPr>
              <w:widowControl/>
              <w:spacing w:line="240" w:lineRule="exact"/>
              <w:jc w:val="left"/>
              <w:rPr>
                <w:rFonts w:ascii="宋体" w:hAnsi="宋体" w:eastAsia="宋体" w:cs="宋体"/>
                <w:kern w:val="0"/>
                <w:sz w:val="21"/>
                <w:szCs w:val="21"/>
              </w:rPr>
            </w:pPr>
            <w:r>
              <w:rPr>
                <w:rFonts w:hint="eastAsia" w:ascii="宋体" w:hAnsi="宋体" w:eastAsia="宋体" w:cs="宋体"/>
                <w:kern w:val="0"/>
                <w:sz w:val="21"/>
                <w:szCs w:val="21"/>
              </w:rPr>
              <w:t>5.与中国铁路北京局集团有限公司打造“中铁天佑工程师学院”，立项北京市首批特高建设项目，校企联合开展“机车模拟驾驶”技术攻关项目，开展提职司机培训，建设虚拟仿真实训基地。北京市职业教育教学改革项目《校企共建天佑工程师学院的创新与实践》顺利结题。</w:t>
            </w:r>
          </w:p>
        </w:tc>
      </w:tr>
      <w:tr>
        <w:tblPrEx>
          <w:tblCellMar>
            <w:top w:w="0" w:type="dxa"/>
            <w:left w:w="108" w:type="dxa"/>
            <w:bottom w:w="0" w:type="dxa"/>
            <w:right w:w="108" w:type="dxa"/>
          </w:tblCellMar>
        </w:tblPrEx>
        <w:trPr>
          <w:jc w:val="center"/>
        </w:trPr>
        <w:tc>
          <w:tcPr>
            <w:tcW w:w="58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绩</w:t>
            </w:r>
            <w:r>
              <w:rPr>
                <w:rFonts w:hint="eastAsia" w:ascii="宋体" w:hAnsi="宋体" w:eastAsia="宋体" w:cs="宋体"/>
                <w:kern w:val="0"/>
                <w:sz w:val="21"/>
                <w:szCs w:val="21"/>
              </w:rPr>
              <w:br w:type="textWrapping"/>
            </w:r>
            <w:r>
              <w:rPr>
                <w:rFonts w:hint="eastAsia" w:ascii="宋体" w:hAnsi="宋体" w:eastAsia="宋体" w:cs="宋体"/>
                <w:kern w:val="0"/>
                <w:sz w:val="21"/>
                <w:szCs w:val="21"/>
              </w:rPr>
              <w:t>效</w:t>
            </w:r>
            <w:r>
              <w:rPr>
                <w:rFonts w:hint="eastAsia" w:ascii="宋体" w:hAnsi="宋体" w:eastAsia="宋体" w:cs="宋体"/>
                <w:kern w:val="0"/>
                <w:sz w:val="21"/>
                <w:szCs w:val="21"/>
              </w:rPr>
              <w:br w:type="textWrapping"/>
            </w:r>
            <w:r>
              <w:rPr>
                <w:rFonts w:hint="eastAsia" w:ascii="宋体" w:hAnsi="宋体" w:eastAsia="宋体" w:cs="宋体"/>
                <w:kern w:val="0"/>
                <w:sz w:val="21"/>
                <w:szCs w:val="21"/>
              </w:rPr>
              <w:t>指</w:t>
            </w:r>
            <w:r>
              <w:rPr>
                <w:rFonts w:hint="eastAsia" w:ascii="宋体" w:hAnsi="宋体" w:eastAsia="宋体" w:cs="宋体"/>
                <w:kern w:val="0"/>
                <w:sz w:val="21"/>
                <w:szCs w:val="21"/>
              </w:rPr>
              <w:br w:type="textWrapping"/>
            </w:r>
            <w:r>
              <w:rPr>
                <w:rFonts w:hint="eastAsia" w:ascii="宋体" w:hAnsi="宋体" w:eastAsia="宋体" w:cs="宋体"/>
                <w:kern w:val="0"/>
                <w:sz w:val="21"/>
                <w:szCs w:val="21"/>
              </w:rPr>
              <w:t>标</w:t>
            </w:r>
          </w:p>
        </w:tc>
        <w:tc>
          <w:tcPr>
            <w:tcW w:w="97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一级指标</w:t>
            </w:r>
          </w:p>
        </w:tc>
        <w:tc>
          <w:tcPr>
            <w:tcW w:w="110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二级指标</w:t>
            </w:r>
          </w:p>
        </w:tc>
        <w:tc>
          <w:tcPr>
            <w:tcW w:w="213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三级指标</w:t>
            </w:r>
          </w:p>
        </w:tc>
        <w:tc>
          <w:tcPr>
            <w:tcW w:w="100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年度</w:t>
            </w:r>
          </w:p>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指标值</w:t>
            </w:r>
          </w:p>
        </w:tc>
        <w:tc>
          <w:tcPr>
            <w:tcW w:w="69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实际</w:t>
            </w:r>
          </w:p>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完成值</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分值</w:t>
            </w:r>
          </w:p>
        </w:tc>
        <w:tc>
          <w:tcPr>
            <w:tcW w:w="588"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得分</w:t>
            </w:r>
          </w:p>
        </w:tc>
        <w:tc>
          <w:tcPr>
            <w:tcW w:w="1388"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偏差原因分析及改进</w:t>
            </w:r>
          </w:p>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措施</w:t>
            </w: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产出指标</w:t>
            </w:r>
          </w:p>
        </w:tc>
        <w:tc>
          <w:tcPr>
            <w:tcW w:w="1105" w:type="dxa"/>
            <w:vMerge w:val="restart"/>
            <w:tcBorders>
              <w:top w:val="single" w:color="auto" w:sz="4" w:space="0"/>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数量指标</w:t>
            </w: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课程思政教育教学改革工作总结及教学案例</w:t>
            </w:r>
          </w:p>
        </w:tc>
        <w:tc>
          <w:tcPr>
            <w:tcW w:w="10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“三有课堂”比赛方案及过程性资料</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北京市职教学会、专委会获奖证书</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承办北京市学生技能大赛</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3项</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3项</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学生核心素养系列课程成绩单</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北京铁路电气化学校轨道交通技术专业群工学结合专业指导委员会工作条例</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教师教学能力比赛获奖证书</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党委工作计划及工作总结</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双创系列教材</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为企业开展技术服务案例</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专业群影响力网络媒体报道资料</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专业群课程体系实施性教学计划</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创新创业教育及比赛资料</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color w:val="FF0000"/>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线上线下混合式教学模式改革案例</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育人能力比赛资料</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职业资格证书</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专业带头人培养</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1人</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2人</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企业职工、专业学生在线资格考试和技术技能培训资料</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行车值班员技能训练实训系统</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2022年专业群调研报告</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专业建设质量监控状态运行分析报告</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教师企业实践记录</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color w:val="FF0000"/>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教师职业素质培训</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320人天</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246人日</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0.46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lang w:eastAsia="zh-CN"/>
              </w:rPr>
              <w:t>因疫情原因，减少培训，</w:t>
            </w:r>
            <w:r>
              <w:rPr>
                <w:rFonts w:hint="eastAsia" w:ascii="宋体" w:hAnsi="宋体" w:eastAsia="宋体" w:cs="宋体"/>
                <w:kern w:val="0"/>
                <w:sz w:val="21"/>
                <w:szCs w:val="21"/>
              </w:rPr>
              <w:t>没有达到预期值</w:t>
            </w:r>
          </w:p>
        </w:tc>
      </w:tr>
      <w:tr>
        <w:tblPrEx>
          <w:tblCellMar>
            <w:top w:w="0" w:type="dxa"/>
            <w:left w:w="108" w:type="dxa"/>
            <w:bottom w:w="0" w:type="dxa"/>
            <w:right w:w="108" w:type="dxa"/>
          </w:tblCellMar>
        </w:tblPrEx>
        <w:trPr>
          <w:trHeight w:val="90" w:hRule="atLeast"/>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校企合作管理办法</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“1+X”智能运维实训室</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1个</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1个</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全日制培养在校生规模</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1000人</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1444人</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0.5</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0.5</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trHeight w:val="358" w:hRule="atLeast"/>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教师专业技能培训</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140人天</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134人天</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0.57</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lang w:eastAsia="zh-CN"/>
              </w:rPr>
              <w:t>因疫情原因，减少培训，</w:t>
            </w:r>
            <w:r>
              <w:rPr>
                <w:rFonts w:hint="eastAsia" w:ascii="宋体" w:hAnsi="宋体" w:eastAsia="宋体" w:cs="宋体"/>
                <w:kern w:val="0"/>
                <w:sz w:val="21"/>
                <w:szCs w:val="21"/>
              </w:rPr>
              <w:t>没有达到预期值</w:t>
            </w:r>
            <w:bookmarkStart w:id="0" w:name="_GoBack"/>
            <w:bookmarkEnd w:id="0"/>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学习平台功能升级</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1项</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1项</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“传承天佑精神，培育工匠精神”系列主题活动</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2次</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3次</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专业群人才培养方案修订版</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专业群建设诊断与改进的相关文件及运行材料</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文明风采获奖证书</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0</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0.5</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宋体" w:hAnsi="宋体" w:eastAsia="宋体" w:cs="宋体"/>
                <w:kern w:val="0"/>
                <w:sz w:val="21"/>
                <w:szCs w:val="21"/>
              </w:rPr>
            </w:pPr>
            <w:r>
              <w:rPr>
                <w:rFonts w:hint="eastAsia" w:ascii="宋体" w:hAnsi="宋体" w:eastAsia="宋体" w:cs="宋体"/>
                <w:kern w:val="0"/>
                <w:sz w:val="21"/>
                <w:szCs w:val="21"/>
              </w:rPr>
              <w:t>因疫情</w:t>
            </w:r>
            <w:r>
              <w:rPr>
                <w:rFonts w:hint="eastAsia" w:ascii="宋体" w:hAnsi="宋体" w:eastAsia="宋体" w:cs="宋体"/>
                <w:kern w:val="0"/>
                <w:sz w:val="21"/>
                <w:szCs w:val="21"/>
                <w:lang w:eastAsia="zh-CN"/>
              </w:rPr>
              <w:t>原因未</w:t>
            </w:r>
            <w:r>
              <w:rPr>
                <w:rFonts w:hint="eastAsia" w:ascii="宋体" w:hAnsi="宋体" w:eastAsia="宋体" w:cs="宋体"/>
                <w:kern w:val="0"/>
                <w:sz w:val="21"/>
                <w:szCs w:val="21"/>
              </w:rPr>
              <w:t>开展文明风采大赛，学校组织社团活动，在北京市职业素养护照平台上评价</w:t>
            </w: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承办全国中职学校足球教学交流比赛</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1次</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0</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0.5</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eastAsia="宋体" w:cs="宋体"/>
                <w:kern w:val="0"/>
                <w:sz w:val="21"/>
                <w:szCs w:val="21"/>
                <w:lang w:eastAsia="zh-CN"/>
              </w:rPr>
            </w:pPr>
            <w:r>
              <w:rPr>
                <w:rFonts w:hint="eastAsia" w:ascii="宋体" w:hAnsi="宋体" w:eastAsia="宋体" w:cs="宋体"/>
                <w:kern w:val="0"/>
                <w:sz w:val="21"/>
                <w:szCs w:val="21"/>
              </w:rPr>
              <w:t>由中国职教学会组织的全国中职学校足球教学交流比赛因为疫情延期至2023年7月举行</w:t>
            </w:r>
            <w:r>
              <w:rPr>
                <w:rFonts w:hint="eastAsia" w:ascii="宋体" w:hAnsi="宋体" w:eastAsia="宋体" w:cs="宋体"/>
                <w:kern w:val="0"/>
                <w:sz w:val="21"/>
                <w:szCs w:val="21"/>
                <w:lang w:eastAsia="zh-CN"/>
              </w:rPr>
              <w:t>。</w:t>
            </w: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专业教师参加企业实践</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30人月</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70人月</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国家专利</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1项</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17项</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highlight w:val="none"/>
              </w:rPr>
            </w:pPr>
            <w:r>
              <w:rPr>
                <w:rFonts w:hint="eastAsia" w:ascii="宋体" w:hAnsi="宋体" w:eastAsia="宋体" w:cs="宋体"/>
                <w:color w:val="000000"/>
                <w:kern w:val="0"/>
                <w:sz w:val="21"/>
                <w:szCs w:val="21"/>
                <w:highlight w:val="none"/>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highlight w:val="none"/>
              </w:rPr>
            </w:pPr>
            <w:r>
              <w:rPr>
                <w:rFonts w:hint="eastAsia" w:ascii="宋体" w:hAnsi="宋体" w:eastAsia="宋体" w:cs="宋体"/>
                <w:color w:val="000000"/>
                <w:kern w:val="0"/>
                <w:sz w:val="21"/>
                <w:szCs w:val="21"/>
                <w:highlight w:val="none"/>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技能鉴定人员名单及证书</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思政课程教学资源库</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社会培训年培训量</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22000</w:t>
            </w:r>
          </w:p>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人天</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11722人日</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0.5</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0.32</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因疫情原因，社会培训量减少，2023年补充培训</w:t>
            </w: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学生职业素养护照实施案例</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专业群核心课程教学资源使用情况总结报告</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专业群实训基地建设标准</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专业群课程标准</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轨道交通产教融合校企合作平台工作机制文件</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学生企业认识实习</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1次</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1次</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专业题库</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color w:val="FF0000"/>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学生心理测评报告及相关心理服务报告</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铁路机车司机培训及考试资料</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专业骨干教师培养</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2人</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lang w:bidi="ar"/>
              </w:rPr>
              <w:t>4人</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“双师”素质专业教师占专业课教师</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82%</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92.5%</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市级课题结题材料</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3项</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3项</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“三有课堂”课例</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20门</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20门</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教师师德培训资料</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教材选用委员会活动记录</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1+X证书取证资料</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新型活页式教材应用案例或总结报告</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学生技术技能大赛获奖证书</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五年一贯制人才培养方案</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3套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3套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color w:val="FF0000"/>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学生学业综合评价方案及实施记录</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企业兼职教师授课资料</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企业员工培训记录</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校企合作活动记录</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学生体能测试资料</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公开发表论文</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10篇</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24篇</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智能配电实训设备</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2套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2套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2022年度专业群校企合作体制运行机制运行状态分析报告</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天佑励志行主题活动资料</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学生升学转段率</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95%</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100%</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学生体能训练设备</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北京铁路电气化学校校企合作理事会章程</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教材选用委员会工作章程</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与“一带一路”沿线国家开展“丝路工匠”技能比赛资料</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面向社会开展1+X证书培训和鉴定服务资料</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0</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因为疫情没有开展</w:t>
            </w: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企业兼职教师占专业课教师比例</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20%</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11.3%</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0.3</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因疫情线上教学，企业兼职教师聘请数量不足</w:t>
            </w: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行业资格证书证明资料</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学校“三全育人”工作总结</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教师指导学生技能大赛获奖证书</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1套</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1"/>
                <w:szCs w:val="21"/>
              </w:rPr>
            </w:pPr>
            <w:r>
              <w:rPr>
                <w:rStyle w:val="10"/>
                <w:sz w:val="21"/>
                <w:szCs w:val="21"/>
                <w:lang w:bidi="ar"/>
              </w:rPr>
              <w:t>教师指导学生文明风采大赛获奖证书</w:t>
            </w:r>
          </w:p>
        </w:tc>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1套</w:t>
            </w:r>
          </w:p>
        </w:tc>
        <w:tc>
          <w:tcPr>
            <w:tcW w:w="6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0</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single" w:color="auto" w:sz="4" w:space="0"/>
              <w:bottom w:val="single" w:color="auto" w:sz="4" w:space="0"/>
              <w:right w:val="nil"/>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宋体" w:hAnsi="宋体" w:eastAsia="宋体" w:cs="宋体"/>
                <w:kern w:val="0"/>
                <w:sz w:val="21"/>
                <w:szCs w:val="21"/>
              </w:rPr>
            </w:pPr>
            <w:r>
              <w:rPr>
                <w:rFonts w:hint="eastAsia" w:ascii="宋体" w:hAnsi="宋体" w:eastAsia="宋体" w:cs="宋体"/>
                <w:kern w:val="0"/>
                <w:sz w:val="21"/>
                <w:szCs w:val="21"/>
              </w:rPr>
              <w:t>因为疫情没有开展文明风采大赛，学校组织社团活动，在北京市职业素养护照平台上评价</w:t>
            </w: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质量指标</w:t>
            </w: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设备使用率</w:t>
            </w:r>
          </w:p>
        </w:tc>
        <w:tc>
          <w:tcPr>
            <w:tcW w:w="100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80%</w:t>
            </w:r>
          </w:p>
        </w:tc>
        <w:tc>
          <w:tcPr>
            <w:tcW w:w="69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100%</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评审、验收合格率</w:t>
            </w:r>
          </w:p>
        </w:tc>
        <w:tc>
          <w:tcPr>
            <w:tcW w:w="100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100%</w:t>
            </w:r>
          </w:p>
        </w:tc>
        <w:tc>
          <w:tcPr>
            <w:tcW w:w="69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100%</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培训合格率</w:t>
            </w:r>
          </w:p>
        </w:tc>
        <w:tc>
          <w:tcPr>
            <w:tcW w:w="100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100%</w:t>
            </w:r>
          </w:p>
        </w:tc>
        <w:tc>
          <w:tcPr>
            <w:tcW w:w="69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100%</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时效指标</w:t>
            </w: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项目建设时间</w:t>
            </w:r>
          </w:p>
        </w:tc>
        <w:tc>
          <w:tcPr>
            <w:tcW w:w="1007"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2022年</w:t>
            </w:r>
          </w:p>
        </w:tc>
        <w:tc>
          <w:tcPr>
            <w:tcW w:w="69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2022年1-12月</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项目建设完成时间</w:t>
            </w:r>
          </w:p>
        </w:tc>
        <w:tc>
          <w:tcPr>
            <w:tcW w:w="1007"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2022年12月31日前</w:t>
            </w:r>
          </w:p>
        </w:tc>
        <w:tc>
          <w:tcPr>
            <w:tcW w:w="69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2022年12月31日前</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项目申报时间</w:t>
            </w:r>
          </w:p>
        </w:tc>
        <w:tc>
          <w:tcPr>
            <w:tcW w:w="1007"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2021年</w:t>
            </w:r>
          </w:p>
        </w:tc>
        <w:tc>
          <w:tcPr>
            <w:tcW w:w="69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2021年</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成本指标</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成本指标</w:t>
            </w:r>
          </w:p>
        </w:tc>
        <w:tc>
          <w:tcPr>
            <w:tcW w:w="213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项目购置成本</w:t>
            </w:r>
          </w:p>
        </w:tc>
        <w:tc>
          <w:tcPr>
            <w:tcW w:w="100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≤310万元</w:t>
            </w:r>
          </w:p>
        </w:tc>
        <w:tc>
          <w:tcPr>
            <w:tcW w:w="69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291.0649万元</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588"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0.6</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效益指标</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经济效益</w:t>
            </w:r>
          </w:p>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指标</w:t>
            </w:r>
          </w:p>
        </w:tc>
        <w:tc>
          <w:tcPr>
            <w:tcW w:w="213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提升轨道交通技术专业群的综合实力，为首都轨道交通安全运行培养大批高质量技能人才，同时开展社会培训年培训量&gt;0.5万天。节约社会成本，提高经济效益。</w:t>
            </w:r>
          </w:p>
        </w:tc>
        <w:tc>
          <w:tcPr>
            <w:tcW w:w="1007"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优良中低差</w:t>
            </w:r>
          </w:p>
        </w:tc>
        <w:tc>
          <w:tcPr>
            <w:tcW w:w="69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优</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8</w:t>
            </w:r>
          </w:p>
        </w:tc>
        <w:tc>
          <w:tcPr>
            <w:tcW w:w="588"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8</w:t>
            </w:r>
          </w:p>
        </w:tc>
        <w:tc>
          <w:tcPr>
            <w:tcW w:w="1388"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社会效益</w:t>
            </w:r>
          </w:p>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指标</w:t>
            </w:r>
          </w:p>
        </w:tc>
        <w:tc>
          <w:tcPr>
            <w:tcW w:w="213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深化产教融合，有机整合校企优质资源，提升专业教学水平，全面促进专业教学、协同育人、社会培训、教师培养、技术开发工作，完善人才培育、资源共享、技术创新、社会服务工作机制，形成中国特色、首都特点的轨道交通技术专业群建设范式。</w:t>
            </w:r>
          </w:p>
        </w:tc>
        <w:tc>
          <w:tcPr>
            <w:tcW w:w="100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优良中低差</w:t>
            </w:r>
          </w:p>
        </w:tc>
        <w:tc>
          <w:tcPr>
            <w:tcW w:w="69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优</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8</w:t>
            </w:r>
          </w:p>
        </w:tc>
        <w:tc>
          <w:tcPr>
            <w:tcW w:w="588"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8</w:t>
            </w:r>
          </w:p>
        </w:tc>
        <w:tc>
          <w:tcPr>
            <w:tcW w:w="1388"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生态效益指标</w:t>
            </w:r>
          </w:p>
        </w:tc>
        <w:tc>
          <w:tcPr>
            <w:tcW w:w="213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利用现有场地开展项目建设。本项目不会带来环境负面作用及影响。</w:t>
            </w:r>
          </w:p>
        </w:tc>
        <w:tc>
          <w:tcPr>
            <w:tcW w:w="1007"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优良中低差</w:t>
            </w:r>
          </w:p>
        </w:tc>
        <w:tc>
          <w:tcPr>
            <w:tcW w:w="690"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1"/>
                <w:szCs w:val="21"/>
              </w:rPr>
            </w:pPr>
            <w:r>
              <w:rPr>
                <w:rFonts w:hint="eastAsia" w:ascii="宋体" w:hAnsi="宋体" w:eastAsia="宋体" w:cs="宋体"/>
                <w:kern w:val="0"/>
                <w:sz w:val="21"/>
                <w:szCs w:val="21"/>
              </w:rPr>
              <w:t>优</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8</w:t>
            </w:r>
          </w:p>
        </w:tc>
        <w:tc>
          <w:tcPr>
            <w:tcW w:w="588"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8</w:t>
            </w:r>
          </w:p>
        </w:tc>
        <w:tc>
          <w:tcPr>
            <w:tcW w:w="1388"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可持续影响指标</w:t>
            </w:r>
          </w:p>
        </w:tc>
        <w:tc>
          <w:tcPr>
            <w:tcW w:w="213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项目建设内容经过调研论证，符合事业发展要求，可操作性高，有工作基础，具备可持续发展性</w:t>
            </w:r>
          </w:p>
        </w:tc>
        <w:tc>
          <w:tcPr>
            <w:tcW w:w="1007"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优良中低差</w:t>
            </w:r>
          </w:p>
        </w:tc>
        <w:tc>
          <w:tcPr>
            <w:tcW w:w="690"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1"/>
                <w:szCs w:val="21"/>
              </w:rPr>
            </w:pPr>
            <w:r>
              <w:rPr>
                <w:rFonts w:hint="eastAsia" w:ascii="宋体" w:hAnsi="宋体" w:eastAsia="宋体" w:cs="宋体"/>
                <w:kern w:val="0"/>
                <w:sz w:val="21"/>
                <w:szCs w:val="21"/>
              </w:rPr>
              <w:t>优</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6</w:t>
            </w:r>
          </w:p>
        </w:tc>
        <w:tc>
          <w:tcPr>
            <w:tcW w:w="588"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6</w:t>
            </w:r>
          </w:p>
        </w:tc>
        <w:tc>
          <w:tcPr>
            <w:tcW w:w="1388"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满意度</w:t>
            </w:r>
          </w:p>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指标</w:t>
            </w:r>
          </w:p>
        </w:tc>
        <w:tc>
          <w:tcPr>
            <w:tcW w:w="110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服务对象满意度标</w:t>
            </w:r>
          </w:p>
        </w:tc>
        <w:tc>
          <w:tcPr>
            <w:tcW w:w="213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学校教职工</w:t>
            </w:r>
          </w:p>
        </w:tc>
        <w:tc>
          <w:tcPr>
            <w:tcW w:w="100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95%以上</w:t>
            </w:r>
          </w:p>
        </w:tc>
        <w:tc>
          <w:tcPr>
            <w:tcW w:w="69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95%</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2.5</w:t>
            </w:r>
          </w:p>
        </w:tc>
        <w:tc>
          <w:tcPr>
            <w:tcW w:w="588"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2.5</w:t>
            </w:r>
          </w:p>
        </w:tc>
        <w:tc>
          <w:tcPr>
            <w:tcW w:w="1388"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培训对象</w:t>
            </w:r>
          </w:p>
        </w:tc>
        <w:tc>
          <w:tcPr>
            <w:tcW w:w="100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95%以上</w:t>
            </w:r>
          </w:p>
        </w:tc>
        <w:tc>
          <w:tcPr>
            <w:tcW w:w="69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95%</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2.5</w:t>
            </w:r>
          </w:p>
        </w:tc>
        <w:tc>
          <w:tcPr>
            <w:tcW w:w="588"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2.5</w:t>
            </w:r>
          </w:p>
        </w:tc>
        <w:tc>
          <w:tcPr>
            <w:tcW w:w="1388"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学校学生</w:t>
            </w:r>
          </w:p>
        </w:tc>
        <w:tc>
          <w:tcPr>
            <w:tcW w:w="100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90%以上</w:t>
            </w:r>
          </w:p>
        </w:tc>
        <w:tc>
          <w:tcPr>
            <w:tcW w:w="69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95%</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2.5</w:t>
            </w:r>
          </w:p>
        </w:tc>
        <w:tc>
          <w:tcPr>
            <w:tcW w:w="588"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2.5</w:t>
            </w:r>
          </w:p>
        </w:tc>
        <w:tc>
          <w:tcPr>
            <w:tcW w:w="1388"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5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c>
          <w:tcPr>
            <w:tcW w:w="213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eastAsia="宋体" w:cs="宋体"/>
                <w:kern w:val="0"/>
                <w:sz w:val="21"/>
                <w:szCs w:val="21"/>
              </w:rPr>
            </w:pPr>
            <w:r>
              <w:rPr>
                <w:rFonts w:hint="eastAsia" w:ascii="宋体" w:hAnsi="宋体" w:eastAsia="宋体" w:cs="宋体"/>
                <w:color w:val="000000"/>
                <w:kern w:val="0"/>
                <w:sz w:val="21"/>
                <w:szCs w:val="21"/>
                <w:lang w:bidi="ar"/>
              </w:rPr>
              <w:t>社会公众投诉率</w:t>
            </w:r>
          </w:p>
        </w:tc>
        <w:tc>
          <w:tcPr>
            <w:tcW w:w="100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0</w:t>
            </w:r>
          </w:p>
        </w:tc>
        <w:tc>
          <w:tcPr>
            <w:tcW w:w="69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0</w:t>
            </w:r>
          </w:p>
        </w:tc>
        <w:tc>
          <w:tcPr>
            <w:tcW w:w="563"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2.5</w:t>
            </w:r>
          </w:p>
        </w:tc>
        <w:tc>
          <w:tcPr>
            <w:tcW w:w="588"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textAlignment w:val="bottom"/>
              <w:rPr>
                <w:rFonts w:ascii="宋体" w:hAnsi="宋体" w:eastAsia="宋体" w:cs="宋体"/>
                <w:kern w:val="0"/>
                <w:sz w:val="21"/>
                <w:szCs w:val="21"/>
              </w:rPr>
            </w:pPr>
            <w:r>
              <w:rPr>
                <w:rFonts w:hint="eastAsia" w:ascii="宋体" w:hAnsi="宋体" w:eastAsia="宋体" w:cs="宋体"/>
                <w:color w:val="000000"/>
                <w:kern w:val="0"/>
                <w:sz w:val="21"/>
                <w:szCs w:val="21"/>
                <w:lang w:bidi="ar"/>
              </w:rPr>
              <w:t>2.5</w:t>
            </w:r>
          </w:p>
        </w:tc>
        <w:tc>
          <w:tcPr>
            <w:tcW w:w="1388"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r>
        <w:tblPrEx>
          <w:tblCellMar>
            <w:top w:w="0" w:type="dxa"/>
            <w:left w:w="108" w:type="dxa"/>
            <w:bottom w:w="0" w:type="dxa"/>
            <w:right w:w="108" w:type="dxa"/>
          </w:tblCellMar>
        </w:tblPrEx>
        <w:trPr>
          <w:jc w:val="center"/>
        </w:trPr>
        <w:tc>
          <w:tcPr>
            <w:tcW w:w="649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总分</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100</w:t>
            </w:r>
          </w:p>
        </w:tc>
        <w:tc>
          <w:tcPr>
            <w:tcW w:w="588"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r>
              <w:rPr>
                <w:rFonts w:hint="eastAsia" w:ascii="宋体" w:hAnsi="宋体" w:eastAsia="宋体" w:cs="宋体"/>
                <w:kern w:val="0"/>
                <w:sz w:val="21"/>
                <w:szCs w:val="21"/>
              </w:rPr>
              <w:t>97.14</w:t>
            </w:r>
          </w:p>
        </w:tc>
        <w:tc>
          <w:tcPr>
            <w:tcW w:w="1388"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21"/>
                <w:szCs w:val="21"/>
              </w:rPr>
            </w:pPr>
          </w:p>
        </w:tc>
      </w:tr>
    </w:tbl>
    <w:p>
      <w:pPr>
        <w:widowControl/>
        <w:spacing w:line="520" w:lineRule="exact"/>
        <w:jc w:val="left"/>
        <w:rPr>
          <w:rFonts w:ascii="仿宋_GB2312" w:hAnsi="宋体" w:cs="宋体"/>
          <w:color w:val="000000"/>
          <w:kern w:val="0"/>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altName w:val="黑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zZTc3MGRjMjFmZTcxNDhhNmI4ODBkNDBhYWEwZGEifQ=="/>
  </w:docVars>
  <w:rsids>
    <w:rsidRoot w:val="003279EC"/>
    <w:rsid w:val="0004456A"/>
    <w:rsid w:val="0009776C"/>
    <w:rsid w:val="000A3EC7"/>
    <w:rsid w:val="0025625B"/>
    <w:rsid w:val="00296F48"/>
    <w:rsid w:val="002A4459"/>
    <w:rsid w:val="003279EC"/>
    <w:rsid w:val="004C132C"/>
    <w:rsid w:val="004E0A4A"/>
    <w:rsid w:val="00517E15"/>
    <w:rsid w:val="0053466F"/>
    <w:rsid w:val="007B1E0C"/>
    <w:rsid w:val="00827878"/>
    <w:rsid w:val="008E7020"/>
    <w:rsid w:val="009555ED"/>
    <w:rsid w:val="0096106B"/>
    <w:rsid w:val="00A87E25"/>
    <w:rsid w:val="00B032CB"/>
    <w:rsid w:val="00B100BC"/>
    <w:rsid w:val="00BD68F3"/>
    <w:rsid w:val="00C3570D"/>
    <w:rsid w:val="00CC01E5"/>
    <w:rsid w:val="00F02A19"/>
    <w:rsid w:val="00FD171A"/>
    <w:rsid w:val="03815A8A"/>
    <w:rsid w:val="04207B52"/>
    <w:rsid w:val="08083189"/>
    <w:rsid w:val="10FA61E7"/>
    <w:rsid w:val="11793215"/>
    <w:rsid w:val="146E7C2C"/>
    <w:rsid w:val="19E66CCF"/>
    <w:rsid w:val="1F0F0D80"/>
    <w:rsid w:val="25F60F51"/>
    <w:rsid w:val="261A4F40"/>
    <w:rsid w:val="26552A9F"/>
    <w:rsid w:val="265B43C9"/>
    <w:rsid w:val="29D25960"/>
    <w:rsid w:val="2E9911EB"/>
    <w:rsid w:val="32B3488C"/>
    <w:rsid w:val="3DC052AC"/>
    <w:rsid w:val="3DD23BF8"/>
    <w:rsid w:val="3EE03DF4"/>
    <w:rsid w:val="42C002FB"/>
    <w:rsid w:val="4B7F38EA"/>
    <w:rsid w:val="4B820A6A"/>
    <w:rsid w:val="4C513C42"/>
    <w:rsid w:val="4DFC7501"/>
    <w:rsid w:val="521E7E70"/>
    <w:rsid w:val="535A4D6F"/>
    <w:rsid w:val="5B7455B9"/>
    <w:rsid w:val="5BB21262"/>
    <w:rsid w:val="5BB439B0"/>
    <w:rsid w:val="5C992F89"/>
    <w:rsid w:val="5DDE10AD"/>
    <w:rsid w:val="639A3A98"/>
    <w:rsid w:val="68B63758"/>
    <w:rsid w:val="69F54A5C"/>
    <w:rsid w:val="6DA242B5"/>
    <w:rsid w:val="6E4F04D0"/>
    <w:rsid w:val="77EB3293"/>
    <w:rsid w:val="78AC6806"/>
    <w:rsid w:val="7A5C5D83"/>
    <w:rsid w:val="7A8C4B1E"/>
    <w:rsid w:val="7D4E4F8F"/>
    <w:rsid w:val="7DE74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semiHidden/>
    <w:qFormat/>
    <w:uiPriority w:val="99"/>
    <w:rPr>
      <w:rFonts w:ascii="Times New Roman" w:hAnsi="Times New Roman" w:eastAsia="仿宋_GB2312" w:cs="Times New Roman"/>
      <w:sz w:val="18"/>
      <w:szCs w:val="18"/>
    </w:rPr>
  </w:style>
  <w:style w:type="character" w:customStyle="1" w:styleId="8">
    <w:name w:val="页眉 Char"/>
    <w:basedOn w:val="6"/>
    <w:link w:val="4"/>
    <w:qFormat/>
    <w:uiPriority w:val="99"/>
    <w:rPr>
      <w:rFonts w:ascii="Times New Roman" w:hAnsi="Times New Roman" w:eastAsia="仿宋_GB2312"/>
      <w:kern w:val="2"/>
      <w:sz w:val="18"/>
      <w:szCs w:val="18"/>
    </w:rPr>
  </w:style>
  <w:style w:type="character" w:customStyle="1" w:styleId="9">
    <w:name w:val="页脚 Char"/>
    <w:basedOn w:val="6"/>
    <w:link w:val="3"/>
    <w:qFormat/>
    <w:uiPriority w:val="99"/>
    <w:rPr>
      <w:rFonts w:ascii="Times New Roman" w:hAnsi="Times New Roman" w:eastAsia="仿宋_GB2312"/>
      <w:kern w:val="2"/>
      <w:sz w:val="18"/>
      <w:szCs w:val="18"/>
    </w:rPr>
  </w:style>
  <w:style w:type="character" w:customStyle="1" w:styleId="10">
    <w:name w:val="font21"/>
    <w:basedOn w:val="6"/>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Home</Company>
  <Pages>1</Pages>
  <Words>846</Words>
  <Characters>4826</Characters>
  <Lines>40</Lines>
  <Paragraphs>11</Paragraphs>
  <TotalTime>0</TotalTime>
  <ScaleCrop>false</ScaleCrop>
  <LinksUpToDate>false</LinksUpToDate>
  <CharactersWithSpaces>5661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2022-11-02T02:09:00Z</dcterms:created>
  <dc:creator>China</dc:creator>
  <cp:lastModifiedBy>lily</cp:lastModifiedBy>
  <cp:lastPrinted>2021-04-08T08:02:00Z</cp:lastPrinted>
  <dcterms:modified xsi:type="dcterms:W3CDTF">2023-06-08T07:51:29Z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25B720BD63ED45A399374E5946FE000D</vt:lpwstr>
  </property>
</Properties>
</file>