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02">
      <w:pPr>
        <w:pStyle w:val="7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sz w:val="44"/>
          <w:szCs w:val="44"/>
        </w:rPr>
        <w:t>年北京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市</w:t>
      </w:r>
      <w:r>
        <w:rPr>
          <w:rFonts w:hint="eastAsia" w:ascii="方正小标宋简体" w:hAnsi="仿宋" w:eastAsia="方正小标宋简体" w:cs="仿宋"/>
          <w:sz w:val="44"/>
          <w:szCs w:val="44"/>
        </w:rPr>
        <w:t>学生机器人智能大赛</w:t>
      </w:r>
    </w:p>
    <w:p w14:paraId="34006488">
      <w:pPr>
        <w:adjustRightInd w:val="0"/>
        <w:snapToGrid w:val="0"/>
        <w:spacing w:line="560" w:lineRule="exact"/>
        <w:ind w:right="6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活动方案</w:t>
      </w:r>
    </w:p>
    <w:p w14:paraId="0E1D722D">
      <w:pPr>
        <w:adjustRightInd w:val="0"/>
        <w:snapToGrid w:val="0"/>
        <w:spacing w:line="560" w:lineRule="exact"/>
        <w:ind w:right="5"/>
        <w:jc w:val="center"/>
        <w:rPr>
          <w:rFonts w:ascii="仿宋" w:hAnsi="仿宋" w:eastAsia="仿宋" w:cs="仿宋"/>
          <w:b/>
          <w:bCs/>
          <w:sz w:val="36"/>
        </w:rPr>
      </w:pPr>
    </w:p>
    <w:p w14:paraId="1AB1E7BD">
      <w:pPr>
        <w:pStyle w:val="7"/>
        <w:widowControl w:val="0"/>
        <w:snapToGrid w:val="0"/>
        <w:spacing w:line="560" w:lineRule="exact"/>
        <w:ind w:left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一、活动宗旨</w:t>
      </w:r>
    </w:p>
    <w:p w14:paraId="36140AC3">
      <w:pPr>
        <w:pStyle w:val="7"/>
        <w:widowControl w:val="0"/>
        <w:tabs>
          <w:tab w:val="left" w:pos="7740"/>
        </w:tabs>
        <w:snapToGrid w:val="0"/>
        <w:spacing w:line="560" w:lineRule="exact"/>
        <w:ind w:left="-2" w:right="48" w:firstLine="57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北京学生机器人智能大赛旨在以创新实践活动为载体，为学生营造轻松、自由、开放的活动氛围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为学校开展机器人教育教学搭建成果展示与交流平台。通过活动，培养学生严谨、细致的作风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提高学生</w:t>
      </w:r>
      <w:r>
        <w:rPr>
          <w:rFonts w:hint="eastAsia" w:ascii="仿宋_GB2312" w:hAnsi="仿宋_GB2312" w:eastAsia="仿宋_GB2312" w:cs="仿宋_GB2312"/>
          <w:szCs w:val="32"/>
        </w:rPr>
        <w:t>多学科知识融合运用能力、逻辑思维能力、解决问题的创新与决策能力，培养团队合作精神。</w:t>
      </w:r>
    </w:p>
    <w:p w14:paraId="39EDB128">
      <w:pPr>
        <w:pStyle w:val="7"/>
        <w:widowControl w:val="0"/>
        <w:snapToGrid w:val="0"/>
        <w:spacing w:line="560" w:lineRule="exact"/>
        <w:ind w:left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二、组织机构</w:t>
      </w:r>
    </w:p>
    <w:p w14:paraId="6EB22EF5">
      <w:pPr>
        <w:pStyle w:val="7"/>
        <w:widowControl w:val="0"/>
        <w:tabs>
          <w:tab w:val="left" w:pos="7740"/>
        </w:tabs>
        <w:snapToGrid w:val="0"/>
        <w:spacing w:line="560" w:lineRule="exact"/>
        <w:ind w:left="-2" w:right="48" w:firstLine="57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主办单位：北京市教育委员会</w:t>
      </w:r>
    </w:p>
    <w:p w14:paraId="44C06EA1">
      <w:pPr>
        <w:pStyle w:val="7"/>
        <w:widowControl w:val="0"/>
        <w:tabs>
          <w:tab w:val="left" w:pos="7740"/>
        </w:tabs>
        <w:snapToGrid w:val="0"/>
        <w:spacing w:line="560" w:lineRule="exact"/>
        <w:ind w:left="-2" w:right="48" w:firstLine="57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承办单位：北京市少年宫、北京理工大学基础教育管理中心</w:t>
      </w:r>
    </w:p>
    <w:p w14:paraId="5D7255DB">
      <w:pPr>
        <w:pStyle w:val="7"/>
        <w:widowControl w:val="0"/>
        <w:tabs>
          <w:tab w:val="left" w:pos="7740"/>
        </w:tabs>
        <w:snapToGrid w:val="0"/>
        <w:spacing w:line="560" w:lineRule="exact"/>
        <w:ind w:left="-2" w:right="48" w:firstLine="57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支持单位：北京理工大学</w:t>
      </w:r>
    </w:p>
    <w:p w14:paraId="2560F99F">
      <w:pPr>
        <w:pStyle w:val="7"/>
        <w:widowControl w:val="0"/>
        <w:tabs>
          <w:tab w:val="left" w:pos="7740"/>
        </w:tabs>
        <w:snapToGrid w:val="0"/>
        <w:spacing w:line="560" w:lineRule="exact"/>
        <w:ind w:left="-2" w:right="48" w:firstLine="57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主承办方共同成立活动组委会，设组委会办公室，负责活动的组织管理和统筹，组委会办公室设在北京市少年宫科技活动部。</w:t>
      </w:r>
    </w:p>
    <w:p w14:paraId="1D268D46">
      <w:pPr>
        <w:pStyle w:val="7"/>
        <w:widowControl w:val="0"/>
        <w:tabs>
          <w:tab w:val="left" w:pos="7740"/>
        </w:tabs>
        <w:snapToGrid w:val="0"/>
        <w:spacing w:line="560" w:lineRule="exact"/>
        <w:ind w:left="-2" w:right="48" w:firstLine="57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各区依据本区实际情况建立工作系统，负责本区参赛队的选拔、报名、赛后证书分发及需要协助活动组委会开展的各项工作。</w:t>
      </w:r>
    </w:p>
    <w:p w14:paraId="6B066662">
      <w:pPr>
        <w:pStyle w:val="7"/>
        <w:widowControl w:val="0"/>
        <w:snapToGrid w:val="0"/>
        <w:spacing w:line="560" w:lineRule="exact"/>
        <w:ind w:left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三、活动对象</w:t>
      </w:r>
    </w:p>
    <w:p w14:paraId="6F92A107">
      <w:pPr>
        <w:pStyle w:val="7"/>
        <w:widowControl w:val="0"/>
        <w:snapToGrid w:val="0"/>
        <w:spacing w:line="560" w:lineRule="exact"/>
        <w:ind w:left="-3" w:firstLine="579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本次活动面向全体北京市在校中小学生。各级教育、妇联及共青团等单位所属校外教育机构、全日制中小学校可作为参赛单位组队参赛。</w:t>
      </w:r>
    </w:p>
    <w:p w14:paraId="67388B3E">
      <w:pPr>
        <w:pStyle w:val="7"/>
        <w:widowControl w:val="0"/>
        <w:snapToGrid w:val="0"/>
        <w:spacing w:line="560" w:lineRule="exact"/>
        <w:ind w:left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四、活动项目简介及组队要求</w:t>
      </w:r>
    </w:p>
    <w:p w14:paraId="2B631C99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以下说明仅是各活动项目的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概况描述，详细规则以组委会发布的活动总则及各项目活动规则为准。</w:t>
      </w:r>
    </w:p>
    <w:p w14:paraId="144CE6D6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（一）机器人工程挑战赛</w:t>
      </w:r>
    </w:p>
    <w:p w14:paraId="65405DA2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使用自己熟悉的机器人器材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在规定时间内完成现场给定的任务命题。面向小学（4-6年级）、初中、高中三个学段，参赛队由4名学生及1-2名辅导教师组成。</w:t>
      </w:r>
    </w:p>
    <w:p w14:paraId="7154EB09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（二）VEX机器人工程挑战赛</w:t>
      </w:r>
    </w:p>
    <w:p w14:paraId="61C9BAA5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完成VEX 2025-2026赛季部分赛项内容，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面向小学学段（4-6年级）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初中、高中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个学段，参赛队由4名学生及1-2名辅导教师组成。</w:t>
      </w:r>
    </w:p>
    <w:p w14:paraId="7AD12EB9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少儿工程创意赛</w:t>
      </w:r>
    </w:p>
    <w:p w14:paraId="45FA6D9C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学生使用自己熟悉的机器人器材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按照主题制作完成机器人作品，并进行现场展示及问辩。面向小学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1-3年级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，参赛队由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名学生及1-2名辅导教师组成。</w:t>
      </w:r>
    </w:p>
    <w:p w14:paraId="3AE9133F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智慧机械挑战赛</w:t>
      </w:r>
    </w:p>
    <w:p w14:paraId="1A942630">
      <w:pPr>
        <w:pStyle w:val="6"/>
        <w:widowControl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生自主设计搭建机器人（器材不限）并编制基础程序。活动现场抽签决定需完成任务以及任务中的变量，参赛队现场对机器人进行调整并由自动程序控制机器人完成任务。面向小学（4-6年级）、初中、高中三个学段，参赛队由3名学生及1-2名辅导教师组成。</w:t>
      </w:r>
    </w:p>
    <w:p w14:paraId="57682D4F">
      <w:pPr>
        <w:pStyle w:val="6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（五）智能机器人线上挑战赛</w:t>
      </w:r>
    </w:p>
    <w:p w14:paraId="529F208B">
      <w:pPr>
        <w:pStyle w:val="6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学生在虚拟仿真机器人平台设计、搭建、编程、控制机器人完成规定任务。面向小学、初中、高中三个学段，此项目为个人赛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由1名学生及1名辅导教师组成。</w:t>
      </w:r>
    </w:p>
    <w:p w14:paraId="2C2B7FF5">
      <w:pPr>
        <w:pStyle w:val="7"/>
        <w:widowControl w:val="0"/>
        <w:snapToGrid w:val="0"/>
        <w:spacing w:line="560" w:lineRule="exact"/>
        <w:ind w:left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五、活动时间和地点</w:t>
      </w:r>
    </w:p>
    <w:p w14:paraId="4B11B61F">
      <w:pPr>
        <w:pStyle w:val="6"/>
        <w:widowControl w:val="0"/>
        <w:snapToGrid w:val="0"/>
        <w:spacing w:line="560" w:lineRule="exact"/>
        <w:ind w:firstLine="627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（一）活动时间：</w:t>
      </w:r>
    </w:p>
    <w:p w14:paraId="0184A785">
      <w:pPr>
        <w:pStyle w:val="6"/>
        <w:widowControl w:val="0"/>
        <w:snapToGrid w:val="0"/>
        <w:spacing w:line="560" w:lineRule="exact"/>
        <w:ind w:firstLine="62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线下活动计划于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举办，线上活动计划于11月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旬开展。（组委会将及时通过活动组织渠道告知参赛单位，请及时关注相关信息。）</w:t>
      </w:r>
    </w:p>
    <w:p w14:paraId="591B4E24">
      <w:pPr>
        <w:pStyle w:val="6"/>
        <w:widowControl w:val="0"/>
        <w:snapToGrid w:val="0"/>
        <w:spacing w:line="560" w:lineRule="exact"/>
        <w:ind w:firstLine="627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（二）教师培训时间：（另行通知）</w:t>
      </w:r>
    </w:p>
    <w:p w14:paraId="07919718">
      <w:pPr>
        <w:pStyle w:val="6"/>
        <w:widowControl w:val="0"/>
        <w:snapToGrid w:val="0"/>
        <w:spacing w:line="560" w:lineRule="exact"/>
        <w:ind w:firstLine="627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（三）活动地点：北京理工大学（良乡校区）及北京理工大学附属实验学校（良乡）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6187AFF6">
      <w:pPr>
        <w:pStyle w:val="7"/>
        <w:widowControl w:val="0"/>
        <w:snapToGrid w:val="0"/>
        <w:spacing w:line="560" w:lineRule="exact"/>
        <w:ind w:left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六、活动办法</w:t>
      </w:r>
    </w:p>
    <w:p w14:paraId="2D7668EE">
      <w:pPr>
        <w:pStyle w:val="7"/>
        <w:widowControl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北京</w:t>
      </w:r>
      <w:r>
        <w:rPr>
          <w:rFonts w:hint="eastAsia" w:ascii="仿宋_GB2312" w:hAnsi="仿宋_GB2312" w:cs="仿宋_GB231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Cs w:val="32"/>
        </w:rPr>
        <w:t>学生机器人智能大赛由活动组委会组织实施，各区根据本区实际情况开展区级活动。</w:t>
      </w:r>
    </w:p>
    <w:p w14:paraId="32A42FE7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市级活动的团队项目以校外教育机构、全日制中小学校为单位组织本单位学员或本校学生组队参与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各区统一报名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除中国儿童中心、中国宋庆龄青少年科技文化交流中心、北京市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少年宫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不接受参与活动单位直接报名。</w:t>
      </w:r>
    </w:p>
    <w:p w14:paraId="5FCE88A8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活动名额</w:t>
      </w:r>
    </w:p>
    <w:p w14:paraId="115D89C6">
      <w:pPr>
        <w:pStyle w:val="6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市级活动名额分配详见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年北京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学生机器人智能大赛各区及相关单位代表队名额分配表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（附后）。</w:t>
      </w:r>
    </w:p>
    <w:p w14:paraId="706CEAF6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参与活动的单位在每个活动项目的每个组别中只能报1个代表队，且代表队的组别须符合学校的学段（小学只能报小学组、九年一贯制学校只能报小学组和初中组、完全中学只能报初中组和高中组，以此类推）。</w:t>
      </w:r>
    </w:p>
    <w:p w14:paraId="217016C0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智能机器人线上挑战赛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采用初赛和复赛的赛制，初赛阶段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不限定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初赛后根据比赛成绩选拔前300名选手进入复赛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4259139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队选手组成应属同一学段，不能跨学段组队参赛。小学组参赛选手要求四年级（含）以上（少儿工程创意赛除外）。参与活动的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队及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队员不可兼项。</w:t>
      </w:r>
    </w:p>
    <w:p w14:paraId="104130DF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市级活动将按照各项目活动规则进行。</w:t>
      </w:r>
    </w:p>
    <w:p w14:paraId="2FFC8379">
      <w:pPr>
        <w:pStyle w:val="7"/>
        <w:widowControl w:val="0"/>
        <w:snapToGrid w:val="0"/>
        <w:spacing w:line="560" w:lineRule="exact"/>
        <w:ind w:firstLine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七、奖项设置及奖励办法</w:t>
      </w:r>
    </w:p>
    <w:p w14:paraId="054C9619">
      <w:pPr>
        <w:pStyle w:val="7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线下活动项目依照规则,按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项目、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组别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评选一、二、三等奖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获奖数量以实际参与比赛的队伍数量为准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。获奖比例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一等奖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%，二等奖1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%，三等奖20%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如遇获奖队伍数量非整数，则采用向上取整的方式计算获奖队伍数量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。</w:t>
      </w:r>
    </w:p>
    <w:p w14:paraId="1F58CFEF">
      <w:pPr>
        <w:pStyle w:val="7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b/>
          <w:bCs/>
          <w:color w:val="FF0000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智能机器人线上挑战赛根据实际参与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复赛的选手数量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按组别分组评选一、二、三等奖，获奖比例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一等奖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%，二等奖1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 xml:space="preserve">%，三等奖20%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如遇获奖学生数量非整数，则采用向上取整的方式计算获奖学生数量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Cs w:val="32"/>
          <w:lang w:val="en-US" w:eastAsia="zh-CN"/>
        </w:rPr>
        <w:t>。</w:t>
      </w:r>
    </w:p>
    <w:p w14:paraId="6626E817">
      <w:pPr>
        <w:pStyle w:val="7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活动为荣获一、二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Cs w:val="32"/>
        </w:rPr>
        <w:t>等奖的参赛学生辅导教师，颁发优秀辅导教师证书。</w:t>
      </w:r>
    </w:p>
    <w:p w14:paraId="7DA29E3B">
      <w:pPr>
        <w:pStyle w:val="7"/>
        <w:widowControl w:val="0"/>
        <w:snapToGrid w:val="0"/>
        <w:spacing w:line="560" w:lineRule="exact"/>
        <w:ind w:firstLine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八、工作要求</w:t>
      </w:r>
    </w:p>
    <w:p w14:paraId="629D4281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请各区依本区实际情况建立工作系统，安排专人担任区领队，负责本区活动开展和组织工作，审核参与学生资格，协助做好市级活动中本区代表队的沟通及组织管理工作。各区要根据本区实际，拟定本区工作方案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通知学校，避免简单转发市级活动通知方案的情况。</w:t>
      </w:r>
    </w:p>
    <w:p w14:paraId="460D3F7B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年9月5日前将本区领队的姓名、单位、职务、手机号反馈至邮箱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sjwkptj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.com，以便后续工作及时联系。</w:t>
      </w:r>
    </w:p>
    <w:p w14:paraId="05492BC0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前将本区所有参与单位的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报名信息填报完毕（具体填报方式另行通知）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。请各区领队务必做好报名材料整理审核工作，所有报名材料务必填写完整真实，否则视为无效。</w:t>
      </w:r>
    </w:p>
    <w:p w14:paraId="632024F6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组织开展了区级选拔活动的区，请在提交市级活动报名材料的同时将区级选拔活动的成绩汇总、活动总结及区级活动现场照片（不少于6张）一并提交活动组委会办公室。</w:t>
      </w:r>
    </w:p>
    <w:p w14:paraId="6336E4C1">
      <w:pPr>
        <w:pStyle w:val="6"/>
        <w:widowControl w:val="0"/>
        <w:snapToGrid w:val="0"/>
        <w:spacing w:line="560" w:lineRule="exact"/>
        <w:ind w:left="-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各区要重视安全工作，加强安全教育，明确安全责任，制定安全预案，确保区级活动的安全。督促各参与活动单位在日常教学及活动中培养学生的安全意识，养成使用安全护具的工作习惯。</w:t>
      </w:r>
    </w:p>
    <w:p w14:paraId="4BF2B5D3">
      <w:pPr>
        <w:pStyle w:val="7"/>
        <w:widowControl w:val="0"/>
        <w:snapToGrid w:val="0"/>
        <w:spacing w:line="560" w:lineRule="exact"/>
        <w:ind w:firstLine="627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九、其他事宜</w:t>
      </w:r>
    </w:p>
    <w:p w14:paraId="39364734">
      <w:pPr>
        <w:pStyle w:val="7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获奖名单将在北京市教育委员会体育卫生与</w:t>
      </w:r>
      <w:r>
        <w:rPr>
          <w:rFonts w:hint="eastAsia" w:ascii="仿宋_GB2312" w:hAnsi="仿宋_GB2312" w:cs="仿宋_GB2312"/>
          <w:szCs w:val="32"/>
          <w:lang w:val="en-US" w:eastAsia="zh-CN"/>
        </w:rPr>
        <w:t>艺</w:t>
      </w:r>
      <w:r>
        <w:rPr>
          <w:rFonts w:hint="eastAsia" w:ascii="仿宋_GB2312" w:hAnsi="仿宋_GB2312" w:eastAsia="仿宋_GB2312" w:cs="仿宋_GB2312"/>
          <w:szCs w:val="32"/>
        </w:rPr>
        <w:t>术教育处网站（http://jw.beijing.gov.cn/tmc/）上公布。</w:t>
      </w:r>
    </w:p>
    <w:p w14:paraId="725670C7">
      <w:pPr>
        <w:pStyle w:val="7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与活动相关的规则、补充通知以及其他未尽事宜，请随时关注活动发布的补充信息。</w:t>
      </w:r>
    </w:p>
    <w:p w14:paraId="793168CB">
      <w:pPr>
        <w:pStyle w:val="7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p w14:paraId="778E202A">
      <w:pPr>
        <w:pStyle w:val="7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联系人：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胡冰</w:t>
      </w:r>
    </w:p>
    <w:p w14:paraId="2274E52B">
      <w:pPr>
        <w:pStyle w:val="7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联系电话：875503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Cs w:val="32"/>
        </w:rPr>
        <w:t xml:space="preserve">  </w:t>
      </w:r>
    </w:p>
    <w:p w14:paraId="79886A79">
      <w:pPr>
        <w:pStyle w:val="7"/>
        <w:widowControl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sjwkptj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</w:p>
    <w:p w14:paraId="0169AB95">
      <w:pPr>
        <w:pStyle w:val="7"/>
        <w:widowControl w:val="0"/>
        <w:snapToGrid w:val="0"/>
        <w:spacing w:line="560" w:lineRule="exact"/>
        <w:rPr>
          <w:rFonts w:ascii="黑体" w:hAnsi="黑体" w:eastAsia="黑体" w:cs="仿宋"/>
          <w:szCs w:val="32"/>
        </w:rPr>
      </w:pPr>
      <w:r>
        <w:rPr>
          <w:rFonts w:ascii="仿宋" w:hAnsi="仿宋" w:eastAsia="仿宋" w:cs="仿宋"/>
          <w:szCs w:val="32"/>
        </w:rPr>
        <w:br w:type="page"/>
      </w:r>
      <w:bookmarkStart w:id="0" w:name="_Hlk111166645"/>
    </w:p>
    <w:p w14:paraId="354EFD7E">
      <w:pPr>
        <w:pStyle w:val="7"/>
        <w:widowControl w:val="0"/>
        <w:spacing w:line="56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sz w:val="36"/>
          <w:szCs w:val="36"/>
        </w:rPr>
        <w:t>年北京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市</w:t>
      </w:r>
      <w:r>
        <w:rPr>
          <w:rFonts w:hint="eastAsia" w:ascii="方正小标宋简体" w:hAnsi="仿宋" w:eastAsia="方正小标宋简体" w:cs="仿宋"/>
          <w:sz w:val="36"/>
          <w:szCs w:val="36"/>
        </w:rPr>
        <w:t>学生机器人智能大赛</w:t>
      </w:r>
    </w:p>
    <w:p w14:paraId="5C38EBEF">
      <w:pPr>
        <w:pStyle w:val="7"/>
        <w:widowControl w:val="0"/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各区及相关单位代表队名额分配表</w:t>
      </w:r>
    </w:p>
    <w:p w14:paraId="554C3A9B">
      <w:pPr>
        <w:pStyle w:val="7"/>
        <w:widowControl w:val="0"/>
        <w:spacing w:line="400" w:lineRule="exact"/>
        <w:jc w:val="center"/>
        <w:rPr>
          <w:rFonts w:ascii="方正小标宋简体" w:hAnsi="仿宋" w:eastAsia="方正小标宋简体" w:cs="仿宋"/>
          <w:sz w:val="48"/>
          <w:szCs w:val="44"/>
        </w:rPr>
      </w:pPr>
      <w:r>
        <w:rPr>
          <w:rFonts w:hint="eastAsia" w:ascii="方正小标宋简体" w:hAnsi="仿宋" w:eastAsia="方正小标宋简体" w:cs="仿宋"/>
          <w:sz w:val="28"/>
          <w:szCs w:val="44"/>
        </w:rPr>
        <w:t>（市级线下活动）</w:t>
      </w:r>
    </w:p>
    <w:tbl>
      <w:tblPr>
        <w:tblStyle w:val="10"/>
        <w:tblW w:w="10200" w:type="dxa"/>
        <w:tblInd w:w="-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1721"/>
        <w:gridCol w:w="1635"/>
        <w:gridCol w:w="1500"/>
        <w:gridCol w:w="1380"/>
        <w:gridCol w:w="1140"/>
      </w:tblGrid>
      <w:tr w14:paraId="1F7A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2824" w:type="dxa"/>
            <w:vAlign w:val="center"/>
          </w:tcPr>
          <w:p w14:paraId="5CD0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721" w:type="dxa"/>
            <w:vAlign w:val="center"/>
          </w:tcPr>
          <w:p w14:paraId="1B7E9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机器人</w:t>
            </w:r>
          </w:p>
          <w:p w14:paraId="42585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工程挑战赛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 w14:paraId="488F9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VEX机器人</w:t>
            </w:r>
          </w:p>
          <w:p w14:paraId="52C3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工程挑战赛</w:t>
            </w:r>
          </w:p>
        </w:tc>
        <w:tc>
          <w:tcPr>
            <w:tcW w:w="1500" w:type="dxa"/>
            <w:vAlign w:val="center"/>
          </w:tcPr>
          <w:p w14:paraId="1F002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少儿工程</w:t>
            </w:r>
          </w:p>
          <w:p w14:paraId="3277E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创意赛</w:t>
            </w:r>
          </w:p>
        </w:tc>
        <w:tc>
          <w:tcPr>
            <w:tcW w:w="1380" w:type="dxa"/>
            <w:vAlign w:val="center"/>
          </w:tcPr>
          <w:p w14:paraId="327C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智慧机械</w:t>
            </w:r>
          </w:p>
          <w:p w14:paraId="3C41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挑战赛</w:t>
            </w:r>
          </w:p>
        </w:tc>
        <w:tc>
          <w:tcPr>
            <w:tcW w:w="1140" w:type="dxa"/>
            <w:vAlign w:val="center"/>
          </w:tcPr>
          <w:p w14:paraId="0967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金鹏团</w:t>
            </w:r>
          </w:p>
        </w:tc>
      </w:tr>
      <w:tr w14:paraId="0ADB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vAlign w:val="center"/>
          </w:tcPr>
          <w:p w14:paraId="4468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东城区</w:t>
            </w:r>
          </w:p>
        </w:tc>
        <w:tc>
          <w:tcPr>
            <w:tcW w:w="1721" w:type="dxa"/>
            <w:vAlign w:val="center"/>
          </w:tcPr>
          <w:p w14:paraId="03CF8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13E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00" w:type="dxa"/>
            <w:vAlign w:val="center"/>
          </w:tcPr>
          <w:p w14:paraId="32C94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99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24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7E15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0FEB7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西城区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8C8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F0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D3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AE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5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7F19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387C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朝阳区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0F00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736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62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B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C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05F2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518BA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海淀区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40C0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587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DD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4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AB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 w14:paraId="7788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4C7F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丰台区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E06E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3D7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41C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6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F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E42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398A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石景山区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66E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3DD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E53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9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2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68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330F7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门头沟区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A301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6F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AA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6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A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ED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5E695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房山区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013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7D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E18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F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C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092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7B570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通州区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E5CF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13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10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2C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6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F0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7B7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68C1C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顺义区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B9CE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8C0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2B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3C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65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A78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5413B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昌平区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3459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15E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3D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3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A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D40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64A9C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大兴区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682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879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48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6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A3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EC1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4B030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怀柔区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E88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D3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44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2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1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5D1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6BB36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平谷区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AC3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325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FF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D2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8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A4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69B3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密云区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BC03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8E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E9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4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D9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065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5A0F3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延庆区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60B3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30A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A5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4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6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5A6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53B43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燕山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C4A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786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43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F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06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D69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28E7B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经开区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BCBA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33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C3A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1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D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562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1899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儿童中心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DCC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83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68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0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3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7CB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57D2B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北京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少年宫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85C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447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A6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7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2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262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24" w:type="dxa"/>
            <w:shd w:val="clear" w:color="auto" w:fill="auto"/>
            <w:vAlign w:val="center"/>
          </w:tcPr>
          <w:p w14:paraId="2F6A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宋庆龄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青少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E669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9B3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E91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8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A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593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824" w:type="dxa"/>
            <w:shd w:val="clear" w:color="auto" w:fill="auto"/>
            <w:vAlign w:val="center"/>
          </w:tcPr>
          <w:p w14:paraId="1A6365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1EE5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FE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FAE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3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0D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</w:tr>
    </w:tbl>
    <w:p w14:paraId="29B2E6AF">
      <w:pPr>
        <w:pStyle w:val="7"/>
        <w:rPr>
          <w:rFonts w:hint="eastAsia" w:ascii="仿宋" w:hAnsi="仿宋" w:eastAsia="仿宋" w:cs="仿宋"/>
          <w:sz w:val="24"/>
        </w:rPr>
      </w:pPr>
      <w:bookmarkStart w:id="1" w:name="_Hlk111165911"/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以上数量是该项目各区的名额总数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项目内组别之间分配由各区自行安排。</w:t>
      </w:r>
      <w:bookmarkEnd w:id="0"/>
      <w:bookmarkEnd w:id="1"/>
    </w:p>
    <w:p w14:paraId="7E110333">
      <w:pPr>
        <w:pStyle w:val="7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2.给全市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22个</w:t>
      </w:r>
      <w:r>
        <w:rPr>
          <w:rFonts w:hint="eastAsia" w:ascii="仿宋" w:hAnsi="仿宋" w:eastAsia="仿宋" w:cs="仿宋"/>
          <w:sz w:val="24"/>
          <w:lang w:val="en-US" w:eastAsia="zh-CN"/>
        </w:rPr>
        <w:t>金鹏科技团机器人分团（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包括2个建设期社团</w:t>
      </w:r>
      <w:r>
        <w:rPr>
          <w:rFonts w:hint="eastAsia" w:ascii="仿宋" w:hAnsi="仿宋" w:eastAsia="仿宋" w:cs="仿宋"/>
          <w:sz w:val="24"/>
          <w:lang w:val="en-US" w:eastAsia="zh-CN"/>
        </w:rPr>
        <w:t>）设立额外名额，可以任选比赛项目，不占本区名额总数。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A2"/>
    <w:rsid w:val="000200B0"/>
    <w:rsid w:val="0003180D"/>
    <w:rsid w:val="00040D7B"/>
    <w:rsid w:val="00050248"/>
    <w:rsid w:val="000557D6"/>
    <w:rsid w:val="00071E7B"/>
    <w:rsid w:val="00076322"/>
    <w:rsid w:val="000A41E6"/>
    <w:rsid w:val="000A5DA8"/>
    <w:rsid w:val="000B2767"/>
    <w:rsid w:val="000C692F"/>
    <w:rsid w:val="000C7E8E"/>
    <w:rsid w:val="000D712E"/>
    <w:rsid w:val="001001CC"/>
    <w:rsid w:val="00124F9E"/>
    <w:rsid w:val="00127E01"/>
    <w:rsid w:val="0013763F"/>
    <w:rsid w:val="00157B8E"/>
    <w:rsid w:val="001654DE"/>
    <w:rsid w:val="00167BCA"/>
    <w:rsid w:val="00174D55"/>
    <w:rsid w:val="00175ECE"/>
    <w:rsid w:val="00185442"/>
    <w:rsid w:val="0019630C"/>
    <w:rsid w:val="0019756A"/>
    <w:rsid w:val="001B0EA7"/>
    <w:rsid w:val="001B5DD3"/>
    <w:rsid w:val="001C0F2F"/>
    <w:rsid w:val="001C1CC9"/>
    <w:rsid w:val="001C4175"/>
    <w:rsid w:val="001E69EF"/>
    <w:rsid w:val="001F152F"/>
    <w:rsid w:val="002029B6"/>
    <w:rsid w:val="00227F91"/>
    <w:rsid w:val="002407BA"/>
    <w:rsid w:val="0024231E"/>
    <w:rsid w:val="0024704B"/>
    <w:rsid w:val="00252087"/>
    <w:rsid w:val="00260F60"/>
    <w:rsid w:val="00261BF3"/>
    <w:rsid w:val="002B0BCA"/>
    <w:rsid w:val="002B1A5F"/>
    <w:rsid w:val="002E0051"/>
    <w:rsid w:val="002E345B"/>
    <w:rsid w:val="002E4C8D"/>
    <w:rsid w:val="002F2530"/>
    <w:rsid w:val="003230CE"/>
    <w:rsid w:val="003410F6"/>
    <w:rsid w:val="00380431"/>
    <w:rsid w:val="00387684"/>
    <w:rsid w:val="004131C3"/>
    <w:rsid w:val="0042531B"/>
    <w:rsid w:val="00440417"/>
    <w:rsid w:val="00453107"/>
    <w:rsid w:val="00460E9D"/>
    <w:rsid w:val="00465D3C"/>
    <w:rsid w:val="004665FC"/>
    <w:rsid w:val="00477C88"/>
    <w:rsid w:val="004E052F"/>
    <w:rsid w:val="004F49AB"/>
    <w:rsid w:val="00501AE8"/>
    <w:rsid w:val="005118BA"/>
    <w:rsid w:val="00521805"/>
    <w:rsid w:val="00527FA3"/>
    <w:rsid w:val="005563FE"/>
    <w:rsid w:val="00561A2B"/>
    <w:rsid w:val="00573F97"/>
    <w:rsid w:val="0058785B"/>
    <w:rsid w:val="005A21E5"/>
    <w:rsid w:val="005A338B"/>
    <w:rsid w:val="005A3F92"/>
    <w:rsid w:val="005B1613"/>
    <w:rsid w:val="005C739F"/>
    <w:rsid w:val="005D4EC6"/>
    <w:rsid w:val="005F7B7E"/>
    <w:rsid w:val="006010E9"/>
    <w:rsid w:val="0063102E"/>
    <w:rsid w:val="00636FE1"/>
    <w:rsid w:val="006435D9"/>
    <w:rsid w:val="006520CB"/>
    <w:rsid w:val="00653DE2"/>
    <w:rsid w:val="00654845"/>
    <w:rsid w:val="00687E2A"/>
    <w:rsid w:val="006A73AC"/>
    <w:rsid w:val="006B6542"/>
    <w:rsid w:val="006D7FB4"/>
    <w:rsid w:val="006E78C3"/>
    <w:rsid w:val="006F6811"/>
    <w:rsid w:val="00700329"/>
    <w:rsid w:val="007044DC"/>
    <w:rsid w:val="00721161"/>
    <w:rsid w:val="007225FB"/>
    <w:rsid w:val="00762A4C"/>
    <w:rsid w:val="0076369E"/>
    <w:rsid w:val="00765D3B"/>
    <w:rsid w:val="00793ECD"/>
    <w:rsid w:val="007C52AB"/>
    <w:rsid w:val="007C53AA"/>
    <w:rsid w:val="007C5A22"/>
    <w:rsid w:val="007C5D14"/>
    <w:rsid w:val="007E1DCE"/>
    <w:rsid w:val="007F54A8"/>
    <w:rsid w:val="008111CB"/>
    <w:rsid w:val="00881EAA"/>
    <w:rsid w:val="00890DCF"/>
    <w:rsid w:val="00892AF6"/>
    <w:rsid w:val="008C0D52"/>
    <w:rsid w:val="008C563B"/>
    <w:rsid w:val="008C7999"/>
    <w:rsid w:val="008D0347"/>
    <w:rsid w:val="008E5B2A"/>
    <w:rsid w:val="008E7E76"/>
    <w:rsid w:val="008F11F9"/>
    <w:rsid w:val="00907036"/>
    <w:rsid w:val="00924843"/>
    <w:rsid w:val="0092545F"/>
    <w:rsid w:val="00927718"/>
    <w:rsid w:val="00931ACF"/>
    <w:rsid w:val="00935935"/>
    <w:rsid w:val="00940652"/>
    <w:rsid w:val="00940DE6"/>
    <w:rsid w:val="00955FE9"/>
    <w:rsid w:val="00977563"/>
    <w:rsid w:val="0098495C"/>
    <w:rsid w:val="00986746"/>
    <w:rsid w:val="009912FB"/>
    <w:rsid w:val="009B113C"/>
    <w:rsid w:val="009C4FEF"/>
    <w:rsid w:val="009C5AD1"/>
    <w:rsid w:val="009F26F4"/>
    <w:rsid w:val="009F5DD6"/>
    <w:rsid w:val="00A17843"/>
    <w:rsid w:val="00A21556"/>
    <w:rsid w:val="00A27224"/>
    <w:rsid w:val="00A34D0A"/>
    <w:rsid w:val="00A4678E"/>
    <w:rsid w:val="00A53F6B"/>
    <w:rsid w:val="00A61D2E"/>
    <w:rsid w:val="00A75562"/>
    <w:rsid w:val="00A8302C"/>
    <w:rsid w:val="00AB258E"/>
    <w:rsid w:val="00AB7844"/>
    <w:rsid w:val="00AC218D"/>
    <w:rsid w:val="00AD03AA"/>
    <w:rsid w:val="00AD10E4"/>
    <w:rsid w:val="00AD244D"/>
    <w:rsid w:val="00AE5B44"/>
    <w:rsid w:val="00AF2839"/>
    <w:rsid w:val="00AF748E"/>
    <w:rsid w:val="00B054B4"/>
    <w:rsid w:val="00B139FA"/>
    <w:rsid w:val="00B31307"/>
    <w:rsid w:val="00B33324"/>
    <w:rsid w:val="00B528F7"/>
    <w:rsid w:val="00B6301E"/>
    <w:rsid w:val="00B737B1"/>
    <w:rsid w:val="00B76FB9"/>
    <w:rsid w:val="00B87D2B"/>
    <w:rsid w:val="00B969FC"/>
    <w:rsid w:val="00BB0EA2"/>
    <w:rsid w:val="00BB755D"/>
    <w:rsid w:val="00BC1724"/>
    <w:rsid w:val="00BD7E9C"/>
    <w:rsid w:val="00BE3466"/>
    <w:rsid w:val="00C04BC3"/>
    <w:rsid w:val="00C262DF"/>
    <w:rsid w:val="00C370E5"/>
    <w:rsid w:val="00C7076E"/>
    <w:rsid w:val="00C810B2"/>
    <w:rsid w:val="00C95D9D"/>
    <w:rsid w:val="00CA074C"/>
    <w:rsid w:val="00CC16DC"/>
    <w:rsid w:val="00CD7395"/>
    <w:rsid w:val="00CE12B9"/>
    <w:rsid w:val="00CE230A"/>
    <w:rsid w:val="00CF027F"/>
    <w:rsid w:val="00CF60BE"/>
    <w:rsid w:val="00D038E5"/>
    <w:rsid w:val="00D06A55"/>
    <w:rsid w:val="00D1219D"/>
    <w:rsid w:val="00D52DAA"/>
    <w:rsid w:val="00D61F6C"/>
    <w:rsid w:val="00D87F4D"/>
    <w:rsid w:val="00D96DB4"/>
    <w:rsid w:val="00DC2A7D"/>
    <w:rsid w:val="00DC6BF0"/>
    <w:rsid w:val="00E35303"/>
    <w:rsid w:val="00E44D5F"/>
    <w:rsid w:val="00E44F15"/>
    <w:rsid w:val="00E50648"/>
    <w:rsid w:val="00E62CAD"/>
    <w:rsid w:val="00E80282"/>
    <w:rsid w:val="00E80B14"/>
    <w:rsid w:val="00E84D85"/>
    <w:rsid w:val="00EA758E"/>
    <w:rsid w:val="00EE59DD"/>
    <w:rsid w:val="00F11692"/>
    <w:rsid w:val="00F211D0"/>
    <w:rsid w:val="00F211F9"/>
    <w:rsid w:val="00F24DDA"/>
    <w:rsid w:val="00F9035B"/>
    <w:rsid w:val="00F97876"/>
    <w:rsid w:val="00FA27E6"/>
    <w:rsid w:val="00FA316D"/>
    <w:rsid w:val="00FB1458"/>
    <w:rsid w:val="00FC7CEC"/>
    <w:rsid w:val="00FD441D"/>
    <w:rsid w:val="00FD596C"/>
    <w:rsid w:val="00FE025E"/>
    <w:rsid w:val="00FE28A6"/>
    <w:rsid w:val="00FF6D9D"/>
    <w:rsid w:val="0B8267B3"/>
    <w:rsid w:val="12B91CF6"/>
    <w:rsid w:val="14200F4D"/>
    <w:rsid w:val="1BC5679A"/>
    <w:rsid w:val="1C097878"/>
    <w:rsid w:val="1C550041"/>
    <w:rsid w:val="1E122675"/>
    <w:rsid w:val="214E20FB"/>
    <w:rsid w:val="21FB652B"/>
    <w:rsid w:val="22E13819"/>
    <w:rsid w:val="24113F3E"/>
    <w:rsid w:val="24B021F5"/>
    <w:rsid w:val="25687307"/>
    <w:rsid w:val="26C32934"/>
    <w:rsid w:val="28D436FB"/>
    <w:rsid w:val="293000F9"/>
    <w:rsid w:val="2B5B4B3B"/>
    <w:rsid w:val="2C5030EA"/>
    <w:rsid w:val="2D146972"/>
    <w:rsid w:val="319A7F48"/>
    <w:rsid w:val="330C6C33"/>
    <w:rsid w:val="334B66E6"/>
    <w:rsid w:val="33C51B65"/>
    <w:rsid w:val="37400809"/>
    <w:rsid w:val="37A81DAC"/>
    <w:rsid w:val="3A0213F4"/>
    <w:rsid w:val="3CEE073F"/>
    <w:rsid w:val="3F1B68F7"/>
    <w:rsid w:val="41FE06F4"/>
    <w:rsid w:val="42B34BC3"/>
    <w:rsid w:val="4BBB58FC"/>
    <w:rsid w:val="4BEA5656"/>
    <w:rsid w:val="4E956733"/>
    <w:rsid w:val="519D39AD"/>
    <w:rsid w:val="58F53BE2"/>
    <w:rsid w:val="5B293E77"/>
    <w:rsid w:val="5B4120E7"/>
    <w:rsid w:val="5C021A80"/>
    <w:rsid w:val="5DE03CAF"/>
    <w:rsid w:val="5EB53856"/>
    <w:rsid w:val="5F177FFD"/>
    <w:rsid w:val="5F8F61B0"/>
    <w:rsid w:val="60D501F0"/>
    <w:rsid w:val="620316C6"/>
    <w:rsid w:val="625D680B"/>
    <w:rsid w:val="62E36900"/>
    <w:rsid w:val="65EF52E8"/>
    <w:rsid w:val="6B1827B0"/>
    <w:rsid w:val="754F44C0"/>
    <w:rsid w:val="75635546"/>
    <w:rsid w:val="756440F6"/>
    <w:rsid w:val="776E5E57"/>
    <w:rsid w:val="77DE742E"/>
    <w:rsid w:val="7D2673B7"/>
    <w:rsid w:val="7F56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qFormat/>
    <w:uiPriority w:val="0"/>
    <w:pPr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">
    <w:name w:val="toc 3"/>
    <w:basedOn w:val="1"/>
    <w:next w:val="1"/>
    <w:autoRedefine/>
    <w:qFormat/>
    <w:uiPriority w:val="0"/>
    <w:pPr>
      <w:ind w:left="840" w:leftChars="400"/>
    </w:p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footer"/>
    <w:basedOn w:val="7"/>
    <w:link w:val="13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toc 1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8">
    <w:name w:val="header"/>
    <w:basedOn w:val="7"/>
    <w:link w:val="14"/>
    <w:qFormat/>
    <w:uiPriority w:val="0"/>
    <w:pPr>
      <w:spacing w:after="120"/>
      <w:ind w:left="420"/>
    </w:p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字符"/>
    <w:link w:val="6"/>
    <w:qFormat/>
    <w:uiPriority w:val="0"/>
    <w:rPr>
      <w:rFonts w:ascii="宋体" w:hAnsi="Courier New" w:cs="Courier New"/>
      <w:sz w:val="21"/>
      <w:szCs w:val="21"/>
    </w:rPr>
  </w:style>
  <w:style w:type="character" w:customStyle="1" w:styleId="14">
    <w:name w:val="页眉 字符"/>
    <w:link w:val="8"/>
    <w:qFormat/>
    <w:uiPriority w:val="0"/>
    <w:rPr>
      <w:rFonts w:eastAsia="仿宋_GB2312"/>
      <w:sz w:val="32"/>
      <w:szCs w:val="24"/>
    </w:rPr>
  </w:style>
  <w:style w:type="paragraph" w:customStyle="1" w:styleId="15">
    <w:name w:val="_Style 12"/>
    <w:next w:val="7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16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2560</Words>
  <Characters>2711</Characters>
  <Lines>19</Lines>
  <Paragraphs>5</Paragraphs>
  <TotalTime>73</TotalTime>
  <ScaleCrop>false</ScaleCrop>
  <LinksUpToDate>false</LinksUpToDate>
  <CharactersWithSpaces>2722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2024-07-10T09:31:00Z</dcterms:created>
  <dc:creator>玄育</dc:creator>
  <cp:lastModifiedBy>周咪</cp:lastModifiedBy>
  <cp:lastPrinted>2025-06-17T02:41:00Z</cp:lastPrinted>
  <dcterms:modified xsi:type="dcterms:W3CDTF">2025-07-09T08:08:34Z</dcterms:modified>
  <dc:title>机器人智能大赛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eyJoZGlkIjoiZGY5MWRhNmIwNzFkNDY3NmU0YjZhYzUyMDk4YjU4YzgiLCJ1c2VySWQiOiIxNjM3MzE0NTYxIn0=</vt:lpwstr>
  </property>
  <property fmtid="{D5CDD505-2E9C-101B-9397-08002B2CF9AE}" pid="4" name="ICV">
    <vt:lpwstr>681B01D10BCC43F2910BB5384256B083_13</vt:lpwstr>
  </property>
</Properties>
</file>