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96090">
      <w:pPr>
        <w:jc w:val="center"/>
        <w:rPr>
          <w:rFonts w:ascii="仿宋_GB2312" w:eastAsia="仿宋_GB2312"/>
          <w:b/>
          <w:sz w:val="32"/>
          <w:szCs w:val="32"/>
        </w:rPr>
      </w:pPr>
    </w:p>
    <w:p w14:paraId="0D883BA0">
      <w:pPr>
        <w:jc w:val="center"/>
        <w:rPr>
          <w:rFonts w:ascii="黑体" w:eastAsia="黑体"/>
          <w:sz w:val="72"/>
          <w:szCs w:val="72"/>
        </w:rPr>
      </w:pPr>
    </w:p>
    <w:p w14:paraId="023D26E7">
      <w:pPr>
        <w:jc w:val="center"/>
        <w:rPr>
          <w:rFonts w:ascii="黑体" w:eastAsia="黑体"/>
          <w:sz w:val="72"/>
          <w:szCs w:val="72"/>
        </w:rPr>
      </w:pPr>
    </w:p>
    <w:p w14:paraId="250F309C">
      <w:pPr>
        <w:jc w:val="center"/>
        <w:rPr>
          <w:rFonts w:ascii="黑体" w:eastAsia="黑体"/>
          <w:sz w:val="72"/>
          <w:szCs w:val="72"/>
        </w:rPr>
      </w:pPr>
    </w:p>
    <w:p w14:paraId="5EE2AB70">
      <w:pPr>
        <w:jc w:val="center"/>
        <w:rPr>
          <w:rFonts w:ascii="黑体" w:eastAsia="黑体"/>
          <w:sz w:val="72"/>
          <w:szCs w:val="72"/>
        </w:rPr>
      </w:pPr>
    </w:p>
    <w:p w14:paraId="6E28B0CB">
      <w:pPr>
        <w:jc w:val="center"/>
        <w:rPr>
          <w:rFonts w:ascii="黑体" w:eastAsia="黑体"/>
          <w:sz w:val="72"/>
          <w:szCs w:val="72"/>
        </w:rPr>
      </w:pPr>
      <w:r>
        <w:rPr>
          <w:rFonts w:hint="eastAsia" w:ascii="黑体" w:eastAsia="黑体"/>
          <w:sz w:val="72"/>
          <w:szCs w:val="72"/>
        </w:rPr>
        <w:t>2024年度部门决算（公开</w:t>
      </w:r>
      <w:r>
        <w:rPr>
          <w:rFonts w:ascii="黑体" w:eastAsia="黑体"/>
          <w:sz w:val="72"/>
          <w:szCs w:val="72"/>
        </w:rPr>
        <w:t>）</w:t>
      </w:r>
    </w:p>
    <w:p w14:paraId="203621A6">
      <w:pPr>
        <w:jc w:val="center"/>
        <w:rPr>
          <w:rFonts w:ascii="黑体" w:eastAsia="黑体"/>
          <w:sz w:val="52"/>
          <w:szCs w:val="52"/>
        </w:rPr>
      </w:pPr>
    </w:p>
    <w:p w14:paraId="49A3337F">
      <w:pPr>
        <w:jc w:val="center"/>
        <w:rPr>
          <w:rFonts w:ascii="黑体" w:eastAsia="黑体"/>
          <w:sz w:val="52"/>
          <w:szCs w:val="52"/>
        </w:rPr>
      </w:pPr>
    </w:p>
    <w:p w14:paraId="6668EEA4">
      <w:pPr>
        <w:jc w:val="center"/>
        <w:rPr>
          <w:rFonts w:ascii="黑体" w:eastAsia="黑体"/>
          <w:sz w:val="52"/>
          <w:szCs w:val="52"/>
        </w:rPr>
      </w:pPr>
    </w:p>
    <w:p w14:paraId="79D96025">
      <w:pPr>
        <w:jc w:val="center"/>
        <w:rPr>
          <w:rFonts w:ascii="黑体" w:eastAsia="黑体"/>
          <w:sz w:val="52"/>
          <w:szCs w:val="52"/>
        </w:rPr>
      </w:pPr>
    </w:p>
    <w:p w14:paraId="1A425550">
      <w:pPr>
        <w:jc w:val="center"/>
        <w:rPr>
          <w:rFonts w:ascii="黑体" w:eastAsia="黑体"/>
          <w:sz w:val="32"/>
          <w:szCs w:val="32"/>
        </w:rPr>
      </w:pPr>
    </w:p>
    <w:p w14:paraId="56319624">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3B5CCE08">
      <w:pPr>
        <w:spacing w:line="500" w:lineRule="exact"/>
        <w:ind w:firstLine="645"/>
        <w:jc w:val="center"/>
        <w:rPr>
          <w:rFonts w:ascii="宋体" w:hAnsi="宋体" w:cs="宋体"/>
          <w:b/>
          <w:bCs/>
          <w:kern w:val="0"/>
          <w:sz w:val="36"/>
          <w:szCs w:val="36"/>
        </w:rPr>
      </w:pPr>
    </w:p>
    <w:p w14:paraId="6FF0FD39">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2024年度部门决算报表</w:t>
      </w:r>
    </w:p>
    <w:p w14:paraId="6FEB397E">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564210A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4AE72CE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042DA8B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2F74312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3268198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01862C9B">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6989065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5CEC7FE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09C6B6F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30B3764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52E243C9">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256049D4">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2024年度部门决算说明</w:t>
      </w:r>
    </w:p>
    <w:p w14:paraId="01FC8E7C">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57BC8C6A">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2024年度部门绩效评价情况</w:t>
      </w:r>
    </w:p>
    <w:p w14:paraId="63C7B392">
      <w:pPr>
        <w:tabs>
          <w:tab w:val="center" w:pos="6979"/>
        </w:tabs>
        <w:spacing w:before="156" w:beforeLines="50" w:after="156" w:afterLines="50"/>
        <w:jc w:val="center"/>
        <w:rPr>
          <w:rFonts w:ascii="宋体" w:hAnsi="宋体" w:cs="宋体"/>
          <w:b/>
          <w:bCs/>
          <w:spacing w:val="40"/>
          <w:kern w:val="0"/>
          <w:sz w:val="32"/>
          <w:szCs w:val="32"/>
        </w:rPr>
      </w:pPr>
    </w:p>
    <w:p w14:paraId="7E7AC4ED">
      <w:pPr>
        <w:tabs>
          <w:tab w:val="center" w:pos="6979"/>
        </w:tabs>
        <w:spacing w:before="156" w:beforeLines="50" w:after="156" w:afterLines="50"/>
        <w:jc w:val="center"/>
        <w:rPr>
          <w:rFonts w:ascii="宋体" w:hAnsi="宋体" w:cs="宋体"/>
          <w:b/>
          <w:bCs/>
          <w:spacing w:val="40"/>
          <w:kern w:val="0"/>
          <w:sz w:val="32"/>
          <w:szCs w:val="32"/>
        </w:rPr>
      </w:pPr>
    </w:p>
    <w:p w14:paraId="03D0B20F">
      <w:pPr>
        <w:tabs>
          <w:tab w:val="center" w:pos="6979"/>
        </w:tabs>
        <w:spacing w:before="156" w:beforeLines="50" w:after="156" w:afterLines="50"/>
        <w:jc w:val="center"/>
        <w:rPr>
          <w:rFonts w:ascii="宋体" w:hAnsi="宋体" w:cs="宋体"/>
          <w:b/>
          <w:bCs/>
          <w:spacing w:val="40"/>
          <w:kern w:val="0"/>
          <w:sz w:val="32"/>
          <w:szCs w:val="32"/>
        </w:rPr>
      </w:pPr>
    </w:p>
    <w:p w14:paraId="27297BEC">
      <w:pPr>
        <w:tabs>
          <w:tab w:val="center" w:pos="6979"/>
        </w:tabs>
        <w:spacing w:before="156" w:beforeLines="50" w:after="156" w:afterLines="50"/>
        <w:jc w:val="center"/>
        <w:rPr>
          <w:rFonts w:ascii="宋体" w:hAnsi="宋体" w:cs="宋体"/>
          <w:b/>
          <w:bCs/>
          <w:spacing w:val="40"/>
          <w:kern w:val="0"/>
          <w:sz w:val="32"/>
          <w:szCs w:val="32"/>
        </w:rPr>
      </w:pPr>
    </w:p>
    <w:p w14:paraId="5B3BAFC2">
      <w:pPr>
        <w:tabs>
          <w:tab w:val="center" w:pos="6979"/>
        </w:tabs>
        <w:spacing w:before="156" w:beforeLines="50" w:after="156" w:afterLines="50"/>
        <w:jc w:val="center"/>
        <w:rPr>
          <w:rFonts w:ascii="宋体" w:hAnsi="宋体" w:cs="宋体"/>
          <w:b/>
          <w:bCs/>
          <w:spacing w:val="40"/>
          <w:kern w:val="0"/>
          <w:sz w:val="32"/>
          <w:szCs w:val="32"/>
        </w:rPr>
      </w:pPr>
    </w:p>
    <w:p w14:paraId="2CA2BEAD">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2024年度部门决算报表</w:t>
      </w:r>
    </w:p>
    <w:p w14:paraId="58994F25">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1211279E">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2024年度部门决算说明</w:t>
      </w:r>
    </w:p>
    <w:p w14:paraId="107454B3">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68E9A3E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首都体育学院为公益二类事业单位。</w:t>
      </w:r>
    </w:p>
    <w:p w14:paraId="371430C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首都体育学院目前机构设置为：职能部门19个，学校办公室、组织部、宣传部（教师工作部）、纪检监察办公室、机关党委、学生工作部、保卫部、离退休工作部、发展规划处、教务处、研究生部、科技处、对外交流与合作处、人事处、财务处、实验室与国有资产管理处、审计处、总务处、新校区建设办公室。群团组织2个，校工会、校团委。二级学院7个，体育教育训练学院、休闲与社会体育学院、运康科学与健康学院、武术与表演学院、管理与传播学院、冰雪运动学院、马克思主义学院。教辅单位3个，期刊部、图书馆、场馆管理中心。内设研究机构2个，体育人工智能研究院、体医融合创新中心。</w:t>
      </w:r>
    </w:p>
    <w:p w14:paraId="1F825F0D">
      <w:pPr>
        <w:tabs>
          <w:tab w:val="center" w:pos="6979"/>
        </w:tabs>
        <w:spacing w:line="580" w:lineRule="exact"/>
        <w:ind w:firstLine="700" w:firstLineChars="250"/>
        <w:rPr>
          <w:rFonts w:ascii="仿宋_GB2312" w:eastAsia="仿宋_GB2312"/>
          <w:sz w:val="28"/>
          <w:szCs w:val="28"/>
        </w:rPr>
      </w:pPr>
      <w:r>
        <w:rPr>
          <w:rFonts w:hint="eastAsia" w:ascii="仿宋_GB2312" w:eastAsia="仿宋_GB2312"/>
          <w:sz w:val="28"/>
          <w:szCs w:val="28"/>
        </w:rPr>
        <w:t>首都体育学院始建于1956年，是北京市唯一的市属高等体育院校。在市委、市政府的正确领导和大力支持下，已建成拥有体育教育、运动训练、武术与民族传统体育、社会体育指导与管理、体育经济与管理、运动人体科学、休闲体育、新闻学、舞蹈表演、运动康复、体能训练、公共事业管理、体育旅游、冰雪运动、电子运动竞技等</w:t>
      </w:r>
      <w:r>
        <w:rPr>
          <w:rFonts w:ascii="仿宋_GB2312" w:eastAsia="仿宋_GB2312"/>
          <w:sz w:val="28"/>
          <w:szCs w:val="28"/>
        </w:rPr>
        <w:t>15</w:t>
      </w:r>
      <w:r>
        <w:rPr>
          <w:rFonts w:hint="eastAsia" w:ascii="仿宋_GB2312" w:eastAsia="仿宋_GB2312"/>
          <w:sz w:val="28"/>
          <w:szCs w:val="28"/>
        </w:rPr>
        <w:t>个体育及相关学科本科专业、5个硕士授予点、1个博士项目，国家汉办独家授予我校，为全世界400多所孔子学院、500多所孔子课堂开展武术教师的武术培训与研究基地。学校是一所充满现代气息和勃勃生机的新型体育院校，已经初步形成了多层次、多规格、多形式的办学格局，学校设置了体育教育训练学院、运动科学与健康学院、武术与表演学院、休闲与社会体育学院、管理与传播学院、冰雪运动学院六个二级学院，涵盖了国家教育部颁发的体育类专业设置中的所有本科专业，还成立了人工智能学院。</w:t>
      </w:r>
    </w:p>
    <w:p w14:paraId="0C44C6EF">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5B66681">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194713.31</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141584.04万元，增长266.49%。</w:t>
      </w:r>
    </w:p>
    <w:p w14:paraId="09208852">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36133D9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188940.34</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144534.54万元，增长325.49%。</w:t>
      </w:r>
    </w:p>
    <w:p w14:paraId="3076C79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178350.88</w:t>
      </w:r>
      <w:r>
        <w:rPr>
          <w:rFonts w:hint="eastAsia" w:ascii="仿宋_GB2312" w:eastAsia="仿宋_GB2312"/>
          <w:sz w:val="28"/>
          <w:szCs w:val="28"/>
        </w:rPr>
        <w:t>万元，占收入合计的94.4</w:t>
      </w:r>
      <w:r>
        <w:rPr>
          <w:rFonts w:ascii="仿宋_GB2312" w:eastAsia="仿宋_GB2312"/>
          <w:sz w:val="28"/>
          <w:szCs w:val="28"/>
        </w:rPr>
        <w:t>0</w:t>
      </w:r>
      <w:r>
        <w:rPr>
          <w:rFonts w:hint="eastAsia" w:ascii="仿宋_GB2312" w:eastAsia="仿宋_GB2312"/>
          <w:sz w:val="28"/>
          <w:szCs w:val="28"/>
        </w:rPr>
        <w:t>%。其中：一般公共预算财政拨款收入</w:t>
      </w:r>
      <w:r>
        <w:rPr>
          <w:rFonts w:ascii="仿宋_GB2312" w:eastAsia="仿宋_GB2312"/>
          <w:sz w:val="28"/>
          <w:szCs w:val="28"/>
        </w:rPr>
        <w:t>178230.88</w:t>
      </w:r>
      <w:r>
        <w:rPr>
          <w:rFonts w:hint="eastAsia" w:ascii="仿宋_GB2312" w:eastAsia="仿宋_GB2312"/>
          <w:sz w:val="28"/>
          <w:szCs w:val="28"/>
        </w:rPr>
        <w:t>万元，占收入合计的94.33%；政府性基金预算财政拨款收入</w:t>
      </w:r>
      <w:r>
        <w:rPr>
          <w:rFonts w:ascii="仿宋_GB2312" w:eastAsia="仿宋_GB2312"/>
          <w:sz w:val="28"/>
          <w:szCs w:val="28"/>
        </w:rPr>
        <w:t>120.00</w:t>
      </w:r>
      <w:r>
        <w:rPr>
          <w:rFonts w:hint="eastAsia" w:ascii="仿宋_GB2312" w:eastAsia="仿宋_GB2312"/>
          <w:sz w:val="28"/>
          <w:szCs w:val="28"/>
        </w:rPr>
        <w:t>万元，占收入合计的0.0</w:t>
      </w:r>
      <w:r>
        <w:rPr>
          <w:rFonts w:ascii="仿宋_GB2312" w:eastAsia="仿宋_GB2312"/>
          <w:sz w:val="28"/>
          <w:szCs w:val="28"/>
        </w:rPr>
        <w:t>7</w:t>
      </w:r>
      <w:r>
        <w:rPr>
          <w:rFonts w:hint="eastAsia" w:ascii="仿宋_GB2312" w:eastAsia="仿宋_GB2312"/>
          <w:sz w:val="28"/>
          <w:szCs w:val="28"/>
        </w:rPr>
        <w:t>%；国有资本经营预算财政拨款收入</w:t>
      </w:r>
      <w:r>
        <w:rPr>
          <w:rFonts w:ascii="仿宋_GB2312" w:eastAsia="仿宋_GB2312"/>
          <w:sz w:val="28"/>
          <w:szCs w:val="28"/>
        </w:rPr>
        <w:t>0.00</w:t>
      </w:r>
      <w:r>
        <w:rPr>
          <w:rFonts w:hint="eastAsia" w:ascii="仿宋_GB2312" w:eastAsia="仿宋_GB2312"/>
          <w:sz w:val="28"/>
          <w:szCs w:val="28"/>
        </w:rPr>
        <w:t>万元，占收入合计的0</w:t>
      </w:r>
      <w:r>
        <w:rPr>
          <w:rFonts w:ascii="仿宋_GB2312" w:eastAsia="仿宋_GB2312"/>
          <w:sz w:val="28"/>
          <w:szCs w:val="28"/>
        </w:rPr>
        <w:t>.00</w:t>
      </w:r>
      <w:r>
        <w:rPr>
          <w:rFonts w:hint="eastAsia" w:ascii="仿宋_GB2312" w:eastAsia="仿宋_GB2312"/>
          <w:sz w:val="28"/>
          <w:szCs w:val="28"/>
        </w:rPr>
        <w:t>%；</w:t>
      </w:r>
    </w:p>
    <w:p w14:paraId="3F61CB6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0.00</w:t>
      </w:r>
      <w:r>
        <w:rPr>
          <w:rFonts w:hint="eastAsia" w:ascii="仿宋_GB2312" w:eastAsia="仿宋_GB2312"/>
          <w:sz w:val="28"/>
          <w:szCs w:val="28"/>
        </w:rPr>
        <w:t>万元，占收入合计的0</w:t>
      </w:r>
      <w:r>
        <w:rPr>
          <w:rFonts w:ascii="仿宋_GB2312" w:eastAsia="仿宋_GB2312"/>
          <w:sz w:val="28"/>
          <w:szCs w:val="28"/>
        </w:rPr>
        <w:t>.00</w:t>
      </w:r>
      <w:r>
        <w:rPr>
          <w:rFonts w:hint="eastAsia" w:ascii="仿宋_GB2312" w:eastAsia="仿宋_GB2312"/>
          <w:sz w:val="28"/>
          <w:szCs w:val="28"/>
        </w:rPr>
        <w:t>%；</w:t>
      </w:r>
    </w:p>
    <w:p w14:paraId="61E732D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5690.70</w:t>
      </w:r>
      <w:r>
        <w:rPr>
          <w:rFonts w:hint="eastAsia" w:ascii="仿宋_GB2312" w:eastAsia="仿宋_GB2312"/>
          <w:sz w:val="28"/>
          <w:szCs w:val="28"/>
        </w:rPr>
        <w:t>万元，占收入合计的3.01%；</w:t>
      </w:r>
    </w:p>
    <w:p w14:paraId="2650DE80">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0.00</w:t>
      </w:r>
      <w:r>
        <w:rPr>
          <w:rFonts w:hint="eastAsia" w:ascii="仿宋_GB2312" w:eastAsia="仿宋_GB2312"/>
          <w:sz w:val="28"/>
          <w:szCs w:val="28"/>
        </w:rPr>
        <w:t>万元，占收入合计的0</w:t>
      </w:r>
      <w:r>
        <w:rPr>
          <w:rFonts w:ascii="仿宋_GB2312" w:eastAsia="仿宋_GB2312"/>
          <w:sz w:val="28"/>
          <w:szCs w:val="28"/>
        </w:rPr>
        <w:t>.00</w:t>
      </w:r>
      <w:r>
        <w:rPr>
          <w:rFonts w:hint="eastAsia" w:ascii="仿宋_GB2312" w:eastAsia="仿宋_GB2312"/>
          <w:sz w:val="28"/>
          <w:szCs w:val="28"/>
        </w:rPr>
        <w:t>%；</w:t>
      </w:r>
    </w:p>
    <w:p w14:paraId="68755D9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0.00</w:t>
      </w:r>
      <w:r>
        <w:rPr>
          <w:rFonts w:hint="eastAsia" w:ascii="仿宋_GB2312" w:eastAsia="仿宋_GB2312"/>
          <w:sz w:val="28"/>
          <w:szCs w:val="28"/>
        </w:rPr>
        <w:t>万元，占收入合计的0</w:t>
      </w:r>
      <w:r>
        <w:rPr>
          <w:rFonts w:ascii="仿宋_GB2312" w:eastAsia="仿宋_GB2312"/>
          <w:sz w:val="28"/>
          <w:szCs w:val="28"/>
        </w:rPr>
        <w:t>.00</w:t>
      </w:r>
      <w:r>
        <w:rPr>
          <w:rFonts w:hint="eastAsia" w:ascii="仿宋_GB2312" w:eastAsia="仿宋_GB2312"/>
          <w:sz w:val="28"/>
          <w:szCs w:val="28"/>
        </w:rPr>
        <w:t>%；</w:t>
      </w:r>
    </w:p>
    <w:p w14:paraId="1A53F04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4898.76</w:t>
      </w:r>
      <w:r>
        <w:rPr>
          <w:rFonts w:hint="eastAsia" w:ascii="仿宋_GB2312" w:eastAsia="仿宋_GB2312"/>
          <w:sz w:val="28"/>
          <w:szCs w:val="28"/>
        </w:rPr>
        <w:t>万元，占收入合计的2.59%。</w:t>
      </w:r>
    </w:p>
    <w:p w14:paraId="656E481D">
      <w:pPr>
        <w:spacing w:line="560" w:lineRule="exact"/>
        <w:ind w:firstLine="640"/>
        <w:rPr>
          <w:rFonts w:ascii="仿宋_GB2312" w:eastAsia="仿宋_GB2312" w:cs="Droid Sans"/>
          <w:color w:val="000000"/>
          <w:sz w:val="32"/>
          <w:szCs w:val="32"/>
        </w:rPr>
      </w:pPr>
    </w:p>
    <w:p w14:paraId="0325162E">
      <w:pPr>
        <w:pStyle w:val="2"/>
      </w:pPr>
    </w:p>
    <w:p w14:paraId="484C540B">
      <w:pPr>
        <w:pStyle w:val="2"/>
        <w:jc w:val="center"/>
      </w:pPr>
      <w:r>
        <w:rPr>
          <w:rFonts w:hint="eastAsia" w:ascii="仿宋_GB2312" w:eastAsia="仿宋_GB2312"/>
          <w:color w:val="000000"/>
          <w:sz w:val="32"/>
        </w:rPr>
        <w:t>图1：收入决算</w:t>
      </w:r>
    </w:p>
    <w:p w14:paraId="460A179A">
      <w:pPr>
        <w:pStyle w:val="3"/>
        <w:ind w:firstLine="420"/>
        <w:jc w:val="center"/>
      </w:pPr>
      <w:r>
        <w:drawing>
          <wp:anchor distT="0" distB="0" distL="114300" distR="114300" simplePos="0" relativeHeight="251659264" behindDoc="0" locked="0" layoutInCell="1" allowOverlap="1">
            <wp:simplePos x="0" y="0"/>
            <wp:positionH relativeFrom="column">
              <wp:posOffset>2171700</wp:posOffset>
            </wp:positionH>
            <wp:positionV relativeFrom="paragraph">
              <wp:posOffset>34290</wp:posOffset>
            </wp:positionV>
            <wp:extent cx="4826000" cy="2743200"/>
            <wp:effectExtent l="0" t="0" r="12700" b="0"/>
            <wp:wrapSquare wrapText="bothSides"/>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2C4CD4A3">
      <w:pPr>
        <w:pStyle w:val="3"/>
        <w:ind w:firstLine="420"/>
        <w:jc w:val="center"/>
      </w:pPr>
    </w:p>
    <w:p w14:paraId="671957F2">
      <w:pPr>
        <w:tabs>
          <w:tab w:val="center" w:pos="6979"/>
        </w:tabs>
        <w:spacing w:line="580" w:lineRule="exact"/>
        <w:ind w:firstLine="570"/>
        <w:rPr>
          <w:rFonts w:ascii="仿宋_GB2312" w:eastAsia="仿宋_GB2312"/>
          <w:sz w:val="28"/>
          <w:szCs w:val="28"/>
        </w:rPr>
      </w:pPr>
    </w:p>
    <w:p w14:paraId="4F4D23A2">
      <w:pPr>
        <w:tabs>
          <w:tab w:val="center" w:pos="6979"/>
        </w:tabs>
        <w:spacing w:line="580" w:lineRule="exact"/>
        <w:ind w:firstLine="570"/>
        <w:rPr>
          <w:rFonts w:ascii="仿宋_GB2312" w:eastAsia="仿宋_GB2312"/>
          <w:sz w:val="28"/>
          <w:szCs w:val="28"/>
        </w:rPr>
      </w:pPr>
    </w:p>
    <w:p w14:paraId="3BF64A92">
      <w:pPr>
        <w:tabs>
          <w:tab w:val="center" w:pos="6979"/>
        </w:tabs>
        <w:spacing w:line="580" w:lineRule="exact"/>
        <w:ind w:firstLine="570"/>
        <w:rPr>
          <w:rFonts w:ascii="仿宋_GB2312" w:eastAsia="仿宋_GB2312"/>
          <w:sz w:val="28"/>
          <w:szCs w:val="28"/>
        </w:rPr>
      </w:pPr>
    </w:p>
    <w:p w14:paraId="0385F947">
      <w:pPr>
        <w:tabs>
          <w:tab w:val="center" w:pos="6979"/>
        </w:tabs>
        <w:spacing w:line="580" w:lineRule="exact"/>
        <w:ind w:firstLine="570"/>
        <w:rPr>
          <w:rFonts w:ascii="仿宋_GB2312" w:eastAsia="仿宋_GB2312"/>
          <w:sz w:val="28"/>
          <w:szCs w:val="28"/>
        </w:rPr>
      </w:pPr>
    </w:p>
    <w:p w14:paraId="76569691">
      <w:pPr>
        <w:tabs>
          <w:tab w:val="center" w:pos="6979"/>
        </w:tabs>
        <w:spacing w:line="580" w:lineRule="exact"/>
        <w:ind w:firstLine="570"/>
        <w:rPr>
          <w:rFonts w:ascii="仿宋_GB2312" w:eastAsia="仿宋_GB2312"/>
          <w:sz w:val="28"/>
          <w:szCs w:val="28"/>
        </w:rPr>
      </w:pPr>
    </w:p>
    <w:p w14:paraId="59DF9914">
      <w:pPr>
        <w:tabs>
          <w:tab w:val="center" w:pos="6979"/>
        </w:tabs>
        <w:spacing w:line="580" w:lineRule="exact"/>
        <w:ind w:firstLine="570"/>
        <w:rPr>
          <w:rFonts w:ascii="仿宋_GB2312" w:eastAsia="仿宋_GB2312"/>
          <w:sz w:val="28"/>
          <w:szCs w:val="28"/>
        </w:rPr>
      </w:pPr>
    </w:p>
    <w:p w14:paraId="110E6DFC">
      <w:pPr>
        <w:tabs>
          <w:tab w:val="center" w:pos="6979"/>
        </w:tabs>
        <w:spacing w:line="580" w:lineRule="exact"/>
        <w:ind w:firstLine="570"/>
        <w:rPr>
          <w:rFonts w:ascii="仿宋_GB2312" w:eastAsia="仿宋_GB2312"/>
          <w:sz w:val="28"/>
          <w:szCs w:val="28"/>
        </w:rPr>
      </w:pPr>
    </w:p>
    <w:p w14:paraId="0B346C6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060EA94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129690.42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83325.80万元，增长179.72%，其中：基本支出</w:t>
      </w:r>
      <w:r>
        <w:rPr>
          <w:rFonts w:ascii="仿宋_GB2312" w:eastAsia="仿宋_GB2312"/>
          <w:sz w:val="28"/>
          <w:szCs w:val="28"/>
        </w:rPr>
        <w:t>35567.37</w:t>
      </w:r>
      <w:r>
        <w:rPr>
          <w:rFonts w:hint="eastAsia" w:ascii="仿宋_GB2312" w:eastAsia="仿宋_GB2312"/>
          <w:sz w:val="28"/>
          <w:szCs w:val="28"/>
        </w:rPr>
        <w:t>万元，占支出合计的27.42%；项目支出</w:t>
      </w:r>
      <w:r>
        <w:rPr>
          <w:rFonts w:ascii="仿宋_GB2312" w:eastAsia="仿宋_GB2312"/>
          <w:sz w:val="28"/>
          <w:szCs w:val="28"/>
        </w:rPr>
        <w:t>94123.05</w:t>
      </w:r>
      <w:r>
        <w:rPr>
          <w:rFonts w:hint="eastAsia" w:ascii="仿宋_GB2312" w:eastAsia="仿宋_GB2312"/>
          <w:sz w:val="28"/>
          <w:szCs w:val="28"/>
        </w:rPr>
        <w:t>万元，占支出合计的72.58%;上缴上级支出</w:t>
      </w:r>
      <w:r>
        <w:rPr>
          <w:rFonts w:ascii="仿宋_GB2312" w:eastAsia="仿宋_GB2312"/>
          <w:sz w:val="28"/>
          <w:szCs w:val="28"/>
        </w:rPr>
        <w:t>0.00</w:t>
      </w:r>
      <w:r>
        <w:rPr>
          <w:rFonts w:hint="eastAsia" w:ascii="仿宋_GB2312" w:eastAsia="仿宋_GB2312"/>
          <w:sz w:val="28"/>
          <w:szCs w:val="28"/>
        </w:rPr>
        <w:t>万元，占支出合计的0</w:t>
      </w:r>
      <w:r>
        <w:rPr>
          <w:rFonts w:ascii="仿宋_GB2312" w:eastAsia="仿宋_GB2312"/>
          <w:sz w:val="28"/>
          <w:szCs w:val="28"/>
        </w:rPr>
        <w:t>.00</w:t>
      </w:r>
      <w:r>
        <w:rPr>
          <w:rFonts w:hint="eastAsia" w:ascii="仿宋_GB2312" w:eastAsia="仿宋_GB2312"/>
          <w:sz w:val="28"/>
          <w:szCs w:val="28"/>
        </w:rPr>
        <w:t>%；经营支出</w:t>
      </w:r>
      <w:r>
        <w:rPr>
          <w:rFonts w:ascii="仿宋_GB2312" w:eastAsia="仿宋_GB2312"/>
          <w:sz w:val="28"/>
          <w:szCs w:val="28"/>
        </w:rPr>
        <w:t>0.00</w:t>
      </w:r>
      <w:r>
        <w:rPr>
          <w:rFonts w:hint="eastAsia" w:ascii="仿宋_GB2312" w:eastAsia="仿宋_GB2312"/>
          <w:sz w:val="28"/>
          <w:szCs w:val="28"/>
        </w:rPr>
        <w:t>万元，占支出合计的0.0</w:t>
      </w:r>
      <w:r>
        <w:rPr>
          <w:rFonts w:ascii="仿宋_GB2312" w:eastAsia="仿宋_GB2312"/>
          <w:sz w:val="28"/>
          <w:szCs w:val="28"/>
        </w:rPr>
        <w:t>0</w:t>
      </w:r>
      <w:r>
        <w:rPr>
          <w:rFonts w:hint="eastAsia" w:ascii="仿宋_GB2312" w:eastAsia="仿宋_GB2312"/>
          <w:sz w:val="28"/>
          <w:szCs w:val="28"/>
        </w:rPr>
        <w:t>%；对附属单位补助支出</w:t>
      </w:r>
      <w:r>
        <w:rPr>
          <w:rFonts w:ascii="仿宋_GB2312" w:eastAsia="仿宋_GB2312"/>
          <w:sz w:val="28"/>
          <w:szCs w:val="28"/>
        </w:rPr>
        <w:t>0.00</w:t>
      </w:r>
      <w:r>
        <w:rPr>
          <w:rFonts w:hint="eastAsia" w:ascii="仿宋_GB2312" w:eastAsia="仿宋_GB2312"/>
          <w:sz w:val="28"/>
          <w:szCs w:val="28"/>
        </w:rPr>
        <w:t>万元，占支出合计的0</w:t>
      </w:r>
      <w:r>
        <w:rPr>
          <w:rFonts w:ascii="仿宋_GB2312" w:eastAsia="仿宋_GB2312"/>
          <w:sz w:val="28"/>
          <w:szCs w:val="28"/>
        </w:rPr>
        <w:t>.00</w:t>
      </w:r>
      <w:r>
        <w:rPr>
          <w:rFonts w:hint="eastAsia" w:ascii="仿宋_GB2312" w:eastAsia="仿宋_GB2312"/>
          <w:sz w:val="28"/>
          <w:szCs w:val="28"/>
        </w:rPr>
        <w:t>%。</w:t>
      </w:r>
    </w:p>
    <w:p w14:paraId="2F396C69">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314BE14C">
      <w:pPr>
        <w:jc w:val="center"/>
        <w:rPr>
          <w:rFonts w:ascii="黑体" w:eastAsia="黑体"/>
          <w:b/>
          <w:sz w:val="28"/>
          <w:szCs w:val="28"/>
        </w:rPr>
      </w:pPr>
      <w:r>
        <w:drawing>
          <wp:inline distT="0" distB="0" distL="114300" distR="114300">
            <wp:extent cx="4826000" cy="2743200"/>
            <wp:effectExtent l="4445" t="4445" r="825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7D17483">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564AA856">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179853.09</w:t>
      </w:r>
      <w:r>
        <w:rPr>
          <w:rFonts w:hint="eastAsia" w:ascii="仿宋_GB2312" w:eastAsia="仿宋_GB2312"/>
          <w:sz w:val="28"/>
          <w:szCs w:val="28"/>
        </w:rPr>
        <w:t>万元，比上年</w:t>
      </w:r>
      <w:r>
        <w:rPr>
          <w:rFonts w:ascii="仿宋_GB2312" w:eastAsia="仿宋_GB2312"/>
          <w:sz w:val="28"/>
          <w:szCs w:val="28"/>
        </w:rPr>
        <w:t>增加139882.41</w:t>
      </w:r>
      <w:r>
        <w:rPr>
          <w:rFonts w:hint="eastAsia" w:ascii="仿宋_GB2312" w:eastAsia="仿宋_GB2312"/>
          <w:sz w:val="28"/>
          <w:szCs w:val="28"/>
        </w:rPr>
        <w:t>万元，增长</w:t>
      </w:r>
      <w:r>
        <w:rPr>
          <w:rFonts w:ascii="仿宋_GB2312" w:eastAsia="仿宋_GB2312"/>
          <w:sz w:val="28"/>
          <w:szCs w:val="28"/>
        </w:rPr>
        <w:t>349.96</w:t>
      </w:r>
      <w:r>
        <w:rPr>
          <w:rFonts w:hint="eastAsia" w:ascii="仿宋_GB2312" w:eastAsia="仿宋_GB2312"/>
          <w:sz w:val="28"/>
          <w:szCs w:val="28"/>
        </w:rPr>
        <w:t>%。主要原因：新校区建设基本</w:t>
      </w:r>
      <w:r>
        <w:rPr>
          <w:rFonts w:hint="eastAsia" w:ascii="仿宋_GB2312" w:eastAsia="仿宋_GB2312"/>
          <w:sz w:val="28"/>
          <w:szCs w:val="28"/>
          <w:lang w:val="en-US" w:eastAsia="zh-CN"/>
        </w:rPr>
        <w:t>建设</w:t>
      </w:r>
      <w:r>
        <w:rPr>
          <w:rFonts w:hint="eastAsia" w:ascii="仿宋_GB2312" w:eastAsia="仿宋_GB2312"/>
          <w:sz w:val="28"/>
          <w:szCs w:val="28"/>
        </w:rPr>
        <w:t>经费增加。</w:t>
      </w:r>
      <w:bookmarkStart w:id="2" w:name="_GoBack"/>
      <w:bookmarkEnd w:id="2"/>
    </w:p>
    <w:p w14:paraId="4B9A7215">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4BDE234E">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6E3F6A6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118752.76</w:t>
      </w:r>
      <w:r>
        <w:rPr>
          <w:rFonts w:hint="eastAsia" w:ascii="仿宋_GB2312" w:eastAsia="仿宋_GB2312"/>
          <w:sz w:val="28"/>
          <w:szCs w:val="28"/>
        </w:rPr>
        <w:t>万元，主要用于以下方面（按大类）：教育支出</w:t>
      </w:r>
      <w:r>
        <w:rPr>
          <w:rFonts w:ascii="仿宋_GB2312" w:eastAsia="仿宋_GB2312"/>
          <w:sz w:val="28"/>
          <w:szCs w:val="28"/>
        </w:rPr>
        <w:t>118752.76</w:t>
      </w:r>
      <w:r>
        <w:rPr>
          <w:rFonts w:hint="eastAsia" w:ascii="仿宋_GB2312" w:eastAsia="仿宋_GB2312"/>
          <w:sz w:val="28"/>
          <w:szCs w:val="28"/>
        </w:rPr>
        <w:t>万元，占本年财政拨款支出</w:t>
      </w:r>
      <w:r>
        <w:rPr>
          <w:rFonts w:ascii="仿宋_GB2312" w:eastAsia="仿宋_GB2312"/>
          <w:sz w:val="28"/>
          <w:szCs w:val="28"/>
        </w:rPr>
        <w:t>100</w:t>
      </w:r>
      <w:r>
        <w:rPr>
          <w:rFonts w:hint="eastAsia" w:ascii="仿宋_GB2312" w:eastAsia="仿宋_GB2312"/>
          <w:sz w:val="28"/>
          <w:szCs w:val="28"/>
        </w:rPr>
        <w:t>%。</w:t>
      </w:r>
    </w:p>
    <w:p w14:paraId="7E016D2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（二）一般公共预算财政拨款支出决算具体情况</w:t>
      </w:r>
    </w:p>
    <w:p w14:paraId="214AE3EE">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cs="仿宋_GB2312"/>
          <w:sz w:val="28"/>
          <w:szCs w:val="28"/>
          <w:lang w:bidi="ar"/>
        </w:rPr>
        <w:t>“教育支出”（类）</w:t>
      </w:r>
      <w:r>
        <w:rPr>
          <w:rFonts w:hint="eastAsia" w:ascii="仿宋_GB2312" w:eastAsia="仿宋_GB2312"/>
          <w:sz w:val="28"/>
          <w:szCs w:val="28"/>
        </w:rPr>
        <w:t>2024年度年初预算</w:t>
      </w:r>
      <w:r>
        <w:rPr>
          <w:rFonts w:ascii="仿宋_GB2312" w:eastAsia="仿宋_GB2312"/>
          <w:sz w:val="28"/>
          <w:szCs w:val="28"/>
        </w:rPr>
        <w:t>125304.09</w:t>
      </w:r>
      <w:r>
        <w:rPr>
          <w:rFonts w:hint="eastAsia" w:ascii="仿宋_GB2312" w:eastAsia="仿宋_GB2312"/>
          <w:sz w:val="28"/>
          <w:szCs w:val="28"/>
        </w:rPr>
        <w:t>万元，2024年度决算</w:t>
      </w:r>
      <w:r>
        <w:rPr>
          <w:rFonts w:hint="eastAsia" w:ascii="仿宋_GB2312" w:eastAsia="仿宋_GB2312" w:cs="仿宋_GB2312"/>
          <w:sz w:val="28"/>
          <w:szCs w:val="28"/>
          <w:lang w:bidi="ar"/>
        </w:rPr>
        <w:t>118752.76</w:t>
      </w:r>
      <w:r>
        <w:rPr>
          <w:rFonts w:hint="eastAsia" w:ascii="仿宋_GB2312" w:eastAsia="仿宋_GB2312"/>
          <w:sz w:val="28"/>
          <w:szCs w:val="28"/>
        </w:rPr>
        <w:t>万元，完成年初预算的</w:t>
      </w:r>
      <w:r>
        <w:rPr>
          <w:rFonts w:ascii="仿宋_GB2312" w:eastAsia="仿宋_GB2312"/>
          <w:sz w:val="28"/>
          <w:szCs w:val="28"/>
        </w:rPr>
        <w:t>94.77</w:t>
      </w:r>
      <w:r>
        <w:rPr>
          <w:rFonts w:hint="eastAsia" w:ascii="仿宋_GB2312" w:eastAsia="仿宋_GB2312"/>
          <w:sz w:val="28"/>
          <w:szCs w:val="28"/>
        </w:rPr>
        <w:t>%。</w:t>
      </w:r>
    </w:p>
    <w:p w14:paraId="72149BF2">
      <w:pPr>
        <w:autoSpaceDE w:val="0"/>
        <w:autoSpaceDN w:val="0"/>
        <w:adjustRightInd w:val="0"/>
        <w:spacing w:line="580" w:lineRule="exact"/>
        <w:jc w:val="left"/>
        <w:rPr>
          <w:rFonts w:ascii="仿宋_GB2312" w:eastAsia="仿宋_GB2312"/>
          <w:sz w:val="28"/>
          <w:szCs w:val="28"/>
        </w:rPr>
      </w:pPr>
      <w:r>
        <w:rPr>
          <w:rFonts w:hint="eastAsia" w:ascii="仿宋_GB2312" w:eastAsia="仿宋_GB2312"/>
          <w:sz w:val="28"/>
          <w:szCs w:val="28"/>
        </w:rPr>
        <w:t>其中：</w:t>
      </w:r>
    </w:p>
    <w:p w14:paraId="45ADD963">
      <w:pPr>
        <w:spacing w:line="580" w:lineRule="exact"/>
        <w:ind w:firstLine="560" w:firstLineChars="200"/>
        <w:rPr>
          <w:rFonts w:ascii="仿宋_GB2312" w:eastAsia="仿宋_GB2312"/>
          <w:sz w:val="28"/>
          <w:szCs w:val="28"/>
        </w:rPr>
      </w:pPr>
      <w:r>
        <w:rPr>
          <w:rFonts w:hint="eastAsia" w:ascii="仿宋_GB2312" w:eastAsia="仿宋_GB2312" w:cs="仿宋_GB2312"/>
          <w:sz w:val="28"/>
          <w:szCs w:val="28"/>
          <w:lang w:bidi="ar"/>
        </w:rPr>
        <w:t>“普通教育”（款）</w:t>
      </w:r>
      <w:r>
        <w:rPr>
          <w:rFonts w:hint="eastAsia" w:ascii="仿宋_GB2312" w:eastAsia="仿宋_GB2312"/>
          <w:sz w:val="28"/>
          <w:szCs w:val="28"/>
        </w:rPr>
        <w:t>2024年度年初预算</w:t>
      </w:r>
      <w:r>
        <w:rPr>
          <w:rFonts w:ascii="仿宋_GB2312" w:eastAsia="仿宋_GB2312"/>
          <w:sz w:val="28"/>
          <w:szCs w:val="28"/>
        </w:rPr>
        <w:t>125304.09</w:t>
      </w:r>
      <w:r>
        <w:rPr>
          <w:rFonts w:hint="eastAsia" w:ascii="仿宋_GB2312" w:eastAsia="仿宋_GB2312"/>
          <w:sz w:val="28"/>
          <w:szCs w:val="28"/>
        </w:rPr>
        <w:t>万元，2024年度决算</w:t>
      </w:r>
      <w:r>
        <w:rPr>
          <w:rFonts w:hint="eastAsia" w:ascii="仿宋_GB2312" w:eastAsia="仿宋_GB2312" w:cs="仿宋_GB2312"/>
          <w:sz w:val="28"/>
          <w:szCs w:val="28"/>
          <w:lang w:bidi="ar"/>
        </w:rPr>
        <w:t>118752.76</w:t>
      </w:r>
      <w:r>
        <w:rPr>
          <w:rFonts w:hint="eastAsia" w:ascii="仿宋_GB2312" w:eastAsia="仿宋_GB2312"/>
          <w:sz w:val="28"/>
          <w:szCs w:val="28"/>
        </w:rPr>
        <w:t>万元，完成年初预算的</w:t>
      </w:r>
      <w:r>
        <w:rPr>
          <w:rFonts w:ascii="仿宋_GB2312" w:eastAsia="仿宋_GB2312"/>
          <w:sz w:val="28"/>
          <w:szCs w:val="28"/>
        </w:rPr>
        <w:t>94.77</w:t>
      </w:r>
      <w:r>
        <w:rPr>
          <w:rFonts w:hint="eastAsia" w:ascii="仿宋_GB2312" w:eastAsia="仿宋_GB2312"/>
          <w:sz w:val="28"/>
          <w:szCs w:val="28"/>
        </w:rPr>
        <w:t>%。主要原因：</w:t>
      </w:r>
      <w:r>
        <w:rPr>
          <w:rFonts w:hint="eastAsia" w:ascii="仿宋_GB2312" w:eastAsia="仿宋_GB2312" w:cs="仿宋_GB2312"/>
          <w:sz w:val="28"/>
          <w:szCs w:val="28"/>
          <w:lang w:bidi="ar"/>
        </w:rPr>
        <w:t>根据高等教育事业发展规划，项目经费净结余及结转下年使用。</w:t>
      </w:r>
    </w:p>
    <w:p w14:paraId="064BAFE8">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14:paraId="710F3344">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14:paraId="2463E9F2">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120.00</w:t>
      </w:r>
      <w:r>
        <w:rPr>
          <w:rFonts w:hint="eastAsia" w:ascii="仿宋_GB2312" w:eastAsia="仿宋_GB2312"/>
          <w:sz w:val="28"/>
          <w:szCs w:val="28"/>
        </w:rPr>
        <w:t>万元，主要用于以下方面（按大类）：</w:t>
      </w:r>
      <w:r>
        <w:rPr>
          <w:rFonts w:hint="eastAsia" w:ascii="仿宋_GB2312" w:eastAsia="仿宋_GB2312"/>
          <w:sz w:val="28"/>
          <w:szCs w:val="28"/>
          <w:lang w:bidi="ar"/>
        </w:rPr>
        <w:t>教育支出120.00万元</w:t>
      </w:r>
      <w:r>
        <w:rPr>
          <w:rFonts w:hint="eastAsia" w:ascii="仿宋_GB2312" w:eastAsia="仿宋_GB2312"/>
          <w:sz w:val="28"/>
          <w:szCs w:val="28"/>
        </w:rPr>
        <w:t>，占本年财政拨款支出</w:t>
      </w:r>
      <w:r>
        <w:rPr>
          <w:rFonts w:ascii="仿宋_GB2312" w:eastAsia="仿宋_GB2312"/>
          <w:sz w:val="28"/>
          <w:szCs w:val="28"/>
        </w:rPr>
        <w:t>100</w:t>
      </w:r>
      <w:r>
        <w:rPr>
          <w:rFonts w:hint="eastAsia" w:ascii="仿宋_GB2312" w:eastAsia="仿宋_GB2312"/>
          <w:sz w:val="28"/>
          <w:szCs w:val="28"/>
        </w:rPr>
        <w:t>%。</w:t>
      </w:r>
    </w:p>
    <w:p w14:paraId="5260A82D">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14:paraId="50F4D0A3">
      <w:pPr>
        <w:autoSpaceDE w:val="0"/>
        <w:autoSpaceDN w:val="0"/>
        <w:adjustRightInd w:val="0"/>
        <w:spacing w:line="580" w:lineRule="exact"/>
        <w:ind w:firstLine="700" w:firstLineChars="250"/>
        <w:jc w:val="left"/>
        <w:rPr>
          <w:rFonts w:ascii="仿宋_GB2312" w:eastAsia="仿宋_GB2312"/>
          <w:sz w:val="28"/>
          <w:szCs w:val="28"/>
        </w:rPr>
      </w:pPr>
      <w:r>
        <w:rPr>
          <w:rFonts w:hint="eastAsia" w:ascii="仿宋_GB2312" w:eastAsia="仿宋_GB2312" w:cs="仿宋_GB2312"/>
          <w:sz w:val="28"/>
          <w:szCs w:val="28"/>
          <w:lang w:bidi="ar"/>
        </w:rPr>
        <w:t>“教育支出”（类）</w:t>
      </w:r>
      <w:r>
        <w:rPr>
          <w:rFonts w:hint="eastAsia" w:ascii="仿宋_GB2312" w:eastAsia="仿宋_GB2312"/>
          <w:sz w:val="28"/>
          <w:szCs w:val="28"/>
        </w:rPr>
        <w:t>2024年度年初预算</w:t>
      </w:r>
      <w:r>
        <w:rPr>
          <w:rFonts w:ascii="仿宋_GB2312" w:eastAsia="仿宋_GB2312"/>
          <w:sz w:val="28"/>
          <w:szCs w:val="28"/>
        </w:rPr>
        <w:t>0.00</w:t>
      </w:r>
      <w:r>
        <w:rPr>
          <w:rFonts w:hint="eastAsia" w:ascii="仿宋_GB2312" w:eastAsia="仿宋_GB2312"/>
          <w:sz w:val="28"/>
          <w:szCs w:val="28"/>
        </w:rPr>
        <w:t>万元，2024年度决算</w:t>
      </w:r>
      <w:r>
        <w:rPr>
          <w:rFonts w:ascii="仿宋_GB2312" w:eastAsia="仿宋_GB2312"/>
          <w:sz w:val="28"/>
          <w:szCs w:val="28"/>
        </w:rPr>
        <w:t>120.00</w:t>
      </w:r>
      <w:r>
        <w:rPr>
          <w:rFonts w:hint="eastAsia" w:ascii="仿宋_GB2312" w:eastAsia="仿宋_GB2312"/>
          <w:sz w:val="28"/>
          <w:szCs w:val="28"/>
        </w:rPr>
        <w:t>万元。</w:t>
      </w:r>
    </w:p>
    <w:p w14:paraId="0B2FD1CA">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1D907439">
      <w:pPr>
        <w:spacing w:line="580" w:lineRule="exact"/>
        <w:ind w:firstLine="548" w:firstLineChars="196"/>
        <w:rPr>
          <w:rFonts w:ascii="仿宋_GB2312" w:eastAsia="仿宋_GB2312"/>
          <w:sz w:val="28"/>
          <w:szCs w:val="28"/>
        </w:rPr>
      </w:pPr>
      <w:r>
        <w:rPr>
          <w:rFonts w:hint="eastAsia" w:ascii="仿宋_GB2312" w:eastAsia="仿宋_GB2312"/>
          <w:sz w:val="28"/>
          <w:szCs w:val="28"/>
        </w:rPr>
        <w:t>本年度无此项经费。</w:t>
      </w:r>
    </w:p>
    <w:p w14:paraId="4A7111B9">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03892235">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28482.17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.0</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2981584B">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14:paraId="45DDFC08">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1B391BA1">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63FFCB49">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115.73</w:t>
      </w:r>
      <w:r>
        <w:rPr>
          <w:rFonts w:hint="eastAsia" w:ascii="仿宋_GB2312" w:eastAsia="仿宋_GB2312"/>
          <w:sz w:val="28"/>
          <w:szCs w:val="28"/>
        </w:rPr>
        <w:t>万元，比2024年度“三公”经费财政拨款年初预算</w:t>
      </w:r>
      <w:r>
        <w:rPr>
          <w:rFonts w:ascii="仿宋_GB2312" w:eastAsia="仿宋_GB2312"/>
          <w:sz w:val="28"/>
          <w:szCs w:val="28"/>
        </w:rPr>
        <w:t>135.73</w:t>
      </w:r>
      <w:r>
        <w:rPr>
          <w:rFonts w:hint="eastAsia" w:ascii="仿宋_GB2312" w:eastAsia="仿宋_GB2312"/>
          <w:sz w:val="28"/>
          <w:szCs w:val="28"/>
        </w:rPr>
        <w:t>万元减少</w:t>
      </w:r>
      <w:r>
        <w:rPr>
          <w:rFonts w:ascii="仿宋_GB2312" w:eastAsia="仿宋_GB2312"/>
          <w:sz w:val="28"/>
          <w:szCs w:val="28"/>
        </w:rPr>
        <w:t>20.00</w:t>
      </w:r>
      <w:r>
        <w:rPr>
          <w:rFonts w:hint="eastAsia" w:ascii="仿宋_GB2312" w:eastAsia="仿宋_GB2312"/>
          <w:sz w:val="28"/>
          <w:szCs w:val="28"/>
        </w:rPr>
        <w:t>万元。其中：</w:t>
      </w:r>
    </w:p>
    <w:p w14:paraId="444DF84D">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63.03</w:t>
      </w:r>
      <w:r>
        <w:rPr>
          <w:rFonts w:hint="eastAsia" w:ascii="仿宋_GB2312" w:eastAsia="仿宋_GB2312"/>
          <w:sz w:val="28"/>
          <w:szCs w:val="28"/>
        </w:rPr>
        <w:t>万元，</w:t>
      </w:r>
      <w:bookmarkStart w:id="0" w:name="OLE_LINK10"/>
      <w:r>
        <w:rPr>
          <w:rFonts w:hint="eastAsia" w:ascii="仿宋_GB2312" w:eastAsia="仿宋_GB2312"/>
          <w:sz w:val="28"/>
          <w:szCs w:val="28"/>
        </w:rPr>
        <w:t>与2024年度年初预算数持平。</w:t>
      </w:r>
      <w:bookmarkEnd w:id="0"/>
      <w:r>
        <w:rPr>
          <w:rFonts w:hint="eastAsia" w:ascii="仿宋_GB2312" w:eastAsia="仿宋_GB2312"/>
          <w:sz w:val="28"/>
          <w:szCs w:val="28"/>
        </w:rPr>
        <w:t>2024年度因公出国（境）费用主要用于国际青年奥林匹克大使出访及教学科研交流等方面，2024年度组织因公出国（境）团组7个、36人次。</w:t>
      </w:r>
    </w:p>
    <w:p w14:paraId="35FD00F4">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11.24</w:t>
      </w:r>
      <w:r>
        <w:rPr>
          <w:rFonts w:hint="eastAsia" w:ascii="仿宋_GB2312" w:eastAsia="仿宋_GB2312"/>
          <w:sz w:val="28"/>
          <w:szCs w:val="28"/>
        </w:rPr>
        <w:t>万元，</w:t>
      </w:r>
      <w:bookmarkStart w:id="1" w:name="OLE_LINK11"/>
      <w:r>
        <w:rPr>
          <w:rFonts w:hint="eastAsia" w:ascii="仿宋_GB2312" w:eastAsia="仿宋_GB2312"/>
          <w:sz w:val="28"/>
          <w:szCs w:val="28"/>
        </w:rPr>
        <w:t>与2024年度年初预算数持平</w:t>
      </w:r>
      <w:bookmarkEnd w:id="1"/>
      <w:r>
        <w:rPr>
          <w:rFonts w:hint="eastAsia" w:ascii="仿宋_GB2312" w:eastAsia="仿宋_GB2312"/>
          <w:sz w:val="28"/>
          <w:szCs w:val="28"/>
        </w:rPr>
        <w:t>。2024年度公务接待费主要用于国内外院校来访、国际会议交流等方面。公务接待40批次，公务接待308人次。</w:t>
      </w:r>
    </w:p>
    <w:p w14:paraId="08FE7A66">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41.46</w:t>
      </w:r>
      <w:r>
        <w:rPr>
          <w:rFonts w:hint="eastAsia" w:ascii="仿宋_GB2312" w:eastAsia="仿宋_GB2312"/>
          <w:sz w:val="28"/>
          <w:szCs w:val="28"/>
        </w:rPr>
        <w:t>万元，比2024年度年初预算数</w:t>
      </w:r>
      <w:r>
        <w:rPr>
          <w:rFonts w:ascii="仿宋_GB2312" w:eastAsia="仿宋_GB2312"/>
          <w:sz w:val="28"/>
          <w:szCs w:val="28"/>
        </w:rPr>
        <w:t>61.46</w:t>
      </w:r>
      <w:r>
        <w:rPr>
          <w:rFonts w:hint="eastAsia" w:ascii="仿宋_GB2312" w:eastAsia="仿宋_GB2312"/>
          <w:sz w:val="28"/>
          <w:szCs w:val="28"/>
        </w:rPr>
        <w:t>万元减少</w:t>
      </w:r>
      <w:r>
        <w:rPr>
          <w:rFonts w:ascii="仿宋_GB2312" w:eastAsia="仿宋_GB2312"/>
          <w:sz w:val="28"/>
          <w:szCs w:val="28"/>
        </w:rPr>
        <w:t>20</w:t>
      </w:r>
      <w:r>
        <w:rPr>
          <w:rFonts w:hint="eastAsia" w:ascii="仿宋_GB2312" w:eastAsia="仿宋_GB2312"/>
          <w:sz w:val="28"/>
          <w:szCs w:val="28"/>
        </w:rPr>
        <w:t>.</w:t>
      </w:r>
      <w:r>
        <w:rPr>
          <w:rFonts w:ascii="仿宋_GB2312" w:eastAsia="仿宋_GB2312"/>
          <w:sz w:val="28"/>
          <w:szCs w:val="28"/>
        </w:rPr>
        <w:t>00</w:t>
      </w:r>
      <w:r>
        <w:rPr>
          <w:rFonts w:hint="eastAsia" w:ascii="仿宋_GB2312" w:eastAsia="仿宋_GB2312"/>
          <w:sz w:val="28"/>
          <w:szCs w:val="28"/>
        </w:rPr>
        <w:t>万元。其中，公务用车购置费2024年度决算数26.77万元，与2</w:t>
      </w:r>
      <w:r>
        <w:rPr>
          <w:rFonts w:ascii="仿宋_GB2312" w:eastAsia="仿宋_GB2312"/>
          <w:sz w:val="28"/>
          <w:szCs w:val="28"/>
        </w:rPr>
        <w:t>024</w:t>
      </w:r>
      <w:r>
        <w:rPr>
          <w:rFonts w:hint="eastAsia" w:ascii="仿宋_GB2312" w:eastAsia="仿宋_GB2312"/>
          <w:sz w:val="28"/>
          <w:szCs w:val="28"/>
        </w:rPr>
        <w:t>年度年初预算持平。2024年度购置（更新）1辆。公务用车运行维护费2024年度决算数14.69万元，主要原因：落实政府过紧日子要求，严格控制公务用车费用，公务用车运行维护费相应减少。2024年度公务用车保有量</w:t>
      </w:r>
      <w:r>
        <w:rPr>
          <w:rFonts w:ascii="仿宋_GB2312" w:eastAsia="仿宋_GB2312"/>
          <w:sz w:val="28"/>
          <w:szCs w:val="28"/>
        </w:rPr>
        <w:t>13</w:t>
      </w:r>
      <w:r>
        <w:rPr>
          <w:rFonts w:hint="eastAsia" w:ascii="仿宋_GB2312" w:eastAsia="仿宋_GB2312"/>
          <w:sz w:val="28"/>
          <w:szCs w:val="28"/>
        </w:rPr>
        <w:t>辆。</w:t>
      </w:r>
    </w:p>
    <w:p w14:paraId="69E0A4F3">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4D2097D0">
      <w:pPr>
        <w:ind w:firstLine="537" w:firstLineChars="192"/>
        <w:rPr>
          <w:rFonts w:ascii="仿宋_GB2312" w:eastAsia="仿宋_GB2312"/>
          <w:sz w:val="28"/>
          <w:szCs w:val="28"/>
        </w:rPr>
      </w:pPr>
      <w:r>
        <w:rPr>
          <w:rFonts w:hint="eastAsia" w:ascii="仿宋_GB2312" w:eastAsia="仿宋_GB2312"/>
          <w:sz w:val="28"/>
          <w:szCs w:val="28"/>
        </w:rPr>
        <w:t>不属于机关运行经费统计范围。</w:t>
      </w:r>
    </w:p>
    <w:p w14:paraId="2C14BFF5">
      <w:pPr>
        <w:ind w:left="540"/>
        <w:rPr>
          <w:rFonts w:ascii="黑体" w:eastAsia="黑体"/>
          <w:sz w:val="28"/>
          <w:szCs w:val="28"/>
        </w:rPr>
      </w:pPr>
      <w:r>
        <w:rPr>
          <w:rFonts w:hint="eastAsia" w:ascii="黑体" w:eastAsia="黑体"/>
          <w:sz w:val="28"/>
          <w:szCs w:val="28"/>
        </w:rPr>
        <w:t>三、政府采购支出情况</w:t>
      </w:r>
    </w:p>
    <w:p w14:paraId="7EFD288C">
      <w:pPr>
        <w:ind w:firstLine="537" w:firstLineChars="192"/>
        <w:rPr>
          <w:rFonts w:ascii="仿宋_GB2312" w:eastAsia="仿宋_GB2312"/>
          <w:sz w:val="28"/>
          <w:szCs w:val="28"/>
        </w:rPr>
      </w:pPr>
      <w:r>
        <w:rPr>
          <w:rFonts w:hint="eastAsia" w:ascii="仿宋_GB2312" w:eastAsia="仿宋_GB2312"/>
          <w:sz w:val="28"/>
          <w:szCs w:val="28"/>
        </w:rPr>
        <w:t>2024年度政府采购支出总额</w:t>
      </w:r>
      <w:r>
        <w:rPr>
          <w:rFonts w:ascii="仿宋_GB2312" w:eastAsia="仿宋_GB2312"/>
          <w:sz w:val="28"/>
          <w:szCs w:val="28"/>
        </w:rPr>
        <w:t>5972.12</w:t>
      </w:r>
      <w:r>
        <w:rPr>
          <w:rFonts w:hint="eastAsia" w:ascii="仿宋_GB2312" w:eastAsia="仿宋_GB2312"/>
          <w:sz w:val="28"/>
          <w:szCs w:val="28"/>
        </w:rPr>
        <w:t>万元，其中：政府采购货物支出</w:t>
      </w:r>
      <w:r>
        <w:rPr>
          <w:rFonts w:ascii="仿宋_GB2312" w:eastAsia="仿宋_GB2312"/>
          <w:sz w:val="28"/>
          <w:szCs w:val="28"/>
        </w:rPr>
        <w:t>2275.61</w:t>
      </w:r>
      <w:r>
        <w:rPr>
          <w:rFonts w:hint="eastAsia" w:ascii="仿宋_GB2312" w:eastAsia="仿宋_GB2312"/>
          <w:sz w:val="28"/>
          <w:szCs w:val="28"/>
        </w:rPr>
        <w:t>万元，政府采购工程支出</w:t>
      </w:r>
      <w:r>
        <w:rPr>
          <w:rFonts w:ascii="仿宋_GB2312" w:eastAsia="仿宋_GB2312"/>
          <w:sz w:val="28"/>
          <w:szCs w:val="28"/>
        </w:rPr>
        <w:t>733.04</w:t>
      </w:r>
      <w:r>
        <w:rPr>
          <w:rFonts w:hint="eastAsia" w:ascii="仿宋_GB2312" w:eastAsia="仿宋_GB2312"/>
          <w:sz w:val="28"/>
          <w:szCs w:val="28"/>
        </w:rPr>
        <w:t>万元，政府采购服务支出</w:t>
      </w:r>
      <w:r>
        <w:rPr>
          <w:rFonts w:ascii="仿宋_GB2312" w:eastAsia="仿宋_GB2312"/>
          <w:sz w:val="28"/>
          <w:szCs w:val="28"/>
        </w:rPr>
        <w:t>2963.47</w:t>
      </w:r>
      <w:r>
        <w:rPr>
          <w:rFonts w:hint="eastAsia" w:ascii="仿宋_GB2312" w:eastAsia="仿宋_GB2312"/>
          <w:sz w:val="28"/>
          <w:szCs w:val="28"/>
        </w:rPr>
        <w:t>万元。授予中小企业合同金额</w:t>
      </w:r>
      <w:r>
        <w:rPr>
          <w:rFonts w:ascii="仿宋_GB2312" w:eastAsia="仿宋_GB2312"/>
          <w:sz w:val="28"/>
          <w:szCs w:val="28"/>
        </w:rPr>
        <w:t>5185.35</w:t>
      </w:r>
      <w:r>
        <w:rPr>
          <w:rFonts w:hint="eastAsia" w:ascii="仿宋_GB2312" w:eastAsia="仿宋_GB2312"/>
          <w:sz w:val="28"/>
          <w:szCs w:val="28"/>
        </w:rPr>
        <w:t>万元，占政府采购支出总额的86.83%，其中：授予小微企业合同金额</w:t>
      </w:r>
      <w:r>
        <w:rPr>
          <w:rFonts w:ascii="仿宋_GB2312" w:eastAsia="仿宋_GB2312"/>
          <w:sz w:val="28"/>
          <w:szCs w:val="28"/>
        </w:rPr>
        <w:t>3825.95</w:t>
      </w:r>
      <w:r>
        <w:rPr>
          <w:rFonts w:hint="eastAsia" w:ascii="仿宋_GB2312" w:eastAsia="仿宋_GB2312"/>
          <w:sz w:val="28"/>
          <w:szCs w:val="28"/>
        </w:rPr>
        <w:t>万元，占政府采购支出总额的</w:t>
      </w:r>
      <w:r>
        <w:rPr>
          <w:rFonts w:ascii="仿宋_GB2312" w:eastAsia="仿宋_GB2312"/>
          <w:sz w:val="28"/>
          <w:szCs w:val="28"/>
        </w:rPr>
        <w:t>64.06</w:t>
      </w:r>
      <w:r>
        <w:rPr>
          <w:rFonts w:hint="eastAsia" w:ascii="仿宋_GB2312" w:eastAsia="仿宋_GB2312"/>
          <w:sz w:val="28"/>
          <w:szCs w:val="28"/>
        </w:rPr>
        <w:t>%。</w:t>
      </w:r>
    </w:p>
    <w:p w14:paraId="04BA5700">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6DDEFC23">
      <w:pPr>
        <w:ind w:firstLine="560" w:firstLineChars="200"/>
        <w:rPr>
          <w:rFonts w:ascii="仿宋_GB2312" w:eastAsia="仿宋_GB2312"/>
          <w:sz w:val="32"/>
          <w:szCs w:val="32"/>
        </w:rPr>
      </w:pPr>
      <w:r>
        <w:rPr>
          <w:rFonts w:hint="eastAsia" w:ascii="仿宋_GB2312" w:eastAsia="仿宋_GB2312"/>
          <w:sz w:val="28"/>
          <w:szCs w:val="28"/>
        </w:rPr>
        <w:t>截至12月31日，首都体育学院共有车辆13台；单位价值100万元（含）以上的设备31台（套）。</w:t>
      </w:r>
    </w:p>
    <w:p w14:paraId="5FFB61F6">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2583EAB2">
      <w:pPr>
        <w:ind w:firstLine="537" w:firstLineChars="192"/>
        <w:rPr>
          <w:rFonts w:ascii="仿宋_GB2312" w:eastAsia="仿宋_GB2312"/>
          <w:sz w:val="28"/>
          <w:szCs w:val="28"/>
        </w:rPr>
      </w:pPr>
      <w:r>
        <w:rPr>
          <w:rFonts w:hint="eastAsia" w:ascii="仿宋_GB2312" w:eastAsia="仿宋_GB2312"/>
          <w:sz w:val="28"/>
          <w:szCs w:val="28"/>
        </w:rPr>
        <w:t>不属于政府购买服务购买主体。</w:t>
      </w:r>
    </w:p>
    <w:p w14:paraId="2608A2B9">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661A8FB">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0A03A319">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1BE8CB5">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16DF1DF">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127F9AFC">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1A458A47">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0DFB19BD">
      <w:pPr>
        <w:ind w:firstLine="420" w:firstLineChars="150"/>
        <w:rPr>
          <w:rFonts w:ascii="仿宋_GB2312" w:eastAsia="仿宋_GB2312"/>
          <w:sz w:val="28"/>
          <w:szCs w:val="28"/>
        </w:rPr>
      </w:pPr>
      <w:r>
        <w:rPr>
          <w:rFonts w:hint="eastAsia" w:ascii="仿宋_GB2312" w:eastAsia="仿宋_GB2312"/>
          <w:sz w:val="28"/>
          <w:szCs w:val="28"/>
        </w:rPr>
        <w:t>7.教育支出（类）普通教育（款）高等教育（项）：反映各部门举办的普通本科(包括研究生)教育支出。政府各部门对社会组织等举办的普通本科高等院校 (包括研究生)的资助，如捐赠、补贴等，也在本科目中反映。</w:t>
      </w:r>
    </w:p>
    <w:p w14:paraId="6630E2F2">
      <w:pPr>
        <w:ind w:firstLine="560" w:firstLineChars="200"/>
        <w:rPr>
          <w:rFonts w:ascii="仿宋_GB2312" w:eastAsia="仿宋_GB2312"/>
          <w:sz w:val="28"/>
          <w:szCs w:val="28"/>
        </w:rPr>
      </w:pPr>
      <w:r>
        <w:rPr>
          <w:rFonts w:ascii="仿宋_GB2312" w:eastAsia="仿宋_GB2312"/>
          <w:sz w:val="28"/>
          <w:szCs w:val="28"/>
        </w:rPr>
        <w:t>8.</w:t>
      </w:r>
      <w:r>
        <w:rPr>
          <w:rFonts w:hint="eastAsia" w:ascii="仿宋_GB2312" w:eastAsia="仿宋_GB2312"/>
          <w:sz w:val="28"/>
          <w:szCs w:val="28"/>
        </w:rPr>
        <w:t>教育支出</w:t>
      </w:r>
      <w:r>
        <w:rPr>
          <w:rFonts w:ascii="仿宋_GB2312" w:eastAsia="仿宋_GB2312"/>
          <w:sz w:val="28"/>
          <w:szCs w:val="28"/>
        </w:rPr>
        <w:t>（类）</w:t>
      </w:r>
      <w:r>
        <w:rPr>
          <w:rFonts w:hint="eastAsia" w:ascii="仿宋_GB2312" w:eastAsia="仿宋_GB2312"/>
          <w:sz w:val="28"/>
          <w:szCs w:val="28"/>
        </w:rPr>
        <w:t>普通教育（款）</w:t>
      </w:r>
      <w:r>
        <w:rPr>
          <w:rFonts w:ascii="仿宋_GB2312" w:eastAsia="仿宋_GB2312"/>
          <w:sz w:val="28"/>
          <w:szCs w:val="28"/>
        </w:rPr>
        <w:t>其他普通教育支出（项）</w:t>
      </w:r>
      <w:r>
        <w:rPr>
          <w:rFonts w:hint="eastAsia" w:ascii="仿宋_GB2312" w:eastAsia="仿宋_GB2312"/>
          <w:sz w:val="28"/>
          <w:szCs w:val="28"/>
        </w:rPr>
        <w:t>：反映除学前教育、小学教育、初中教育、高中教育、高等教育项目以外其他用于普通教育方面的支出。</w:t>
      </w:r>
    </w:p>
    <w:p w14:paraId="7D51ADA3">
      <w:pPr>
        <w:rPr>
          <w:rFonts w:ascii="黑体" w:eastAsia="黑体"/>
          <w:sz w:val="32"/>
          <w:szCs w:val="32"/>
        </w:rPr>
      </w:pPr>
    </w:p>
    <w:p w14:paraId="794406B0">
      <w:pPr>
        <w:tabs>
          <w:tab w:val="center" w:pos="6979"/>
        </w:tabs>
        <w:spacing w:line="380" w:lineRule="exact"/>
        <w:jc w:val="center"/>
        <w:rPr>
          <w:rFonts w:ascii="宋体" w:hAnsi="宋体" w:cs="宋体"/>
          <w:b/>
          <w:bCs/>
          <w:kern w:val="0"/>
          <w:sz w:val="28"/>
          <w:szCs w:val="28"/>
        </w:rPr>
      </w:pPr>
    </w:p>
    <w:p w14:paraId="6902F79E">
      <w:pPr>
        <w:rPr>
          <w:rFonts w:ascii="黑体" w:eastAsia="黑体"/>
          <w:sz w:val="32"/>
          <w:szCs w:val="32"/>
        </w:rPr>
      </w:pPr>
    </w:p>
    <w:p w14:paraId="123CE341">
      <w:pPr>
        <w:ind w:firstLine="640" w:firstLineChars="200"/>
        <w:jc w:val="center"/>
        <w:rPr>
          <w:rFonts w:ascii="黑体" w:eastAsia="黑体"/>
          <w:sz w:val="32"/>
          <w:szCs w:val="32"/>
        </w:rPr>
      </w:pPr>
      <w:r>
        <w:rPr>
          <w:rFonts w:hint="eastAsia" w:ascii="黑体" w:eastAsia="黑体"/>
          <w:sz w:val="32"/>
          <w:szCs w:val="32"/>
        </w:rPr>
        <w:t>第四部分  2024年度部门绩效评价情况</w:t>
      </w:r>
    </w:p>
    <w:p w14:paraId="3B9C9D0B">
      <w:pPr>
        <w:ind w:firstLine="560" w:firstLineChars="200"/>
        <w:rPr>
          <w:rFonts w:ascii="黑体" w:eastAsia="黑体"/>
          <w:sz w:val="28"/>
          <w:szCs w:val="28"/>
          <w:highlight w:val="yellow"/>
        </w:rPr>
      </w:pPr>
    </w:p>
    <w:p w14:paraId="1798082A">
      <w:pPr>
        <w:ind w:firstLine="560" w:firstLineChars="200"/>
        <w:rPr>
          <w:rFonts w:ascii="仿宋_GB2312" w:eastAsia="仿宋_GB2312"/>
          <w:sz w:val="28"/>
          <w:szCs w:val="28"/>
        </w:rPr>
      </w:pPr>
      <w:r>
        <w:rPr>
          <w:rFonts w:hint="eastAsia" w:ascii="仿宋_GB2312" w:eastAsia="仿宋_GB2312"/>
          <w:sz w:val="28"/>
          <w:szCs w:val="28"/>
        </w:rPr>
        <w:t>项目支出绩效自评表详见附件。</w:t>
      </w:r>
    </w:p>
    <w:p w14:paraId="68703257"/>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6DB09">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14:paraId="51CB359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1F6C3">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10</w:t>
    </w:r>
    <w:r>
      <w:fldChar w:fldCharType="end"/>
    </w:r>
  </w:p>
  <w:p w14:paraId="70AD497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25316">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0648445B">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mNWE4NzRhMTczNjJlZDE5ZTE5YTczN2QxMzcyMjAifQ=="/>
  </w:docVars>
  <w:rsids>
    <w:rsidRoot w:val="00100246"/>
    <w:rsid w:val="00003B03"/>
    <w:rsid w:val="000040E6"/>
    <w:rsid w:val="00011D72"/>
    <w:rsid w:val="00022CB2"/>
    <w:rsid w:val="00027CD5"/>
    <w:rsid w:val="00031B8E"/>
    <w:rsid w:val="00033EC1"/>
    <w:rsid w:val="00034224"/>
    <w:rsid w:val="00040275"/>
    <w:rsid w:val="0004719C"/>
    <w:rsid w:val="00047F6E"/>
    <w:rsid w:val="00051B00"/>
    <w:rsid w:val="000601B1"/>
    <w:rsid w:val="00063034"/>
    <w:rsid w:val="00066E19"/>
    <w:rsid w:val="00067108"/>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A3A85"/>
    <w:rsid w:val="000B15B7"/>
    <w:rsid w:val="000B4EED"/>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742"/>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5DBE"/>
    <w:rsid w:val="00206EC3"/>
    <w:rsid w:val="00207A51"/>
    <w:rsid w:val="0021047C"/>
    <w:rsid w:val="00211E4E"/>
    <w:rsid w:val="00213D1C"/>
    <w:rsid w:val="00214C3A"/>
    <w:rsid w:val="00217517"/>
    <w:rsid w:val="00222628"/>
    <w:rsid w:val="002253CB"/>
    <w:rsid w:val="002267A6"/>
    <w:rsid w:val="002326DE"/>
    <w:rsid w:val="00234298"/>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27C9"/>
    <w:rsid w:val="0028458C"/>
    <w:rsid w:val="00290F24"/>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D718E"/>
    <w:rsid w:val="002E06AE"/>
    <w:rsid w:val="002E4B75"/>
    <w:rsid w:val="002E68DD"/>
    <w:rsid w:val="002F17C2"/>
    <w:rsid w:val="002F202D"/>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23C2"/>
    <w:rsid w:val="00325687"/>
    <w:rsid w:val="00332C14"/>
    <w:rsid w:val="00335079"/>
    <w:rsid w:val="003352CE"/>
    <w:rsid w:val="00335C81"/>
    <w:rsid w:val="00341D8E"/>
    <w:rsid w:val="003502B9"/>
    <w:rsid w:val="00351B8F"/>
    <w:rsid w:val="00353226"/>
    <w:rsid w:val="00353717"/>
    <w:rsid w:val="00354630"/>
    <w:rsid w:val="00365A24"/>
    <w:rsid w:val="003712DB"/>
    <w:rsid w:val="00371C5B"/>
    <w:rsid w:val="00373DDC"/>
    <w:rsid w:val="003740F5"/>
    <w:rsid w:val="00382A86"/>
    <w:rsid w:val="00383BCC"/>
    <w:rsid w:val="00385243"/>
    <w:rsid w:val="003925D4"/>
    <w:rsid w:val="0039318C"/>
    <w:rsid w:val="00393366"/>
    <w:rsid w:val="003937DC"/>
    <w:rsid w:val="00393D75"/>
    <w:rsid w:val="00397CFA"/>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C733D"/>
    <w:rsid w:val="003D0EC3"/>
    <w:rsid w:val="003D7274"/>
    <w:rsid w:val="003E4D82"/>
    <w:rsid w:val="003E5BC1"/>
    <w:rsid w:val="003F0D1B"/>
    <w:rsid w:val="003F1DD6"/>
    <w:rsid w:val="003F54B7"/>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57CCD"/>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4E6F"/>
    <w:rsid w:val="0049682C"/>
    <w:rsid w:val="004A168E"/>
    <w:rsid w:val="004A4EC7"/>
    <w:rsid w:val="004B0003"/>
    <w:rsid w:val="004C020A"/>
    <w:rsid w:val="004C03A3"/>
    <w:rsid w:val="004C44B8"/>
    <w:rsid w:val="004C7629"/>
    <w:rsid w:val="004D0D5D"/>
    <w:rsid w:val="004D733F"/>
    <w:rsid w:val="004E27DD"/>
    <w:rsid w:val="004E3350"/>
    <w:rsid w:val="004E5292"/>
    <w:rsid w:val="004F2C5B"/>
    <w:rsid w:val="004F641B"/>
    <w:rsid w:val="004F71F3"/>
    <w:rsid w:val="00502916"/>
    <w:rsid w:val="005052FA"/>
    <w:rsid w:val="005069E1"/>
    <w:rsid w:val="00507E59"/>
    <w:rsid w:val="005122B5"/>
    <w:rsid w:val="0052381C"/>
    <w:rsid w:val="005346B3"/>
    <w:rsid w:val="0054051C"/>
    <w:rsid w:val="00546A84"/>
    <w:rsid w:val="00547BE2"/>
    <w:rsid w:val="0055353D"/>
    <w:rsid w:val="00560E17"/>
    <w:rsid w:val="0056187C"/>
    <w:rsid w:val="005722F4"/>
    <w:rsid w:val="00576B03"/>
    <w:rsid w:val="00581E1A"/>
    <w:rsid w:val="005835F9"/>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2A5A"/>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176BD"/>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1BE1"/>
    <w:rsid w:val="007D2A49"/>
    <w:rsid w:val="007D5E38"/>
    <w:rsid w:val="007D7AC4"/>
    <w:rsid w:val="007E0340"/>
    <w:rsid w:val="007E1D4A"/>
    <w:rsid w:val="007E53C0"/>
    <w:rsid w:val="007E7703"/>
    <w:rsid w:val="007F4558"/>
    <w:rsid w:val="007F64DF"/>
    <w:rsid w:val="00803E90"/>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46031"/>
    <w:rsid w:val="00846F6E"/>
    <w:rsid w:val="00850708"/>
    <w:rsid w:val="00851024"/>
    <w:rsid w:val="008526D7"/>
    <w:rsid w:val="0086238C"/>
    <w:rsid w:val="008655DC"/>
    <w:rsid w:val="0086732D"/>
    <w:rsid w:val="00870183"/>
    <w:rsid w:val="0087416D"/>
    <w:rsid w:val="00875726"/>
    <w:rsid w:val="00877F10"/>
    <w:rsid w:val="0088225D"/>
    <w:rsid w:val="00882F8D"/>
    <w:rsid w:val="00884FB0"/>
    <w:rsid w:val="008853A5"/>
    <w:rsid w:val="008944DA"/>
    <w:rsid w:val="00894D78"/>
    <w:rsid w:val="008A6A18"/>
    <w:rsid w:val="008B033F"/>
    <w:rsid w:val="008B4003"/>
    <w:rsid w:val="008B7443"/>
    <w:rsid w:val="008C1126"/>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1726"/>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00F4"/>
    <w:rsid w:val="009B1F9A"/>
    <w:rsid w:val="009B1FA9"/>
    <w:rsid w:val="009B31FF"/>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27C17"/>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57502"/>
    <w:rsid w:val="00A6350C"/>
    <w:rsid w:val="00A6370B"/>
    <w:rsid w:val="00A63A73"/>
    <w:rsid w:val="00A6655C"/>
    <w:rsid w:val="00A66CBB"/>
    <w:rsid w:val="00A6704E"/>
    <w:rsid w:val="00A67EA4"/>
    <w:rsid w:val="00A773FF"/>
    <w:rsid w:val="00A83AA1"/>
    <w:rsid w:val="00A90261"/>
    <w:rsid w:val="00A906F4"/>
    <w:rsid w:val="00A9343A"/>
    <w:rsid w:val="00A95AC9"/>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2FCA"/>
    <w:rsid w:val="00B24F5A"/>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044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3842"/>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D7B4D"/>
    <w:rsid w:val="00CE19F6"/>
    <w:rsid w:val="00CE6B76"/>
    <w:rsid w:val="00CF3085"/>
    <w:rsid w:val="00CF366B"/>
    <w:rsid w:val="00CF4E3C"/>
    <w:rsid w:val="00CF5D9D"/>
    <w:rsid w:val="00CF606C"/>
    <w:rsid w:val="00CF7423"/>
    <w:rsid w:val="00D001F5"/>
    <w:rsid w:val="00D03E80"/>
    <w:rsid w:val="00D1505F"/>
    <w:rsid w:val="00D15B9F"/>
    <w:rsid w:val="00D15DD6"/>
    <w:rsid w:val="00D25548"/>
    <w:rsid w:val="00D2601F"/>
    <w:rsid w:val="00D27759"/>
    <w:rsid w:val="00D30028"/>
    <w:rsid w:val="00D325D3"/>
    <w:rsid w:val="00D3699B"/>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3356"/>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3F9A"/>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0501"/>
    <w:rsid w:val="00EB1329"/>
    <w:rsid w:val="00EB2987"/>
    <w:rsid w:val="00EB2D75"/>
    <w:rsid w:val="00EB34BE"/>
    <w:rsid w:val="00EB571A"/>
    <w:rsid w:val="00EC2804"/>
    <w:rsid w:val="00EC6117"/>
    <w:rsid w:val="00EC6138"/>
    <w:rsid w:val="00ED1DCF"/>
    <w:rsid w:val="00ED43C9"/>
    <w:rsid w:val="00EE2C60"/>
    <w:rsid w:val="00EE2E58"/>
    <w:rsid w:val="00EE3954"/>
    <w:rsid w:val="00EE487A"/>
    <w:rsid w:val="00EE734C"/>
    <w:rsid w:val="00EF6907"/>
    <w:rsid w:val="00EF6D91"/>
    <w:rsid w:val="00F01F54"/>
    <w:rsid w:val="00F024FA"/>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54073"/>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3026"/>
    <w:rsid w:val="00FE6A2B"/>
    <w:rsid w:val="00FF0275"/>
    <w:rsid w:val="00FF07B3"/>
    <w:rsid w:val="00FF1E37"/>
    <w:rsid w:val="00FF5FCD"/>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8F91005"/>
    <w:rsid w:val="1AEC0734"/>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C1F4AB6"/>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1793A80"/>
    <w:rsid w:val="7357290B"/>
    <w:rsid w:val="798524E4"/>
    <w:rsid w:val="7A7F1C49"/>
    <w:rsid w:val="7B5B7AE6"/>
    <w:rsid w:val="7B7B6628"/>
    <w:rsid w:val="7BA7071E"/>
    <w:rsid w:val="7BDF6DA8"/>
    <w:rsid w:val="7C7EDC1A"/>
    <w:rsid w:val="7CCED98D"/>
    <w:rsid w:val="7D08410F"/>
    <w:rsid w:val="7DB96DED"/>
    <w:rsid w:val="7DD3AD81"/>
    <w:rsid w:val="7EAB479D"/>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annotation text"/>
    <w:basedOn w:val="1"/>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7"/>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styleId="15">
    <w:name w:val="annotation reference"/>
    <w:basedOn w:val="12"/>
    <w:qFormat/>
    <w:uiPriority w:val="0"/>
    <w:rPr>
      <w:sz w:val="21"/>
      <w:szCs w:val="21"/>
    </w:rPr>
  </w:style>
  <w:style w:type="character" w:customStyle="1" w:styleId="16">
    <w:name w:val="页脚 字符"/>
    <w:link w:val="8"/>
    <w:qFormat/>
    <w:uiPriority w:val="0"/>
    <w:rPr>
      <w:rFonts w:eastAsia="宋体"/>
      <w:kern w:val="2"/>
      <w:sz w:val="18"/>
      <w:szCs w:val="18"/>
      <w:lang w:val="en-US" w:eastAsia="zh-CN" w:bidi="ar-SA"/>
    </w:rPr>
  </w:style>
  <w:style w:type="character" w:customStyle="1" w:styleId="17">
    <w:name w:val="页眉 字符"/>
    <w:link w:val="9"/>
    <w:qFormat/>
    <w:uiPriority w:val="0"/>
    <w:rPr>
      <w:rFonts w:ascii="Calibri" w:hAnsi="Calibri" w:eastAsia="宋体"/>
      <w:kern w:val="2"/>
      <w:sz w:val="18"/>
      <w:szCs w:val="18"/>
      <w:lang w:val="en-US" w:eastAsia="zh-CN" w:bidi="ar-SA"/>
    </w:rPr>
  </w:style>
  <w:style w:type="paragraph" w:customStyle="1" w:styleId="18">
    <w:name w:val="Char Char Char Char Char Char Char"/>
    <w:basedOn w:val="1"/>
    <w:qFormat/>
    <w:uiPriority w:val="0"/>
    <w:rPr>
      <w:rFonts w:ascii="Tahoma" w:hAnsi="Tahoma"/>
      <w:sz w:val="24"/>
      <w:szCs w:val="20"/>
    </w:rPr>
  </w:style>
  <w:style w:type="paragraph" w:customStyle="1" w:styleId="19">
    <w:name w:val="Char1 Char Char Char"/>
    <w:basedOn w:val="1"/>
    <w:qFormat/>
    <w:uiPriority w:val="0"/>
    <w:pPr>
      <w:widowControl/>
      <w:spacing w:after="160" w:line="240" w:lineRule="exact"/>
      <w:jc w:val="left"/>
    </w:pPr>
    <w:rPr>
      <w:szCs w:val="20"/>
    </w:rPr>
  </w:style>
  <w:style w:type="paragraph" w:customStyle="1" w:styleId="20">
    <w:name w:val="Char"/>
    <w:basedOn w:val="1"/>
    <w:qFormat/>
    <w:uiPriority w:val="0"/>
    <w:rPr>
      <w:rFonts w:ascii="Tahoma" w:hAnsi="Tahoma"/>
      <w:sz w:val="24"/>
      <w:szCs w:val="20"/>
    </w:rPr>
  </w:style>
  <w:style w:type="paragraph" w:customStyle="1" w:styleId="21">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embeddings/oleObject2.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收入决算</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1"/>
              <c:layout>
                <c:manualLayout>
                  <c:x val="-0.0311160381268131"/>
                  <c:y val="0.000524934383202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547291753004558"/>
                  <c:y val="-0.003137941090697"/>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[工作簿1]Sheet1!$A$5:$A$7</c:f>
              <c:strCache>
                <c:ptCount val="3"/>
                <c:pt idx="0">
                  <c:v>财政拨款收入</c:v>
                </c:pt>
                <c:pt idx="1">
                  <c:v>事业收入</c:v>
                </c:pt>
                <c:pt idx="2">
                  <c:v>其他收入</c:v>
                </c:pt>
              </c:strCache>
            </c:strRef>
          </c:cat>
          <c:val>
            <c:numRef>
              <c:f>[工作簿1]Sheet1!$E$5:$E$7</c:f>
              <c:numCache>
                <c:formatCode>0.00%</c:formatCode>
                <c:ptCount val="3"/>
                <c:pt idx="0">
                  <c:v>0.943953419370368</c:v>
                </c:pt>
                <c:pt idx="1">
                  <c:v>0.0301190312243537</c:v>
                </c:pt>
                <c:pt idx="2">
                  <c:v>0.0259275494052779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abc211a-f06b-4005-ae5c-5f5026fe093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zh-CN" altLang="en-US"/>
              <a:t>支出决算</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[工作簿1]Sheet1!$A$10:$A$11</c:f>
              <c:strCache>
                <c:ptCount val="2"/>
                <c:pt idx="0">
                  <c:v>基本支出</c:v>
                </c:pt>
                <c:pt idx="1">
                  <c:v>项目支出</c:v>
                </c:pt>
              </c:strCache>
            </c:strRef>
          </c:cat>
          <c:val>
            <c:numRef>
              <c:f>[工作簿1]Sheet1!$E$10:$E$11</c:f>
              <c:numCache>
                <c:formatCode>0.00%</c:formatCode>
                <c:ptCount val="2"/>
                <c:pt idx="0">
                  <c:v>0.274248244396155</c:v>
                </c:pt>
                <c:pt idx="1">
                  <c:v>0.725751755603845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36e49697-becb-4b1a-b7c7-70d514b91f5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3599</Words>
  <Characters>4148</Characters>
  <Lines>31</Lines>
  <Paragraphs>8</Paragraphs>
  <TotalTime>16</TotalTime>
  <ScaleCrop>false</ScaleCrop>
  <LinksUpToDate>false</LinksUpToDate>
  <CharactersWithSpaces>4168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2025-08-29T08:14:00Z</dcterms:created>
  <dc:creator>常程</dc:creator>
  <cp:lastModifiedBy>王爽</cp:lastModifiedBy>
  <cp:lastPrinted>2020-08-07T11:39:00Z</cp:lastPrinted>
  <dcterms:modified xsi:type="dcterms:W3CDTF">2025-09-04T02:40:03Z</dcterms:modified>
  <dc:title>北京市财政局关于做好向市人大常委会报送2015年度市级部门决算（草案）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159581D7A8834CDBB07E6614A2F4FEE5_13</vt:lpwstr>
  </property>
  <property fmtid="{D5CDD505-2E9C-101B-9397-08002B2CF9AE}" pid="4" name="KSOTemplateDocerSaveRecord">
    <vt:lpwstr>eyJoZGlkIjoiNzA0Zjc1ODY5MDA0ZTMzOTc5MjJhYzY4NTdiYjdjYjYiLCJ1c2VySWQiOiIxNjM3MTEyMTExIn0=</vt:lpwstr>
  </property>
</Properties>
</file>