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640" w:type="dxa"/>
        <w:tblInd w:w="0" w:type="dxa"/>
        <w:tblLayout w:type="autofit"/>
        <w:tblCellMar>
          <w:top w:w="0" w:type="dxa"/>
          <w:left w:w="108" w:type="dxa"/>
          <w:bottom w:w="0" w:type="dxa"/>
          <w:right w:w="108" w:type="dxa"/>
        </w:tblCellMar>
      </w:tblPr>
      <w:tblGrid>
        <w:gridCol w:w="620"/>
        <w:gridCol w:w="900"/>
        <w:gridCol w:w="2180"/>
        <w:gridCol w:w="2040"/>
        <w:gridCol w:w="1800"/>
        <w:gridCol w:w="2680"/>
        <w:gridCol w:w="860"/>
        <w:gridCol w:w="1400"/>
        <w:gridCol w:w="1160"/>
      </w:tblGrid>
      <w:tr>
        <w:tblPrEx>
          <w:tblCellMar>
            <w:top w:w="0" w:type="dxa"/>
            <w:left w:w="108" w:type="dxa"/>
            <w:bottom w:w="0" w:type="dxa"/>
            <w:right w:w="108" w:type="dxa"/>
          </w:tblCellMar>
        </w:tblPrEx>
        <w:trPr>
          <w:trHeight w:val="315" w:hRule="atLeast"/>
        </w:trPr>
        <w:tc>
          <w:tcPr>
            <w:tcW w:w="3700" w:type="dxa"/>
            <w:gridSpan w:val="3"/>
            <w:tcBorders>
              <w:top w:val="nil"/>
              <w:left w:val="nil"/>
              <w:bottom w:val="nil"/>
              <w:right w:val="nil"/>
            </w:tcBorders>
            <w:shd w:val="clear" w:color="auto" w:fill="auto"/>
            <w:noWrap/>
            <w:vAlign w:val="center"/>
          </w:tcPr>
          <w:p>
            <w:pPr>
              <w:widowControl/>
              <w:jc w:val="left"/>
              <w:rPr>
                <w:rFonts w:ascii="宋体" w:hAnsi="宋体" w:eastAsia="宋体" w:cs="宋体"/>
                <w:kern w:val="0"/>
                <w:sz w:val="24"/>
                <w:szCs w:val="24"/>
              </w:rPr>
            </w:pPr>
          </w:p>
        </w:tc>
        <w:tc>
          <w:tcPr>
            <w:tcW w:w="2040"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1800"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2680"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860"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1400"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1160" w:type="dxa"/>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488" w:hRule="atLeast"/>
        </w:trPr>
        <w:tc>
          <w:tcPr>
            <w:tcW w:w="13640" w:type="dxa"/>
            <w:gridSpan w:val="9"/>
            <w:tcBorders>
              <w:top w:val="nil"/>
              <w:left w:val="nil"/>
              <w:bottom w:val="nil"/>
              <w:right w:val="nil"/>
            </w:tcBorders>
            <w:shd w:val="clear" w:color="auto" w:fill="auto"/>
            <w:noWrap/>
            <w:vAlign w:val="center"/>
          </w:tcPr>
          <w:p>
            <w:pPr>
              <w:widowControl/>
              <w:jc w:val="center"/>
              <w:rPr>
                <w:rFonts w:ascii="方正小标宋简体" w:hAnsi="宋体" w:eastAsia="方正小标宋简体" w:cs="宋体"/>
                <w:color w:val="000000"/>
                <w:kern w:val="0"/>
                <w:sz w:val="36"/>
                <w:szCs w:val="36"/>
              </w:rPr>
            </w:pPr>
            <w:bookmarkStart w:id="0" w:name="RANGE!A2:I30"/>
            <w:r>
              <w:rPr>
                <w:rFonts w:hint="eastAsia" w:ascii="方正小标宋简体" w:hAnsi="宋体" w:eastAsia="方正小标宋简体" w:cs="宋体"/>
                <w:color w:val="000000"/>
                <w:kern w:val="0"/>
                <w:sz w:val="36"/>
                <w:szCs w:val="36"/>
              </w:rPr>
              <w:t>项目支出绩效自评表</w:t>
            </w:r>
            <w:bookmarkEnd w:id="0"/>
          </w:p>
        </w:tc>
      </w:tr>
      <w:tr>
        <w:tblPrEx>
          <w:tblCellMar>
            <w:top w:w="0" w:type="dxa"/>
            <w:left w:w="108" w:type="dxa"/>
            <w:bottom w:w="0" w:type="dxa"/>
            <w:right w:w="108" w:type="dxa"/>
          </w:tblCellMar>
        </w:tblPrEx>
        <w:trPr>
          <w:trHeight w:val="475" w:hRule="atLeast"/>
        </w:trPr>
        <w:tc>
          <w:tcPr>
            <w:tcW w:w="13640" w:type="dxa"/>
            <w:gridSpan w:val="9"/>
            <w:tcBorders>
              <w:top w:val="nil"/>
              <w:left w:val="nil"/>
              <w:bottom w:val="nil"/>
              <w:right w:val="nil"/>
            </w:tcBorders>
            <w:shd w:val="clear" w:color="auto" w:fill="auto"/>
            <w:noWrap/>
            <w:vAlign w:val="center"/>
          </w:tcPr>
          <w:p>
            <w:pPr>
              <w:widowControl/>
              <w:jc w:val="center"/>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（202</w:t>
            </w:r>
            <w:r>
              <w:rPr>
                <w:rFonts w:hint="eastAsia" w:ascii="仿宋_GB2312" w:hAnsi="宋体" w:eastAsia="仿宋_GB2312" w:cs="宋体"/>
                <w:color w:val="000000"/>
                <w:kern w:val="0"/>
                <w:sz w:val="28"/>
                <w:szCs w:val="28"/>
                <w:lang w:val="en-US" w:eastAsia="zh-CN"/>
              </w:rPr>
              <w:t>3</w:t>
            </w:r>
            <w:r>
              <w:rPr>
                <w:rFonts w:hint="eastAsia" w:ascii="仿宋_GB2312" w:hAnsi="宋体" w:eastAsia="仿宋_GB2312" w:cs="宋体"/>
                <w:color w:val="000000"/>
                <w:kern w:val="0"/>
                <w:sz w:val="28"/>
                <w:szCs w:val="28"/>
              </w:rPr>
              <w:t>年度）</w:t>
            </w:r>
          </w:p>
        </w:tc>
      </w:tr>
      <w:tr>
        <w:tblPrEx>
          <w:tblCellMar>
            <w:top w:w="0" w:type="dxa"/>
            <w:left w:w="108" w:type="dxa"/>
            <w:bottom w:w="0" w:type="dxa"/>
            <w:right w:w="108" w:type="dxa"/>
          </w:tblCellMar>
        </w:tblPrEx>
        <w:trPr>
          <w:trHeight w:val="270" w:hRule="atLeast"/>
        </w:trPr>
        <w:tc>
          <w:tcPr>
            <w:tcW w:w="15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项目名称</w:t>
            </w:r>
          </w:p>
        </w:tc>
        <w:tc>
          <w:tcPr>
            <w:tcW w:w="1212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直属单位业务发展-在线开放课程建设项目（一期）</w:t>
            </w:r>
          </w:p>
        </w:tc>
      </w:tr>
      <w:tr>
        <w:tblPrEx>
          <w:tblCellMar>
            <w:top w:w="0" w:type="dxa"/>
            <w:left w:w="108" w:type="dxa"/>
            <w:bottom w:w="0" w:type="dxa"/>
            <w:right w:w="108" w:type="dxa"/>
          </w:tblCellMar>
        </w:tblPrEx>
        <w:trPr>
          <w:trHeight w:val="270" w:hRule="atLeast"/>
        </w:trPr>
        <w:tc>
          <w:tcPr>
            <w:tcW w:w="15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主管部门</w:t>
            </w:r>
          </w:p>
        </w:tc>
        <w:tc>
          <w:tcPr>
            <w:tcW w:w="602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北京市教育委员会</w:t>
            </w:r>
          </w:p>
        </w:tc>
        <w:tc>
          <w:tcPr>
            <w:tcW w:w="268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实施单位</w:t>
            </w:r>
          </w:p>
        </w:tc>
        <w:tc>
          <w:tcPr>
            <w:tcW w:w="342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北京开放大学</w:t>
            </w:r>
          </w:p>
        </w:tc>
      </w:tr>
      <w:tr>
        <w:tblPrEx>
          <w:tblCellMar>
            <w:top w:w="0" w:type="dxa"/>
            <w:left w:w="108" w:type="dxa"/>
            <w:bottom w:w="0" w:type="dxa"/>
            <w:right w:w="108" w:type="dxa"/>
          </w:tblCellMar>
        </w:tblPrEx>
        <w:trPr>
          <w:trHeight w:val="270" w:hRule="atLeast"/>
        </w:trPr>
        <w:tc>
          <w:tcPr>
            <w:tcW w:w="15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项目负责人</w:t>
            </w:r>
          </w:p>
        </w:tc>
        <w:tc>
          <w:tcPr>
            <w:tcW w:w="602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张琳琳</w:t>
            </w:r>
          </w:p>
        </w:tc>
        <w:tc>
          <w:tcPr>
            <w:tcW w:w="268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联系电话</w:t>
            </w:r>
          </w:p>
        </w:tc>
        <w:tc>
          <w:tcPr>
            <w:tcW w:w="342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82192055</w:t>
            </w:r>
          </w:p>
        </w:tc>
      </w:tr>
      <w:tr>
        <w:tblPrEx>
          <w:tblCellMar>
            <w:top w:w="0" w:type="dxa"/>
            <w:left w:w="108" w:type="dxa"/>
            <w:bottom w:w="0" w:type="dxa"/>
            <w:right w:w="108" w:type="dxa"/>
          </w:tblCellMar>
        </w:tblPrEx>
        <w:trPr>
          <w:trHeight w:val="270" w:hRule="atLeast"/>
        </w:trPr>
        <w:tc>
          <w:tcPr>
            <w:tcW w:w="152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项目资金（万元）</w:t>
            </w:r>
          </w:p>
        </w:tc>
        <w:tc>
          <w:tcPr>
            <w:tcW w:w="2180" w:type="dxa"/>
            <w:tcBorders>
              <w:top w:val="nil"/>
              <w:left w:val="nil"/>
              <w:bottom w:val="single" w:color="auto" w:sz="4" w:space="0"/>
              <w:right w:val="nil"/>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20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年初预算数</w:t>
            </w:r>
          </w:p>
        </w:tc>
        <w:tc>
          <w:tcPr>
            <w:tcW w:w="180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全年预算数</w:t>
            </w:r>
          </w:p>
        </w:tc>
        <w:tc>
          <w:tcPr>
            <w:tcW w:w="268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全年执行数</w:t>
            </w:r>
          </w:p>
        </w:tc>
        <w:tc>
          <w:tcPr>
            <w:tcW w:w="86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分值</w:t>
            </w:r>
          </w:p>
        </w:tc>
        <w:tc>
          <w:tcPr>
            <w:tcW w:w="1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执行率</w:t>
            </w:r>
          </w:p>
        </w:tc>
        <w:tc>
          <w:tcPr>
            <w:tcW w:w="116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得分</w:t>
            </w:r>
          </w:p>
        </w:tc>
      </w:tr>
      <w:tr>
        <w:tblPrEx>
          <w:tblCellMar>
            <w:top w:w="0" w:type="dxa"/>
            <w:left w:w="108" w:type="dxa"/>
            <w:bottom w:w="0" w:type="dxa"/>
            <w:right w:w="108" w:type="dxa"/>
          </w:tblCellMar>
        </w:tblPrEx>
        <w:trPr>
          <w:trHeight w:val="270" w:hRule="atLeast"/>
        </w:trPr>
        <w:tc>
          <w:tcPr>
            <w:tcW w:w="15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tcBorders>
              <w:top w:val="nil"/>
              <w:left w:val="nil"/>
              <w:bottom w:val="single" w:color="auto" w:sz="4" w:space="0"/>
              <w:right w:val="nil"/>
            </w:tcBorders>
            <w:shd w:val="clear" w:color="auto" w:fill="auto"/>
            <w:vAlign w:val="center"/>
          </w:tcPr>
          <w:p>
            <w:pPr>
              <w:widowControl/>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年度资金总额</w:t>
            </w:r>
          </w:p>
        </w:tc>
        <w:tc>
          <w:tcPr>
            <w:tcW w:w="20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157.337000 </w:t>
            </w:r>
          </w:p>
        </w:tc>
        <w:tc>
          <w:tcPr>
            <w:tcW w:w="18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155.568000 </w:t>
            </w:r>
          </w:p>
        </w:tc>
        <w:tc>
          <w:tcPr>
            <w:tcW w:w="268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155.568000 </w:t>
            </w:r>
          </w:p>
        </w:tc>
        <w:tc>
          <w:tcPr>
            <w:tcW w:w="86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1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100.00%</w:t>
            </w:r>
          </w:p>
        </w:tc>
        <w:tc>
          <w:tcPr>
            <w:tcW w:w="116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10.00</w:t>
            </w:r>
          </w:p>
        </w:tc>
      </w:tr>
      <w:tr>
        <w:tblPrEx>
          <w:tblCellMar>
            <w:top w:w="0" w:type="dxa"/>
            <w:left w:w="108" w:type="dxa"/>
            <w:bottom w:w="0" w:type="dxa"/>
            <w:right w:w="108" w:type="dxa"/>
          </w:tblCellMar>
        </w:tblPrEx>
        <w:trPr>
          <w:trHeight w:val="270" w:hRule="atLeast"/>
        </w:trPr>
        <w:tc>
          <w:tcPr>
            <w:tcW w:w="15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tcBorders>
              <w:top w:val="nil"/>
              <w:left w:val="nil"/>
              <w:bottom w:val="single" w:color="auto" w:sz="4" w:space="0"/>
              <w:right w:val="nil"/>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其中：当年财政拨款</w:t>
            </w:r>
          </w:p>
        </w:tc>
        <w:tc>
          <w:tcPr>
            <w:tcW w:w="20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157.337000 </w:t>
            </w:r>
          </w:p>
        </w:tc>
        <w:tc>
          <w:tcPr>
            <w:tcW w:w="18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155.568000 </w:t>
            </w:r>
          </w:p>
        </w:tc>
        <w:tc>
          <w:tcPr>
            <w:tcW w:w="268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155.568000 </w:t>
            </w:r>
          </w:p>
        </w:tc>
        <w:tc>
          <w:tcPr>
            <w:tcW w:w="860" w:type="dxa"/>
            <w:tcBorders>
              <w:top w:val="nil"/>
              <w:left w:val="nil"/>
              <w:bottom w:val="single" w:color="auto" w:sz="4" w:space="0"/>
              <w:right w:val="nil"/>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1400" w:type="dxa"/>
            <w:tcBorders>
              <w:top w:val="nil"/>
              <w:left w:val="single" w:color="auto" w:sz="4" w:space="0"/>
              <w:bottom w:val="single" w:color="auto" w:sz="4" w:space="0"/>
              <w:right w:val="nil"/>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100.00%</w:t>
            </w:r>
          </w:p>
        </w:tc>
        <w:tc>
          <w:tcPr>
            <w:tcW w:w="11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r>
      <w:tr>
        <w:tblPrEx>
          <w:tblCellMar>
            <w:top w:w="0" w:type="dxa"/>
            <w:left w:w="108" w:type="dxa"/>
            <w:bottom w:w="0" w:type="dxa"/>
            <w:right w:w="108" w:type="dxa"/>
          </w:tblCellMar>
        </w:tblPrEx>
        <w:trPr>
          <w:trHeight w:val="270" w:hRule="atLeast"/>
        </w:trPr>
        <w:tc>
          <w:tcPr>
            <w:tcW w:w="15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tcBorders>
              <w:top w:val="nil"/>
              <w:left w:val="nil"/>
              <w:bottom w:val="single" w:color="auto" w:sz="4" w:space="0"/>
              <w:right w:val="nil"/>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上年结转资金</w:t>
            </w:r>
          </w:p>
        </w:tc>
        <w:tc>
          <w:tcPr>
            <w:tcW w:w="20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8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268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86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1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16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r>
      <w:tr>
        <w:tblPrEx>
          <w:tblCellMar>
            <w:top w:w="0" w:type="dxa"/>
            <w:left w:w="108" w:type="dxa"/>
            <w:bottom w:w="0" w:type="dxa"/>
            <w:right w:w="108" w:type="dxa"/>
          </w:tblCellMar>
        </w:tblPrEx>
        <w:trPr>
          <w:trHeight w:val="270" w:hRule="atLeast"/>
        </w:trPr>
        <w:tc>
          <w:tcPr>
            <w:tcW w:w="15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tcBorders>
              <w:top w:val="nil"/>
              <w:left w:val="nil"/>
              <w:bottom w:val="single" w:color="auto" w:sz="4" w:space="0"/>
              <w:right w:val="nil"/>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  其他资金</w:t>
            </w:r>
          </w:p>
        </w:tc>
        <w:tc>
          <w:tcPr>
            <w:tcW w:w="20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8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268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86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1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16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r>
      <w:tr>
        <w:tblPrEx>
          <w:tblCellMar>
            <w:top w:w="0" w:type="dxa"/>
            <w:left w:w="108" w:type="dxa"/>
            <w:bottom w:w="0" w:type="dxa"/>
            <w:right w:w="108" w:type="dxa"/>
          </w:tblCellMar>
        </w:tblPrEx>
        <w:trPr>
          <w:trHeight w:val="270" w:hRule="atLeast"/>
        </w:trPr>
        <w:tc>
          <w:tcPr>
            <w:tcW w:w="6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年度总体目标</w:t>
            </w:r>
          </w:p>
        </w:tc>
        <w:tc>
          <w:tcPr>
            <w:tcW w:w="692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预期目标</w:t>
            </w:r>
          </w:p>
        </w:tc>
        <w:tc>
          <w:tcPr>
            <w:tcW w:w="61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实际完成情况</w:t>
            </w:r>
          </w:p>
        </w:tc>
      </w:tr>
      <w:tr>
        <w:tblPrEx>
          <w:tblCellMar>
            <w:top w:w="0" w:type="dxa"/>
            <w:left w:w="108" w:type="dxa"/>
            <w:bottom w:w="0" w:type="dxa"/>
            <w:right w:w="108" w:type="dxa"/>
          </w:tblCellMar>
        </w:tblPrEx>
        <w:trPr>
          <w:trHeight w:val="2123" w:hRule="atLeast"/>
        </w:trPr>
        <w:tc>
          <w:tcPr>
            <w:tcW w:w="620"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92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在线课程资源是我校实现人才培养目标、开展学历教育、为市民提供终身学习服务的重要载体，保持网络课程资源的持续建设与更新、引进汇聚优质课程资源是学校提升教育服务质量的重要举措和基本保障。本项目计划引进、建设和改造共47门用于学校通识教育和专业发展的优质课程资源。着力打造一批能够适应新时代北京“四个中心”城市建设、具有北京特色的通识课程，以及能够促进北京开放大学特色专业发展和新专业建设的优质课程，构建由“通识教育模块、专业教育模块、实践教育模块”组成的三位一体、有机融合、层次分明、比例协调的课程体系。</w:t>
            </w:r>
          </w:p>
        </w:tc>
        <w:tc>
          <w:tcPr>
            <w:tcW w:w="61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2022-2023年项目累计完成引进、建设和改造共47门用于学校通识教育和专业发展的优质课程资源。按照项目执行计划，2022年完成建设课程27门，2023年完成建设课程20门。丰富了由“通识教育模块、专业教育模块、实践教育模块”组成的课程库，提升了学校课程质量。</w:t>
            </w:r>
          </w:p>
        </w:tc>
      </w:tr>
      <w:tr>
        <w:tblPrEx>
          <w:tblCellMar>
            <w:top w:w="0" w:type="dxa"/>
            <w:left w:w="108" w:type="dxa"/>
            <w:bottom w:w="0" w:type="dxa"/>
            <w:right w:w="108" w:type="dxa"/>
          </w:tblCellMar>
        </w:tblPrEx>
        <w:trPr>
          <w:trHeight w:val="788" w:hRule="atLeast"/>
        </w:trPr>
        <w:tc>
          <w:tcPr>
            <w:tcW w:w="6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绩效指标</w:t>
            </w:r>
          </w:p>
        </w:tc>
        <w:tc>
          <w:tcPr>
            <w:tcW w:w="9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一级指标</w:t>
            </w:r>
          </w:p>
        </w:tc>
        <w:tc>
          <w:tcPr>
            <w:tcW w:w="21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二级指标</w:t>
            </w: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三级指标</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年度指标值</w:t>
            </w:r>
          </w:p>
        </w:tc>
        <w:tc>
          <w:tcPr>
            <w:tcW w:w="26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实际完成值</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分值</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得分</w:t>
            </w:r>
          </w:p>
        </w:tc>
        <w:tc>
          <w:tcPr>
            <w:tcW w:w="11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偏差原因分析及改进措施</w:t>
            </w:r>
          </w:p>
        </w:tc>
      </w:tr>
      <w:tr>
        <w:tblPrEx>
          <w:tblCellMar>
            <w:top w:w="0" w:type="dxa"/>
            <w:left w:w="108" w:type="dxa"/>
            <w:bottom w:w="0" w:type="dxa"/>
            <w:right w:w="108" w:type="dxa"/>
          </w:tblCellMar>
        </w:tblPrEx>
        <w:trPr>
          <w:trHeight w:val="525"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产出指标</w:t>
            </w:r>
          </w:p>
        </w:tc>
        <w:tc>
          <w:tcPr>
            <w:tcW w:w="21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数量指标</w:t>
            </w: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2024年投入教学运行数量</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38门</w:t>
            </w:r>
          </w:p>
        </w:tc>
        <w:tc>
          <w:tcPr>
            <w:tcW w:w="26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实际投入教学运行的数量达到38门，圆满完成预期目标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1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525"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其他类在线课程</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10门</w:t>
            </w:r>
          </w:p>
        </w:tc>
        <w:tc>
          <w:tcPr>
            <w:tcW w:w="26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实际完成其他类在线课程10门，圆满完成预期目标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1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788"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民生福祉类专业群在线课程</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5门</w:t>
            </w:r>
          </w:p>
        </w:tc>
        <w:tc>
          <w:tcPr>
            <w:tcW w:w="26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实际完成民生福祉类专业群在线课程5门，圆满完成预期目标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1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788"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艺术设计及文化类专业群在线课程</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5门</w:t>
            </w:r>
          </w:p>
        </w:tc>
        <w:tc>
          <w:tcPr>
            <w:tcW w:w="26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实际完成艺术设计及文化类专业群在线课程5门，圆满完成预期目标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1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788"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质量指标</w:t>
            </w: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符合在线课程验收标准课程比例</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26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在线课程验收标准课程比例达到100%，圆满完成预期目标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1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788"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符合在线课程制作标准课程比例</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26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在线课程制作标准课程比例达到100%，圆满完成预期目标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1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525"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专家评审通过率</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26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专家评审通过率达到100%，圆满完成预期目标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1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270"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时效指标</w:t>
            </w: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合同签订时间</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202</w:t>
            </w:r>
            <w:r>
              <w:rPr>
                <w:rFonts w:hint="eastAsia" w:ascii="仿宋_GB2312" w:hAnsi="宋体" w:eastAsia="仿宋_GB2312" w:cs="宋体"/>
                <w:color w:val="000000"/>
                <w:kern w:val="0"/>
                <w:szCs w:val="21"/>
                <w:lang w:val="en-US" w:eastAsia="zh-CN"/>
              </w:rPr>
              <w:t>3</w:t>
            </w:r>
            <w:r>
              <w:rPr>
                <w:rFonts w:hint="eastAsia" w:ascii="仿宋_GB2312" w:hAnsi="宋体" w:eastAsia="仿宋_GB2312" w:cs="宋体"/>
                <w:color w:val="000000"/>
                <w:kern w:val="0"/>
                <w:szCs w:val="21"/>
              </w:rPr>
              <w:t>年</w:t>
            </w:r>
          </w:p>
        </w:tc>
        <w:tc>
          <w:tcPr>
            <w:tcW w:w="26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202</w:t>
            </w:r>
            <w:r>
              <w:rPr>
                <w:rFonts w:hint="eastAsia" w:ascii="仿宋_GB2312" w:hAnsi="宋体" w:eastAsia="仿宋_GB2312" w:cs="宋体"/>
                <w:color w:val="000000"/>
                <w:kern w:val="0"/>
                <w:szCs w:val="21"/>
                <w:lang w:val="en-US" w:eastAsia="zh-CN"/>
              </w:rPr>
              <w:t>3</w:t>
            </w:r>
            <w:r>
              <w:rPr>
                <w:rFonts w:hint="eastAsia" w:ascii="仿宋_GB2312" w:hAnsi="宋体" w:eastAsia="仿宋_GB2312" w:cs="宋体"/>
                <w:color w:val="000000"/>
                <w:kern w:val="0"/>
                <w:szCs w:val="21"/>
              </w:rPr>
              <w:t>年完成合同签订</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w:t>
            </w:r>
          </w:p>
        </w:tc>
        <w:tc>
          <w:tcPr>
            <w:tcW w:w="11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525"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课程开发时间</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2023年</w:t>
            </w:r>
          </w:p>
        </w:tc>
        <w:tc>
          <w:tcPr>
            <w:tcW w:w="26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2023年10月完成课程开发，圆满完成预期目标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4</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4</w:t>
            </w:r>
          </w:p>
        </w:tc>
        <w:tc>
          <w:tcPr>
            <w:tcW w:w="11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525"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课程评审验收时间</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2023年</w:t>
            </w:r>
          </w:p>
        </w:tc>
        <w:tc>
          <w:tcPr>
            <w:tcW w:w="26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2023年11月完成课程评审验收工作，圆满完成预期目标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4</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val="en-US" w:eastAsia="zh-CN"/>
              </w:rPr>
              <w:t>4</w:t>
            </w:r>
          </w:p>
        </w:tc>
        <w:tc>
          <w:tcPr>
            <w:tcW w:w="11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788"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成本指标</w:t>
            </w: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预算控制数</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157.337万元</w:t>
            </w:r>
          </w:p>
        </w:tc>
        <w:tc>
          <w:tcPr>
            <w:tcW w:w="26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项目实际支出金额155.568万元，有效的完成了成本的控制</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4</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4</w:t>
            </w:r>
          </w:p>
        </w:tc>
        <w:tc>
          <w:tcPr>
            <w:tcW w:w="11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788"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效益指标</w:t>
            </w:r>
          </w:p>
        </w:tc>
        <w:tc>
          <w:tcPr>
            <w:tcW w:w="21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社会效益指标</w:t>
            </w: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课程教学覆盖人数</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2500人次</w:t>
            </w:r>
          </w:p>
        </w:tc>
        <w:tc>
          <w:tcPr>
            <w:tcW w:w="26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课程教学覆盖人数达到3440人次，超额完成预期目标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20</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rPr>
              <w:t>1</w:t>
            </w:r>
            <w:r>
              <w:rPr>
                <w:rFonts w:hint="eastAsia" w:ascii="仿宋_GB2312" w:hAnsi="宋体" w:eastAsia="仿宋_GB2312" w:cs="宋体"/>
                <w:color w:val="000000"/>
                <w:kern w:val="0"/>
                <w:szCs w:val="21"/>
                <w:lang w:val="en-US" w:eastAsia="zh-CN"/>
              </w:rPr>
              <w:t>7</w:t>
            </w:r>
          </w:p>
        </w:tc>
        <w:tc>
          <w:tcPr>
            <w:tcW w:w="11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超额完成较多，绩效目标设置较低</w:t>
            </w:r>
          </w:p>
        </w:tc>
      </w:tr>
      <w:tr>
        <w:tblPrEx>
          <w:tblCellMar>
            <w:top w:w="0" w:type="dxa"/>
            <w:left w:w="108" w:type="dxa"/>
            <w:bottom w:w="0" w:type="dxa"/>
            <w:right w:w="108" w:type="dxa"/>
          </w:tblCellMar>
        </w:tblPrEx>
        <w:trPr>
          <w:trHeight w:val="788"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可持续影响指标</w:t>
            </w: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获评校级课程奖励比例</w:t>
            </w:r>
            <w:bookmarkStart w:id="1" w:name="_GoBack"/>
            <w:bookmarkEnd w:id="1"/>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30%</w:t>
            </w:r>
          </w:p>
        </w:tc>
        <w:tc>
          <w:tcPr>
            <w:tcW w:w="26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校级课程奖励比例达到75%，超额完成预期目标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7</w:t>
            </w:r>
          </w:p>
        </w:tc>
        <w:tc>
          <w:tcPr>
            <w:tcW w:w="11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超额完成较多，绩效目标设置较低</w:t>
            </w:r>
          </w:p>
        </w:tc>
      </w:tr>
      <w:tr>
        <w:tblPrEx>
          <w:tblCellMar>
            <w:top w:w="0" w:type="dxa"/>
            <w:left w:w="108" w:type="dxa"/>
            <w:bottom w:w="0" w:type="dxa"/>
            <w:right w:w="108" w:type="dxa"/>
          </w:tblCellMar>
        </w:tblPrEx>
        <w:trPr>
          <w:trHeight w:val="525"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满意度指标</w:t>
            </w:r>
          </w:p>
        </w:tc>
        <w:tc>
          <w:tcPr>
            <w:tcW w:w="21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服务对象满意度</w:t>
            </w:r>
            <w:r>
              <w:rPr>
                <w:rFonts w:hint="eastAsia" w:ascii="仿宋_GB2312" w:hAnsi="宋体" w:eastAsia="仿宋_GB2312" w:cs="宋体"/>
                <w:color w:val="000000"/>
                <w:kern w:val="0"/>
                <w:szCs w:val="21"/>
                <w:lang w:eastAsia="zh-CN"/>
              </w:rPr>
              <w:t>指标</w:t>
            </w: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师生满意度</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90%</w:t>
            </w:r>
          </w:p>
        </w:tc>
        <w:tc>
          <w:tcPr>
            <w:tcW w:w="26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师生满意度达到91.8%，圆满完成预期目标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1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788"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1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0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教学单位满意度</w:t>
            </w:r>
          </w:p>
        </w:tc>
        <w:tc>
          <w:tcPr>
            <w:tcW w:w="18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90%</w:t>
            </w:r>
          </w:p>
        </w:tc>
        <w:tc>
          <w:tcPr>
            <w:tcW w:w="26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教学单位满意度达到100%，超额完成预期目标</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val="en-US" w:eastAsia="zh-CN"/>
              </w:rPr>
              <w:t>5</w:t>
            </w:r>
          </w:p>
        </w:tc>
        <w:tc>
          <w:tcPr>
            <w:tcW w:w="11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270" w:hRule="atLeast"/>
        </w:trPr>
        <w:tc>
          <w:tcPr>
            <w:tcW w:w="1022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8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92</w:t>
            </w:r>
          </w:p>
        </w:tc>
        <w:tc>
          <w:tcPr>
            <w:tcW w:w="116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方正小标宋简体">
    <w:altName w:val="宋体"/>
    <w:panose1 w:val="00000000000000000000"/>
    <w:charset w:val="86"/>
    <w:family w:val="roma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gzNzBjMGI0YTQ3NmZhMjI3ODIwMGVlZDBkMzlhY2MifQ=="/>
  </w:docVars>
  <w:rsids>
    <w:rsidRoot w:val="00CC0D0F"/>
    <w:rsid w:val="002F35BB"/>
    <w:rsid w:val="003E0844"/>
    <w:rsid w:val="00620640"/>
    <w:rsid w:val="006208BF"/>
    <w:rsid w:val="007D3213"/>
    <w:rsid w:val="008268E1"/>
    <w:rsid w:val="00CC0D0F"/>
    <w:rsid w:val="00E71AEF"/>
    <w:rsid w:val="00ED0489"/>
    <w:rsid w:val="00FE3CCD"/>
    <w:rsid w:val="0C432748"/>
    <w:rsid w:val="37840612"/>
    <w:rsid w:val="38B9652C"/>
    <w:rsid w:val="552B44B8"/>
    <w:rsid w:val="58047A99"/>
    <w:rsid w:val="608518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autoRedefin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1175</Words>
  <Characters>1358</Characters>
  <Lines>12</Lines>
  <Paragraphs>3</Paragraphs>
  <TotalTime>3</TotalTime>
  <ScaleCrop>false</ScaleCrop>
  <LinksUpToDate>false</LinksUpToDate>
  <CharactersWithSpaces>1432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2024-04-24T06:02:00Z</dcterms:created>
  <dc:creator>雪 韩</dc:creator>
  <cp:lastModifiedBy>冯刚</cp:lastModifiedBy>
  <dcterms:modified xsi:type="dcterms:W3CDTF">2024-05-30T02:13:32Z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4CC009A7F28042509888194EDD41B21F_12</vt:lpwstr>
  </property>
</Properties>
</file>