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highlight w:val="none"/>
        </w:rPr>
      </w:pPr>
    </w:p>
    <w:p>
      <w:pPr>
        <w:jc w:val="center"/>
        <w:rPr>
          <w:rFonts w:hint="eastAsia" w:ascii="黑体" w:eastAsia="黑体"/>
          <w:sz w:val="72"/>
          <w:szCs w:val="72"/>
          <w:highlight w:val="none"/>
        </w:rPr>
      </w:pPr>
    </w:p>
    <w:p>
      <w:pPr>
        <w:jc w:val="center"/>
        <w:rPr>
          <w:rFonts w:ascii="黑体" w:eastAsia="黑体"/>
          <w:sz w:val="72"/>
          <w:szCs w:val="72"/>
          <w:highlight w:val="none"/>
        </w:rPr>
      </w:pPr>
    </w:p>
    <w:p>
      <w:pPr>
        <w:jc w:val="center"/>
        <w:rPr>
          <w:rFonts w:hint="eastAsia" w:ascii="黑体" w:eastAsia="黑体"/>
          <w:sz w:val="72"/>
          <w:szCs w:val="72"/>
          <w:highlight w:val="none"/>
        </w:rPr>
      </w:pPr>
    </w:p>
    <w:p>
      <w:pPr>
        <w:jc w:val="center"/>
        <w:rPr>
          <w:rFonts w:hint="eastAsia" w:ascii="黑体" w:eastAsia="黑体"/>
          <w:sz w:val="72"/>
          <w:szCs w:val="72"/>
          <w:highlight w:val="none"/>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3"/>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首都体育学院附属竞技体育学校</w:t>
      </w:r>
    </w:p>
    <w:p>
      <w:pPr>
        <w:jc w:val="center"/>
        <w:rPr>
          <w:rFonts w:ascii="黑体" w:eastAsia="黑体"/>
          <w:sz w:val="52"/>
          <w:szCs w:val="52"/>
          <w:highlight w:val="none"/>
        </w:rPr>
      </w:pPr>
    </w:p>
    <w:p>
      <w:pPr>
        <w:jc w:val="center"/>
        <w:rPr>
          <w:rFonts w:ascii="黑体" w:eastAsia="黑体"/>
          <w:sz w:val="52"/>
          <w:szCs w:val="52"/>
          <w:highlight w:val="none"/>
        </w:rPr>
      </w:pPr>
    </w:p>
    <w:p>
      <w:pPr>
        <w:jc w:val="center"/>
        <w:rPr>
          <w:rFonts w:ascii="黑体" w:eastAsia="黑体"/>
          <w:sz w:val="52"/>
          <w:szCs w:val="52"/>
          <w:highlight w:val="none"/>
        </w:rPr>
      </w:pPr>
    </w:p>
    <w:p>
      <w:pPr>
        <w:spacing w:line="500" w:lineRule="exact"/>
        <w:ind w:firstLine="645"/>
        <w:jc w:val="center"/>
        <w:rPr>
          <w:rFonts w:ascii="宋体" w:hAnsi="宋体" w:cs="宋体"/>
          <w:b/>
          <w:bCs/>
          <w:kern w:val="0"/>
          <w:sz w:val="44"/>
          <w:szCs w:val="36"/>
          <w:highlight w:val="none"/>
        </w:rPr>
      </w:pPr>
      <w:bookmarkStart w:id="0" w:name="_GoBack"/>
      <w:bookmarkEnd w:id="0"/>
      <w:r>
        <w:rPr>
          <w:rFonts w:hint="eastAsia" w:ascii="宋体" w:hAnsi="宋体" w:cs="宋体"/>
          <w:b/>
          <w:bCs/>
          <w:kern w:val="0"/>
          <w:sz w:val="44"/>
          <w:szCs w:val="36"/>
          <w:highlight w:val="none"/>
        </w:rPr>
        <w:t>目    录</w:t>
      </w:r>
    </w:p>
    <w:p>
      <w:pPr>
        <w:spacing w:line="500" w:lineRule="exact"/>
        <w:ind w:firstLine="645"/>
        <w:jc w:val="center"/>
        <w:rPr>
          <w:rFonts w:hint="eastAsia" w:ascii="宋体" w:hAnsi="宋体" w:cs="宋体"/>
          <w:b/>
          <w:bCs/>
          <w:kern w:val="0"/>
          <w:sz w:val="36"/>
          <w:szCs w:val="36"/>
          <w:highlight w:val="none"/>
        </w:rPr>
      </w:pPr>
    </w:p>
    <w:p>
      <w:pPr>
        <w:tabs>
          <w:tab w:val="center" w:pos="6979"/>
        </w:tabs>
        <w:spacing w:line="500" w:lineRule="exact"/>
        <w:ind w:firstLine="1600" w:firstLineChars="400"/>
        <w:jc w:val="left"/>
        <w:rPr>
          <w:rFonts w:hint="eastAsia" w:ascii="宋体" w:hAnsi="宋体" w:cs="宋体"/>
          <w:bCs/>
          <w:spacing w:val="40"/>
          <w:kern w:val="0"/>
          <w:sz w:val="32"/>
          <w:szCs w:val="32"/>
          <w:highlight w:val="none"/>
        </w:rPr>
      </w:pPr>
      <w:r>
        <w:rPr>
          <w:rFonts w:hint="eastAsia" w:ascii="宋体" w:hAnsi="宋体" w:cs="宋体"/>
          <w:bCs/>
          <w:spacing w:val="40"/>
          <w:kern w:val="0"/>
          <w:sz w:val="32"/>
          <w:szCs w:val="32"/>
          <w:highlight w:val="none"/>
        </w:rPr>
        <w:t>第一部分 202</w:t>
      </w:r>
      <w:r>
        <w:rPr>
          <w:rFonts w:hint="eastAsia" w:ascii="宋体" w:hAnsi="宋体" w:cs="宋体"/>
          <w:bCs/>
          <w:spacing w:val="40"/>
          <w:kern w:val="0"/>
          <w:sz w:val="32"/>
          <w:szCs w:val="32"/>
          <w:highlight w:val="none"/>
          <w:lang w:val="en-US" w:eastAsia="zh-CN"/>
        </w:rPr>
        <w:t>3</w:t>
      </w:r>
      <w:r>
        <w:rPr>
          <w:rFonts w:hint="eastAsia" w:ascii="宋体" w:hAnsi="宋体" w:cs="宋体"/>
          <w:bCs/>
          <w:spacing w:val="40"/>
          <w:kern w:val="0"/>
          <w:sz w:val="32"/>
          <w:szCs w:val="32"/>
          <w:highlight w:val="none"/>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highlight w:val="none"/>
        </w:rPr>
      </w:pPr>
      <w:r>
        <w:rPr>
          <w:rFonts w:hint="eastAsia" w:ascii="仿宋_GB2312" w:hAnsi="仿宋" w:eastAsia="仿宋_GB2312" w:cs="宋体"/>
          <w:bCs/>
          <w:spacing w:val="40"/>
          <w:kern w:val="0"/>
          <w:sz w:val="32"/>
          <w:szCs w:val="32"/>
          <w:highlight w:val="none"/>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七、一般公共预算财政拨款</w:t>
      </w:r>
      <w:r>
        <w:rPr>
          <w:rFonts w:ascii="仿宋_GB2312" w:hAnsi="仿宋" w:eastAsia="仿宋_GB2312" w:cs="宋体"/>
          <w:bCs/>
          <w:spacing w:val="40"/>
          <w:kern w:val="0"/>
          <w:sz w:val="32"/>
          <w:szCs w:val="32"/>
          <w:highlight w:val="none"/>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八</w:t>
      </w:r>
      <w:r>
        <w:rPr>
          <w:rFonts w:ascii="仿宋_GB2312" w:hAnsi="仿宋" w:eastAsia="仿宋_GB2312" w:cs="宋体"/>
          <w:bCs/>
          <w:spacing w:val="40"/>
          <w:kern w:val="0"/>
          <w:sz w:val="32"/>
          <w:szCs w:val="32"/>
          <w:highlight w:val="none"/>
        </w:rPr>
        <w:t>、</w:t>
      </w:r>
      <w:r>
        <w:rPr>
          <w:rFonts w:hint="eastAsia" w:ascii="仿宋_GB2312" w:hAnsi="仿宋" w:eastAsia="仿宋_GB2312" w:cs="宋体"/>
          <w:bCs/>
          <w:spacing w:val="40"/>
          <w:kern w:val="0"/>
          <w:sz w:val="32"/>
          <w:szCs w:val="32"/>
          <w:highlight w:val="none"/>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九、</w:t>
      </w:r>
      <w:r>
        <w:rPr>
          <w:rFonts w:ascii="仿宋_GB2312" w:hAnsi="仿宋" w:eastAsia="仿宋_GB2312" w:cs="宋体"/>
          <w:bCs/>
          <w:spacing w:val="40"/>
          <w:kern w:val="0"/>
          <w:sz w:val="32"/>
          <w:szCs w:val="32"/>
          <w:highlight w:val="none"/>
        </w:rPr>
        <w:t>政府性基金</w:t>
      </w:r>
      <w:r>
        <w:rPr>
          <w:rFonts w:hint="eastAsia" w:ascii="仿宋_GB2312" w:hAnsi="仿宋" w:eastAsia="仿宋_GB2312" w:cs="宋体"/>
          <w:bCs/>
          <w:spacing w:val="40"/>
          <w:kern w:val="0"/>
          <w:sz w:val="32"/>
          <w:szCs w:val="32"/>
          <w:highlight w:val="none"/>
        </w:rPr>
        <w:t>预算</w:t>
      </w:r>
      <w:r>
        <w:rPr>
          <w:rFonts w:ascii="仿宋_GB2312" w:hAnsi="仿宋" w:eastAsia="仿宋_GB2312" w:cs="宋体"/>
          <w:bCs/>
          <w:spacing w:val="40"/>
          <w:kern w:val="0"/>
          <w:sz w:val="32"/>
          <w:szCs w:val="32"/>
          <w:highlight w:val="none"/>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highlight w:val="none"/>
        </w:rPr>
      </w:pPr>
      <w:r>
        <w:rPr>
          <w:rFonts w:hint="eastAsia" w:ascii="宋体" w:hAnsi="宋体" w:cs="宋体"/>
          <w:bCs/>
          <w:spacing w:val="40"/>
          <w:kern w:val="0"/>
          <w:sz w:val="32"/>
          <w:szCs w:val="32"/>
          <w:highlight w:val="none"/>
        </w:rPr>
        <w:t xml:space="preserve">第二部分 </w:t>
      </w:r>
      <w:r>
        <w:rPr>
          <w:rFonts w:hint="eastAsia" w:ascii="宋体" w:hAnsi="宋体"/>
          <w:spacing w:val="40"/>
          <w:sz w:val="32"/>
          <w:szCs w:val="32"/>
          <w:highlight w:val="none"/>
        </w:rPr>
        <w:t>202</w:t>
      </w:r>
      <w:r>
        <w:rPr>
          <w:rFonts w:hint="eastAsia" w:ascii="宋体" w:hAnsi="宋体"/>
          <w:spacing w:val="40"/>
          <w:sz w:val="32"/>
          <w:szCs w:val="32"/>
          <w:highlight w:val="none"/>
          <w:lang w:val="en-US" w:eastAsia="zh-CN"/>
        </w:rPr>
        <w:t>3</w:t>
      </w:r>
      <w:r>
        <w:rPr>
          <w:rFonts w:hint="eastAsia" w:ascii="宋体" w:hAnsi="宋体"/>
          <w:spacing w:val="40"/>
          <w:sz w:val="32"/>
          <w:szCs w:val="32"/>
          <w:highlight w:val="none"/>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highlight w:val="none"/>
        </w:rPr>
      </w:pPr>
      <w:r>
        <w:rPr>
          <w:rFonts w:hint="eastAsia" w:ascii="宋体" w:hAnsi="宋体" w:cs="宋体"/>
          <w:bCs/>
          <w:spacing w:val="40"/>
          <w:kern w:val="0"/>
          <w:sz w:val="32"/>
          <w:szCs w:val="32"/>
          <w:highlight w:val="none"/>
        </w:rPr>
        <w:t xml:space="preserve">第三部分 </w:t>
      </w:r>
      <w:r>
        <w:rPr>
          <w:rFonts w:hint="eastAsia" w:ascii="宋体" w:hAnsi="宋体"/>
          <w:spacing w:val="40"/>
          <w:sz w:val="32"/>
          <w:szCs w:val="32"/>
          <w:highlight w:val="none"/>
        </w:rPr>
        <w:t>202</w:t>
      </w:r>
      <w:r>
        <w:rPr>
          <w:rFonts w:hint="eastAsia" w:ascii="宋体" w:hAnsi="宋体"/>
          <w:spacing w:val="40"/>
          <w:sz w:val="32"/>
          <w:szCs w:val="32"/>
          <w:highlight w:val="none"/>
          <w:lang w:val="en-US" w:eastAsia="zh-CN"/>
        </w:rPr>
        <w:t>3</w:t>
      </w:r>
      <w:r>
        <w:rPr>
          <w:rFonts w:hint="eastAsia" w:ascii="宋体" w:hAnsi="宋体"/>
          <w:spacing w:val="40"/>
          <w:sz w:val="32"/>
          <w:szCs w:val="32"/>
          <w:highlight w:val="none"/>
        </w:rPr>
        <w:t>年度</w:t>
      </w:r>
      <w:r>
        <w:rPr>
          <w:rFonts w:hint="eastAsia" w:ascii="宋体" w:hAnsi="宋体" w:cs="宋体"/>
          <w:spacing w:val="40"/>
          <w:kern w:val="0"/>
          <w:sz w:val="32"/>
          <w:szCs w:val="32"/>
          <w:highlight w:val="none"/>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highlight w:val="none"/>
        </w:rPr>
      </w:pPr>
      <w:r>
        <w:rPr>
          <w:rFonts w:hint="eastAsia" w:ascii="宋体" w:hAnsi="宋体" w:cs="宋体"/>
          <w:spacing w:val="40"/>
          <w:kern w:val="0"/>
          <w:sz w:val="32"/>
          <w:szCs w:val="32"/>
          <w:highlight w:val="none"/>
        </w:rPr>
        <w:t>第四部分 202</w:t>
      </w:r>
      <w:r>
        <w:rPr>
          <w:rFonts w:hint="eastAsia" w:ascii="宋体" w:hAnsi="宋体" w:cs="宋体"/>
          <w:spacing w:val="40"/>
          <w:kern w:val="0"/>
          <w:sz w:val="32"/>
          <w:szCs w:val="32"/>
          <w:highlight w:val="none"/>
          <w:lang w:val="en-US" w:eastAsia="zh-CN"/>
        </w:rPr>
        <w:t>3</w:t>
      </w:r>
      <w:r>
        <w:rPr>
          <w:rFonts w:hint="eastAsia" w:ascii="宋体" w:hAnsi="宋体" w:cs="宋体"/>
          <w:spacing w:val="40"/>
          <w:kern w:val="0"/>
          <w:sz w:val="32"/>
          <w:szCs w:val="32"/>
          <w:highlight w:val="none"/>
        </w:rPr>
        <w:t>年度部门绩效评价情况</w:t>
      </w:r>
    </w:p>
    <w:p>
      <w:pPr>
        <w:tabs>
          <w:tab w:val="center" w:pos="6979"/>
        </w:tabs>
        <w:spacing w:before="156" w:beforeLines="50" w:after="156" w:afterLines="50"/>
        <w:jc w:val="center"/>
        <w:rPr>
          <w:rFonts w:ascii="宋体" w:hAnsi="宋体" w:cs="宋体"/>
          <w:b/>
          <w:bCs/>
          <w:spacing w:val="40"/>
          <w:kern w:val="0"/>
          <w:sz w:val="32"/>
          <w:szCs w:val="32"/>
          <w:highlight w:val="none"/>
        </w:rPr>
      </w:pPr>
    </w:p>
    <w:p>
      <w:pPr>
        <w:tabs>
          <w:tab w:val="center" w:pos="6979"/>
        </w:tabs>
        <w:spacing w:before="156" w:beforeLines="50" w:after="156" w:afterLines="50"/>
        <w:jc w:val="center"/>
        <w:rPr>
          <w:rFonts w:ascii="宋体" w:hAnsi="宋体" w:cs="宋体"/>
          <w:b/>
          <w:bCs/>
          <w:spacing w:val="40"/>
          <w:kern w:val="0"/>
          <w:sz w:val="32"/>
          <w:szCs w:val="32"/>
          <w:highlight w:val="none"/>
        </w:rPr>
      </w:pPr>
    </w:p>
    <w:p>
      <w:pPr>
        <w:tabs>
          <w:tab w:val="center" w:pos="6979"/>
        </w:tabs>
        <w:spacing w:before="156" w:beforeLines="50" w:after="156" w:afterLines="50"/>
        <w:jc w:val="center"/>
        <w:rPr>
          <w:rFonts w:hint="eastAsia" w:ascii="宋体" w:hAnsi="宋体" w:cs="宋体"/>
          <w:b/>
          <w:bCs/>
          <w:spacing w:val="40"/>
          <w:kern w:val="0"/>
          <w:sz w:val="32"/>
          <w:szCs w:val="32"/>
          <w:highlight w:val="none"/>
        </w:rPr>
      </w:pPr>
    </w:p>
    <w:p>
      <w:pPr>
        <w:tabs>
          <w:tab w:val="center" w:pos="6979"/>
        </w:tabs>
        <w:spacing w:before="156" w:beforeLines="50" w:after="156" w:afterLines="50"/>
        <w:jc w:val="center"/>
        <w:rPr>
          <w:rFonts w:ascii="宋体" w:hAnsi="宋体" w:cs="宋体"/>
          <w:b/>
          <w:bCs/>
          <w:spacing w:val="40"/>
          <w:kern w:val="0"/>
          <w:sz w:val="32"/>
          <w:szCs w:val="32"/>
          <w:highlight w:val="none"/>
        </w:rPr>
      </w:pPr>
    </w:p>
    <w:p>
      <w:pPr>
        <w:tabs>
          <w:tab w:val="center" w:pos="6979"/>
        </w:tabs>
        <w:spacing w:before="156" w:beforeLines="50" w:after="156" w:afterLines="50"/>
        <w:jc w:val="center"/>
        <w:rPr>
          <w:rFonts w:hint="eastAsia" w:ascii="宋体" w:hAnsi="宋体" w:cs="宋体"/>
          <w:b/>
          <w:bCs/>
          <w:spacing w:val="40"/>
          <w:kern w:val="0"/>
          <w:sz w:val="32"/>
          <w:szCs w:val="32"/>
          <w:highlight w:val="none"/>
        </w:rPr>
      </w:pPr>
    </w:p>
    <w:p>
      <w:pPr>
        <w:tabs>
          <w:tab w:val="center" w:pos="6979"/>
        </w:tabs>
        <w:spacing w:before="156" w:beforeLines="50" w:after="156" w:afterLines="50"/>
        <w:jc w:val="center"/>
        <w:rPr>
          <w:rFonts w:hint="eastAsia" w:ascii="宋体" w:hAnsi="宋体" w:cs="宋体"/>
          <w:b/>
          <w:bCs/>
          <w:spacing w:val="40"/>
          <w:kern w:val="0"/>
          <w:sz w:val="32"/>
          <w:szCs w:val="32"/>
          <w:highlight w:val="none"/>
        </w:rPr>
      </w:pPr>
      <w:r>
        <w:rPr>
          <w:rFonts w:hint="eastAsia" w:ascii="宋体" w:hAnsi="宋体" w:cs="宋体"/>
          <w:b/>
          <w:bCs/>
          <w:spacing w:val="40"/>
          <w:kern w:val="0"/>
          <w:sz w:val="44"/>
          <w:szCs w:val="44"/>
          <w:highlight w:val="none"/>
        </w:rPr>
        <w:t>第一部分 202</w:t>
      </w:r>
      <w:r>
        <w:rPr>
          <w:rFonts w:hint="eastAsia" w:ascii="宋体" w:hAnsi="宋体" w:cs="宋体"/>
          <w:b/>
          <w:bCs/>
          <w:spacing w:val="40"/>
          <w:kern w:val="0"/>
          <w:sz w:val="44"/>
          <w:szCs w:val="44"/>
          <w:highlight w:val="none"/>
          <w:lang w:val="en-US" w:eastAsia="zh-CN"/>
        </w:rPr>
        <w:t>3</w:t>
      </w:r>
      <w:r>
        <w:rPr>
          <w:rFonts w:hint="eastAsia" w:ascii="宋体" w:hAnsi="宋体" w:cs="宋体"/>
          <w:b/>
          <w:bCs/>
          <w:spacing w:val="40"/>
          <w:kern w:val="0"/>
          <w:sz w:val="44"/>
          <w:szCs w:val="44"/>
          <w:highlight w:val="none"/>
        </w:rPr>
        <w:t>年度部门决算报表</w:t>
      </w:r>
    </w:p>
    <w:p>
      <w:pPr>
        <w:pStyle w:val="2"/>
        <w:rPr>
          <w:rFonts w:hint="eastAsia"/>
          <w:b w:val="0"/>
          <w:bCs w:val="0"/>
          <w:highlight w:val="none"/>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highlight w:val="none"/>
        </w:rPr>
        <w:t xml:space="preserve"> </w:t>
      </w:r>
      <w:r>
        <w:rPr>
          <w:rFonts w:hint="eastAsia" w:ascii="仿宋_GB2312" w:eastAsia="仿宋_GB2312"/>
          <w:sz w:val="28"/>
          <w:szCs w:val="28"/>
          <w:highlight w:val="none"/>
          <w:lang w:val="en-US" w:eastAsia="zh-CN"/>
        </w:rPr>
        <w:t xml:space="preserve">  </w:t>
      </w:r>
      <w:r>
        <w:rPr>
          <w:rFonts w:hint="eastAsia" w:ascii="仿宋_GB2312" w:eastAsia="仿宋_GB2312"/>
          <w:b w:val="0"/>
          <w:bCs w:val="0"/>
          <w:sz w:val="28"/>
          <w:szCs w:val="28"/>
          <w:highlight w:val="none"/>
        </w:rPr>
        <w:t>报表详见附件。</w:t>
      </w:r>
    </w:p>
    <w:p>
      <w:pPr>
        <w:tabs>
          <w:tab w:val="center" w:pos="6979"/>
        </w:tabs>
        <w:spacing w:before="156" w:beforeLines="50" w:after="156" w:afterLines="50"/>
        <w:jc w:val="center"/>
        <w:rPr>
          <w:rFonts w:hint="eastAsia" w:ascii="宋体" w:hAnsi="宋体"/>
          <w:b/>
          <w:sz w:val="32"/>
          <w:szCs w:val="32"/>
          <w:highlight w:val="none"/>
        </w:rPr>
      </w:pPr>
      <w:r>
        <w:rPr>
          <w:rFonts w:hint="eastAsia" w:ascii="宋体" w:hAnsi="宋体" w:cs="宋体"/>
          <w:b/>
          <w:bCs/>
          <w:spacing w:val="40"/>
          <w:kern w:val="0"/>
          <w:sz w:val="32"/>
          <w:szCs w:val="32"/>
          <w:highlight w:val="none"/>
        </w:rPr>
        <w:t xml:space="preserve">第二部分 </w:t>
      </w:r>
      <w:r>
        <w:rPr>
          <w:rFonts w:hint="eastAsia" w:ascii="宋体" w:hAnsi="宋体"/>
          <w:b/>
          <w:spacing w:val="40"/>
          <w:sz w:val="32"/>
          <w:szCs w:val="32"/>
          <w:highlight w:val="none"/>
        </w:rPr>
        <w:t>202</w:t>
      </w:r>
      <w:r>
        <w:rPr>
          <w:rFonts w:hint="eastAsia" w:ascii="宋体" w:hAnsi="宋体"/>
          <w:b/>
          <w:spacing w:val="40"/>
          <w:sz w:val="32"/>
          <w:szCs w:val="32"/>
          <w:highlight w:val="none"/>
          <w:lang w:val="en-US" w:eastAsia="zh-CN"/>
        </w:rPr>
        <w:t>3</w:t>
      </w:r>
      <w:r>
        <w:rPr>
          <w:rFonts w:hint="eastAsia" w:ascii="宋体" w:hAnsi="宋体"/>
          <w:b/>
          <w:spacing w:val="40"/>
          <w:sz w:val="32"/>
          <w:szCs w:val="32"/>
          <w:highlight w:val="none"/>
        </w:rPr>
        <w:t>年度部门决算说明</w:t>
      </w:r>
    </w:p>
    <w:p>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一、单位基本情况</w:t>
      </w:r>
    </w:p>
    <w:p>
      <w:pPr>
        <w:tabs>
          <w:tab w:val="center" w:pos="6979"/>
        </w:tabs>
        <w:spacing w:line="580" w:lineRule="exact"/>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（一）机构</w:t>
      </w:r>
      <w:r>
        <w:rPr>
          <w:rFonts w:ascii="仿宋_GB2312" w:eastAsia="仿宋_GB2312"/>
          <w:sz w:val="28"/>
          <w:szCs w:val="28"/>
          <w:highlight w:val="none"/>
        </w:rPr>
        <w:t>设置、</w:t>
      </w:r>
      <w:r>
        <w:rPr>
          <w:rFonts w:hint="eastAsia" w:ascii="仿宋_GB2312" w:eastAsia="仿宋_GB2312"/>
          <w:sz w:val="28"/>
          <w:szCs w:val="28"/>
          <w:highlight w:val="none"/>
        </w:rPr>
        <w:t>职责</w:t>
      </w:r>
    </w:p>
    <w:p>
      <w:pPr>
        <w:tabs>
          <w:tab w:val="center" w:pos="6979"/>
        </w:tabs>
        <w:spacing w:line="580" w:lineRule="exact"/>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首都体育学院附属竞技体育学校单位为公益一类事业单位</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内设4个科室，分别为：党政办公室、本科生管理科、教导科、竞训科。</w:t>
      </w:r>
      <w:r>
        <w:rPr>
          <w:rFonts w:hint="eastAsia" w:ascii="仿宋_GB2312" w:eastAsia="仿宋_GB2312"/>
          <w:sz w:val="28"/>
          <w:szCs w:val="28"/>
          <w:highlight w:val="none"/>
          <w:lang w:val="en-US" w:eastAsia="zh-CN"/>
        </w:rPr>
        <w:t>本单位主要职责为：</w:t>
      </w:r>
      <w:r>
        <w:rPr>
          <w:rFonts w:hint="eastAsia" w:ascii="仿宋_GB2312" w:eastAsia="仿宋_GB2312"/>
          <w:sz w:val="28"/>
          <w:szCs w:val="28"/>
          <w:highlight w:val="none"/>
        </w:rPr>
        <w:t>培养德、智、体、美全面发展的高水平竞技体育运动后备人才和合格的中等体育专业人才，提供体育专业培训和相关服务。</w:t>
      </w:r>
    </w:p>
    <w:p>
      <w:pPr>
        <w:tabs>
          <w:tab w:val="center" w:pos="6979"/>
        </w:tabs>
        <w:spacing w:line="580" w:lineRule="exact"/>
        <w:ind w:firstLine="420" w:firstLineChars="150"/>
        <w:rPr>
          <w:rFonts w:ascii="仿宋_GB2312" w:eastAsia="仿宋_GB2312"/>
          <w:sz w:val="28"/>
          <w:szCs w:val="28"/>
          <w:highlight w:val="none"/>
        </w:rPr>
      </w:pPr>
      <w:r>
        <w:rPr>
          <w:rFonts w:hint="eastAsia" w:ascii="仿宋_GB2312" w:eastAsia="仿宋_GB2312"/>
          <w:sz w:val="28"/>
          <w:szCs w:val="28"/>
          <w:highlight w:val="none"/>
        </w:rPr>
        <w:t>（二）人员构成情况</w:t>
      </w:r>
    </w:p>
    <w:p>
      <w:pPr>
        <w:tabs>
          <w:tab w:val="center" w:pos="6979"/>
        </w:tabs>
        <w:spacing w:line="580" w:lineRule="exact"/>
        <w:ind w:firstLine="560" w:firstLineChars="200"/>
        <w:rPr>
          <w:rFonts w:ascii="仿宋_GB2312" w:eastAsia="仿宋_GB2312"/>
          <w:kern w:val="0"/>
          <w:sz w:val="28"/>
          <w:szCs w:val="28"/>
          <w:highlight w:val="none"/>
        </w:rPr>
      </w:pPr>
      <w:r>
        <w:rPr>
          <w:rFonts w:hint="eastAsia" w:ascii="仿宋_GB2312" w:eastAsia="仿宋_GB2312"/>
          <w:kern w:val="0"/>
          <w:sz w:val="28"/>
          <w:szCs w:val="28"/>
          <w:highlight w:val="none"/>
        </w:rPr>
        <w:t>行政编制</w:t>
      </w:r>
      <w:r>
        <w:rPr>
          <w:rFonts w:hint="eastAsia" w:ascii="仿宋_GB2312" w:eastAsia="仿宋_GB2312"/>
          <w:kern w:val="0"/>
          <w:sz w:val="28"/>
          <w:szCs w:val="28"/>
          <w:highlight w:val="none"/>
          <w:lang w:val="en-US" w:eastAsia="zh-CN"/>
        </w:rPr>
        <w:t>0</w:t>
      </w:r>
      <w:r>
        <w:rPr>
          <w:rFonts w:hint="eastAsia" w:ascii="仿宋_GB2312" w:eastAsia="仿宋_GB2312"/>
          <w:kern w:val="0"/>
          <w:sz w:val="28"/>
          <w:szCs w:val="28"/>
          <w:highlight w:val="none"/>
        </w:rPr>
        <w:t>人，实有人数</w:t>
      </w:r>
      <w:r>
        <w:rPr>
          <w:rFonts w:hint="eastAsia" w:ascii="仿宋_GB2312" w:eastAsia="仿宋_GB2312"/>
          <w:kern w:val="0"/>
          <w:sz w:val="28"/>
          <w:szCs w:val="28"/>
          <w:highlight w:val="none"/>
          <w:lang w:val="en-US" w:eastAsia="zh-CN"/>
        </w:rPr>
        <w:t>0</w:t>
      </w:r>
      <w:r>
        <w:rPr>
          <w:rFonts w:hint="eastAsia" w:ascii="仿宋_GB2312" w:eastAsia="仿宋_GB2312"/>
          <w:kern w:val="0"/>
          <w:sz w:val="28"/>
          <w:szCs w:val="28"/>
          <w:highlight w:val="none"/>
        </w:rPr>
        <w:t>人；事业编制</w:t>
      </w:r>
      <w:r>
        <w:rPr>
          <w:rFonts w:hint="eastAsia" w:ascii="仿宋_GB2312" w:eastAsia="仿宋_GB2312"/>
          <w:kern w:val="0"/>
          <w:sz w:val="28"/>
          <w:szCs w:val="28"/>
          <w:highlight w:val="none"/>
          <w:lang w:val="en-US" w:eastAsia="zh-CN"/>
        </w:rPr>
        <w:t>25</w:t>
      </w:r>
      <w:r>
        <w:rPr>
          <w:rFonts w:hint="eastAsia" w:ascii="仿宋_GB2312" w:eastAsia="仿宋_GB2312"/>
          <w:kern w:val="0"/>
          <w:sz w:val="28"/>
          <w:szCs w:val="28"/>
          <w:highlight w:val="none"/>
        </w:rPr>
        <w:t>人，实有人数</w:t>
      </w:r>
      <w:r>
        <w:rPr>
          <w:rFonts w:hint="eastAsia" w:ascii="仿宋_GB2312" w:eastAsia="仿宋_GB2312"/>
          <w:kern w:val="0"/>
          <w:sz w:val="28"/>
          <w:szCs w:val="28"/>
          <w:highlight w:val="none"/>
          <w:lang w:val="en-US" w:eastAsia="zh-CN"/>
        </w:rPr>
        <w:t>0</w:t>
      </w:r>
      <w:r>
        <w:rPr>
          <w:rFonts w:hint="eastAsia" w:ascii="仿宋_GB2312" w:eastAsia="仿宋_GB2312"/>
          <w:kern w:val="0"/>
          <w:sz w:val="28"/>
          <w:szCs w:val="28"/>
          <w:highlight w:val="none"/>
        </w:rPr>
        <w:t>人</w:t>
      </w:r>
      <w:r>
        <w:rPr>
          <w:rFonts w:hint="eastAsia" w:ascii="仿宋_GB2312" w:eastAsia="仿宋_GB2312"/>
          <w:kern w:val="0"/>
          <w:sz w:val="28"/>
          <w:szCs w:val="28"/>
          <w:highlight w:val="none"/>
          <w:lang w:eastAsia="zh-CN"/>
        </w:rPr>
        <w:t>，学生人数</w:t>
      </w:r>
      <w:r>
        <w:rPr>
          <w:rFonts w:hint="eastAsia" w:ascii="仿宋_GB2312" w:eastAsia="仿宋_GB2312"/>
          <w:kern w:val="0"/>
          <w:sz w:val="28"/>
          <w:szCs w:val="28"/>
          <w:highlight w:val="none"/>
          <w:lang w:val="en-US" w:eastAsia="zh-CN"/>
        </w:rPr>
        <w:t>271人</w:t>
      </w:r>
      <w:r>
        <w:rPr>
          <w:rFonts w:hint="eastAsia" w:ascii="仿宋_GB2312" w:eastAsia="仿宋_GB2312"/>
          <w:kern w:val="0"/>
          <w:sz w:val="28"/>
          <w:szCs w:val="28"/>
          <w:highlight w:val="none"/>
        </w:rPr>
        <w:t>。</w:t>
      </w:r>
    </w:p>
    <w:p>
      <w:pPr>
        <w:tabs>
          <w:tab w:val="center" w:pos="6979"/>
        </w:tabs>
        <w:spacing w:line="580" w:lineRule="exact"/>
        <w:rPr>
          <w:rFonts w:hint="eastAsia" w:ascii="黑体" w:eastAsia="黑体"/>
          <w:b/>
          <w:sz w:val="28"/>
          <w:szCs w:val="28"/>
          <w:highlight w:val="none"/>
        </w:rPr>
      </w:pPr>
      <w:r>
        <w:rPr>
          <w:rFonts w:hint="eastAsia" w:ascii="仿宋_GB2312" w:eastAsia="仿宋_GB2312"/>
          <w:b/>
          <w:sz w:val="32"/>
          <w:szCs w:val="32"/>
          <w:highlight w:val="none"/>
        </w:rPr>
        <w:t xml:space="preserve">   </w:t>
      </w:r>
      <w:r>
        <w:rPr>
          <w:rFonts w:hint="eastAsia" w:ascii="黑体" w:eastAsia="黑体"/>
          <w:b/>
          <w:sz w:val="28"/>
          <w:szCs w:val="28"/>
          <w:highlight w:val="none"/>
        </w:rPr>
        <w:t>二、收入支出决算总体情况说明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144.16</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125.09</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46.46</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highlight w:val="none"/>
          <w:lang w:eastAsia="zh-CN"/>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年度本年收入合计</w:t>
      </w:r>
      <w:r>
        <w:rPr>
          <w:rFonts w:ascii="仿宋_GB2312" w:eastAsia="仿宋_GB2312"/>
          <w:sz w:val="28"/>
          <w:szCs w:val="28"/>
          <w:highlight w:val="none"/>
        </w:rPr>
        <w:t>141.41</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125.42</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47.00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pPr>
        <w:tabs>
          <w:tab w:val="center" w:pos="6979"/>
        </w:tabs>
        <w:spacing w:line="580" w:lineRule="exact"/>
        <w:ind w:firstLine="560" w:firstLineChars="200"/>
        <w:rPr>
          <w:rFonts w:hint="eastAsia"/>
          <w:highlight w:val="none"/>
        </w:rPr>
      </w:pPr>
      <w:r>
        <w:rPr>
          <w:rFonts w:hint="eastAsia" w:ascii="仿宋_GB2312" w:eastAsia="仿宋_GB2312"/>
          <w:sz w:val="28"/>
          <w:szCs w:val="28"/>
          <w:highlight w:val="none"/>
        </w:rPr>
        <w:t>1.财政拨款收入</w:t>
      </w:r>
      <w:r>
        <w:rPr>
          <w:rFonts w:ascii="仿宋_GB2312" w:eastAsia="仿宋_GB2312"/>
          <w:sz w:val="28"/>
          <w:szCs w:val="28"/>
          <w:highlight w:val="none"/>
        </w:rPr>
        <w:t>81.11</w:t>
      </w:r>
      <w:r>
        <w:rPr>
          <w:rFonts w:hint="eastAsia" w:ascii="仿宋_GB2312" w:eastAsia="仿宋_GB2312"/>
          <w:sz w:val="28"/>
          <w:szCs w:val="28"/>
          <w:highlight w:val="none"/>
        </w:rPr>
        <w:t>万元，占收入合计的</w:t>
      </w:r>
      <w:r>
        <w:rPr>
          <w:rFonts w:ascii="仿宋_GB2312" w:eastAsia="仿宋_GB2312"/>
          <w:sz w:val="28"/>
          <w:szCs w:val="28"/>
          <w:highlight w:val="none"/>
        </w:rPr>
        <w:t>57.3</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%。其中：一般公共预算财政拨款收入</w:t>
      </w:r>
      <w:r>
        <w:rPr>
          <w:rFonts w:ascii="仿宋_GB2312" w:eastAsia="仿宋_GB2312"/>
          <w:sz w:val="28"/>
          <w:szCs w:val="28"/>
          <w:highlight w:val="none"/>
        </w:rPr>
        <w:t>81.11</w:t>
      </w:r>
      <w:r>
        <w:rPr>
          <w:rFonts w:hint="eastAsia" w:ascii="仿宋_GB2312" w:eastAsia="仿宋_GB2312"/>
          <w:sz w:val="28"/>
          <w:szCs w:val="28"/>
          <w:highlight w:val="none"/>
        </w:rPr>
        <w:t>万元，占收入合计的</w:t>
      </w:r>
      <w:r>
        <w:rPr>
          <w:rFonts w:ascii="仿宋_GB2312" w:eastAsia="仿宋_GB2312"/>
          <w:sz w:val="28"/>
          <w:szCs w:val="28"/>
          <w:highlight w:val="none"/>
        </w:rPr>
        <w:t>57.3</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%；政府性基金预算财政拨款收入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%；国有资本经营预算财政拨款收入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2.上级补助收入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3.事业收入</w:t>
      </w:r>
      <w:r>
        <w:rPr>
          <w:rFonts w:ascii="仿宋_GB2312" w:eastAsia="仿宋_GB2312"/>
          <w:sz w:val="28"/>
          <w:szCs w:val="28"/>
          <w:highlight w:val="none"/>
        </w:rPr>
        <w:t>60.28</w:t>
      </w:r>
      <w:r>
        <w:rPr>
          <w:rFonts w:hint="eastAsia" w:ascii="仿宋_GB2312" w:eastAsia="仿宋_GB2312"/>
          <w:sz w:val="28"/>
          <w:szCs w:val="28"/>
          <w:highlight w:val="none"/>
        </w:rPr>
        <w:t>万元，占收入合计的</w:t>
      </w:r>
      <w:r>
        <w:rPr>
          <w:rFonts w:ascii="仿宋_GB2312" w:eastAsia="仿宋_GB2312"/>
          <w:sz w:val="28"/>
          <w:szCs w:val="28"/>
          <w:highlight w:val="none"/>
        </w:rPr>
        <w:t>42.62</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0.03</w:t>
      </w:r>
      <w:r>
        <w:rPr>
          <w:rFonts w:hint="eastAsia" w:ascii="仿宋_GB2312" w:eastAsia="仿宋_GB2312"/>
          <w:sz w:val="28"/>
          <w:szCs w:val="28"/>
          <w:highlight w:val="none"/>
        </w:rPr>
        <w:t>万元，占收入合计的</w:t>
      </w:r>
      <w:r>
        <w:rPr>
          <w:rFonts w:ascii="仿宋_GB2312" w:eastAsia="仿宋_GB2312"/>
          <w:sz w:val="28"/>
          <w:szCs w:val="28"/>
          <w:highlight w:val="none"/>
        </w:rPr>
        <w:t>0.02</w:t>
      </w:r>
      <w:r>
        <w:rPr>
          <w:rFonts w:hint="eastAsia" w:ascii="仿宋_GB2312" w:eastAsia="仿宋_GB2312"/>
          <w:sz w:val="28"/>
          <w:szCs w:val="28"/>
          <w:highlight w:val="none"/>
        </w:rPr>
        <w:t>%。</w:t>
      </w:r>
    </w:p>
    <w:p>
      <w:pPr>
        <w:pStyle w:val="2"/>
        <w:ind w:firstLine="0"/>
        <w:jc w:val="center"/>
        <w:rPr>
          <w:highlight w:val="none"/>
        </w:rPr>
      </w:pPr>
      <w:r>
        <w:rPr>
          <w:rFonts w:hint="eastAsia" w:ascii="仿宋_GB2312" w:eastAsia="仿宋_GB2312"/>
          <w:color w:val="000000"/>
          <w:sz w:val="32"/>
          <w:szCs w:val="32"/>
          <w:highlight w:val="none"/>
          <w:lang w:val="en-US" w:eastAsia="zh-CN"/>
        </w:rPr>
        <w:t>图1：收入决算</w:t>
      </w:r>
    </w:p>
    <w:p>
      <w:pPr>
        <w:pStyle w:val="2"/>
        <w:ind w:firstLine="0"/>
        <w:jc w:val="center"/>
        <w:rPr>
          <w:rFonts w:hint="default"/>
          <w:highlight w:val="none"/>
          <w:lang w:val="en-US"/>
        </w:rPr>
      </w:pPr>
      <w:r>
        <w:rPr>
          <w:highlight w:val="none"/>
        </w:rPr>
        <w:drawing>
          <wp:inline distT="0" distB="0" distL="114300" distR="114300">
            <wp:extent cx="6273800" cy="3161665"/>
            <wp:effectExtent l="4445" t="4445" r="15875" b="19050"/>
            <wp:docPr id="1" name="图表 3" descr="7b0a202020202263686172745265734964223a20223230343639393934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bidi w:val="0"/>
        <w:jc w:val="center"/>
        <w:rPr>
          <w:rFonts w:hint="eastAsia"/>
          <w:highlight w:val="none"/>
          <w:lang w:val="en-US" w:eastAsia="zh-CN"/>
        </w:rPr>
      </w:pP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（二</w:t>
      </w:r>
      <w:r>
        <w:rPr>
          <w:rFonts w:ascii="仿宋_GB2312" w:eastAsia="仿宋_GB2312"/>
          <w:sz w:val="28"/>
          <w:szCs w:val="28"/>
          <w:highlight w:val="none"/>
        </w:rPr>
        <w:t>）</w:t>
      </w:r>
      <w:r>
        <w:rPr>
          <w:rFonts w:hint="eastAsia" w:ascii="仿宋_GB2312" w:eastAsia="仿宋_GB2312"/>
          <w:sz w:val="28"/>
          <w:szCs w:val="28"/>
          <w:highlight w:val="none"/>
        </w:rPr>
        <w:t>支出决算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年度本年支出合计</w:t>
      </w:r>
      <w:r>
        <w:rPr>
          <w:rFonts w:ascii="仿宋_GB2312" w:eastAsia="仿宋_GB2312"/>
          <w:sz w:val="28"/>
          <w:szCs w:val="28"/>
          <w:highlight w:val="none"/>
        </w:rPr>
        <w:t>104.29</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157.89</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60.22</w:t>
      </w:r>
      <w:r>
        <w:rPr>
          <w:rFonts w:hint="eastAsia" w:ascii="仿宋_GB2312" w:eastAsia="仿宋_GB2312"/>
          <w:sz w:val="28"/>
          <w:szCs w:val="28"/>
          <w:highlight w:val="none"/>
        </w:rPr>
        <w:t>%，其中：基本支出</w:t>
      </w:r>
      <w:r>
        <w:rPr>
          <w:rFonts w:ascii="仿宋_GB2312" w:eastAsia="仿宋_GB2312"/>
          <w:sz w:val="28"/>
          <w:szCs w:val="28"/>
          <w:highlight w:val="none"/>
        </w:rPr>
        <w:t>86.8</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万元，占支出合计的</w:t>
      </w:r>
      <w:r>
        <w:rPr>
          <w:rFonts w:ascii="仿宋_GB2312" w:eastAsia="仿宋_GB2312"/>
          <w:sz w:val="28"/>
          <w:szCs w:val="28"/>
          <w:highlight w:val="none"/>
        </w:rPr>
        <w:t>83.23</w:t>
      </w:r>
      <w:r>
        <w:rPr>
          <w:rFonts w:hint="eastAsia" w:ascii="仿宋_GB2312" w:eastAsia="仿宋_GB2312"/>
          <w:sz w:val="28"/>
          <w:szCs w:val="28"/>
          <w:highlight w:val="none"/>
        </w:rPr>
        <w:t>%；项目支出</w:t>
      </w:r>
      <w:r>
        <w:rPr>
          <w:rFonts w:ascii="仿宋_GB2312" w:eastAsia="仿宋_GB2312"/>
          <w:sz w:val="28"/>
          <w:szCs w:val="28"/>
          <w:highlight w:val="none"/>
        </w:rPr>
        <w:t>17.4</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万元，占支出合计的</w:t>
      </w:r>
      <w:r>
        <w:rPr>
          <w:rFonts w:ascii="仿宋_GB2312" w:eastAsia="仿宋_GB2312"/>
          <w:sz w:val="28"/>
          <w:szCs w:val="28"/>
          <w:highlight w:val="none"/>
        </w:rPr>
        <w:t>16.7</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万元，占支出合计的</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万元，占支出合计的</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万元，占支出合计的</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pPr>
        <w:pStyle w:val="2"/>
        <w:ind w:left="0" w:leftChars="0" w:firstLine="0" w:firstLineChars="0"/>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highlight w:val="none"/>
        </w:rPr>
      </w:pPr>
      <w:r>
        <w:rPr>
          <w:highlight w:val="none"/>
        </w:rPr>
        <w:drawing>
          <wp:inline distT="0" distB="0" distL="114300" distR="114300">
            <wp:extent cx="6363335" cy="3360420"/>
            <wp:effectExtent l="4445" t="4445" r="17780" b="48895"/>
            <wp:docPr id="3" name="图表 1" descr="7b0a202020202263686172745265734964223a20223230343736313236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jc w:val="center"/>
        <w:rPr>
          <w:highlight w:val="none"/>
        </w:rPr>
      </w:pPr>
    </w:p>
    <w:p>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三</w:t>
      </w:r>
      <w:r>
        <w:rPr>
          <w:rFonts w:ascii="黑体" w:eastAsia="黑体"/>
          <w:b/>
          <w:sz w:val="28"/>
          <w:szCs w:val="28"/>
          <w:highlight w:val="none"/>
        </w:rPr>
        <w:t>、财政拨款</w:t>
      </w:r>
      <w:r>
        <w:rPr>
          <w:rFonts w:hint="eastAsia" w:ascii="黑体" w:eastAsia="黑体"/>
          <w:b/>
          <w:sz w:val="28"/>
          <w:szCs w:val="28"/>
          <w:highlight w:val="none"/>
        </w:rPr>
        <w:t>收入支出决算</w:t>
      </w:r>
      <w:r>
        <w:rPr>
          <w:rFonts w:ascii="黑体" w:eastAsia="黑体"/>
          <w:b/>
          <w:sz w:val="28"/>
          <w:szCs w:val="28"/>
          <w:highlight w:val="none"/>
        </w:rPr>
        <w:t>总体情况说明</w:t>
      </w:r>
    </w:p>
    <w:p>
      <w:pPr>
        <w:tabs>
          <w:tab w:val="center" w:pos="6979"/>
        </w:tabs>
        <w:spacing w:line="580" w:lineRule="exact"/>
        <w:ind w:firstLine="570"/>
        <w:rPr>
          <w:rFonts w:hint="eastAsia" w:ascii="仿宋_GB2312" w:eastAsia="仿宋_GB2312"/>
          <w:sz w:val="28"/>
          <w:szCs w:val="28"/>
          <w:highlight w:val="none"/>
          <w:lang w:val="en-US" w:eastAsia="zh-CN"/>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年度财政拨款收、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81.6</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万元，比上年减少</w:t>
      </w:r>
      <w:r>
        <w:rPr>
          <w:rFonts w:hint="eastAsia" w:ascii="仿宋_GB2312" w:eastAsia="仿宋_GB2312"/>
          <w:sz w:val="28"/>
          <w:szCs w:val="28"/>
          <w:highlight w:val="none"/>
          <w:lang w:val="en-US" w:eastAsia="zh-CN"/>
        </w:rPr>
        <w:t>185.08</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69.40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根据职业教育事业发展规划，减少项目安排。</w:t>
      </w:r>
    </w:p>
    <w:p>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年度一般公共预算财政拨款支出</w:t>
      </w:r>
      <w:r>
        <w:rPr>
          <w:rFonts w:ascii="仿宋_GB2312" w:eastAsia="仿宋_GB2312"/>
          <w:sz w:val="28"/>
          <w:szCs w:val="28"/>
          <w:highlight w:val="none"/>
        </w:rPr>
        <w:t>81.6</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万元，主要用于以下方面（按大类）：</w:t>
      </w:r>
      <w:r>
        <w:rPr>
          <w:rFonts w:hint="eastAsia" w:ascii="仿宋_GB2312" w:eastAsia="仿宋_GB2312"/>
          <w:sz w:val="28"/>
          <w:szCs w:val="28"/>
          <w:highlight w:val="none"/>
          <w:lang w:eastAsia="zh-CN"/>
        </w:rPr>
        <w:t>教育</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81.60</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100.00</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教育支出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81.60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193.80</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70.37</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职业教育</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81.60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193.80</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70.37</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根据职业教育事业发展规划，减少项目安排</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黑体" w:eastAsia="黑体"/>
          <w:b/>
          <w:sz w:val="28"/>
          <w:szCs w:val="28"/>
          <w:highlight w:val="none"/>
        </w:rPr>
        <w:t>五、政府性基金预算财政拨款支出决算情况说明</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本年度无此项支出。</w:t>
      </w:r>
    </w:p>
    <w:p>
      <w:pPr>
        <w:spacing w:line="580" w:lineRule="exact"/>
        <w:ind w:firstLine="560" w:firstLineChars="200"/>
        <w:rPr>
          <w:rFonts w:hint="eastAsia" w:ascii="黑体" w:eastAsia="黑体"/>
          <w:b/>
          <w:sz w:val="28"/>
          <w:szCs w:val="28"/>
          <w:highlight w:val="none"/>
        </w:rPr>
      </w:pPr>
      <w:r>
        <w:rPr>
          <w:rFonts w:hint="eastAsia" w:ascii="黑体" w:eastAsia="黑体"/>
          <w:b/>
          <w:sz w:val="28"/>
          <w:szCs w:val="28"/>
          <w:highlight w:val="none"/>
        </w:rPr>
        <w:t>六、国有资本经营预算财</w:t>
      </w:r>
      <w:r>
        <w:rPr>
          <w:rFonts w:ascii="黑体" w:eastAsia="黑体"/>
          <w:b/>
          <w:sz w:val="28"/>
          <w:szCs w:val="28"/>
          <w:highlight w:val="none"/>
        </w:rPr>
        <w:t>政拨款</w:t>
      </w:r>
      <w:r>
        <w:rPr>
          <w:rFonts w:hint="eastAsia" w:ascii="黑体" w:eastAsia="黑体"/>
          <w:b/>
          <w:sz w:val="28"/>
          <w:szCs w:val="28"/>
          <w:highlight w:val="none"/>
        </w:rPr>
        <w:t>收支情况</w:t>
      </w:r>
    </w:p>
    <w:p>
      <w:pPr>
        <w:spacing w:line="580" w:lineRule="exact"/>
        <w:ind w:firstLine="548" w:firstLineChars="196"/>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本</w:t>
      </w:r>
      <w:r>
        <w:rPr>
          <w:rFonts w:hint="eastAsia" w:ascii="仿宋_GB2312" w:eastAsia="仿宋_GB2312"/>
          <w:sz w:val="28"/>
          <w:szCs w:val="28"/>
          <w:highlight w:val="none"/>
          <w:lang w:val="en-US" w:eastAsia="zh-CN"/>
        </w:rPr>
        <w:t>年</w:t>
      </w:r>
      <w:r>
        <w:rPr>
          <w:rFonts w:hint="eastAsia" w:ascii="仿宋_GB2312" w:eastAsia="仿宋_GB2312"/>
          <w:sz w:val="28"/>
          <w:szCs w:val="28"/>
          <w:highlight w:val="none"/>
          <w:lang w:eastAsia="zh-CN"/>
        </w:rPr>
        <w:t>度无此项经费。</w:t>
      </w:r>
    </w:p>
    <w:p>
      <w:pPr>
        <w:spacing w:line="580" w:lineRule="exact"/>
        <w:ind w:firstLine="548" w:firstLineChars="196"/>
        <w:rPr>
          <w:rFonts w:hint="eastAsia" w:ascii="黑体" w:eastAsia="黑体"/>
          <w:sz w:val="28"/>
          <w:szCs w:val="28"/>
          <w:highlight w:val="none"/>
        </w:rPr>
      </w:pPr>
      <w:r>
        <w:rPr>
          <w:rFonts w:hint="eastAsia" w:ascii="黑体" w:eastAsia="黑体"/>
          <w:b/>
          <w:sz w:val="28"/>
          <w:szCs w:val="28"/>
          <w:highlight w:val="none"/>
        </w:rPr>
        <w:t>七、财政拨款基本支出决算情况说明</w:t>
      </w:r>
    </w:p>
    <w:p>
      <w:pPr>
        <w:tabs>
          <w:tab w:val="center" w:pos="6979"/>
        </w:tabs>
        <w:spacing w:line="580" w:lineRule="exact"/>
        <w:ind w:firstLine="548" w:firstLineChars="196"/>
        <w:rPr>
          <w:rFonts w:hint="eastAsia" w:ascii="黑体" w:eastAsia="黑体"/>
          <w:b/>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年度使用一般公共预算财政拨款安排基本支出</w:t>
      </w:r>
      <w:r>
        <w:rPr>
          <w:rFonts w:ascii="仿宋_GB2312" w:eastAsia="仿宋_GB2312"/>
          <w:sz w:val="28"/>
          <w:szCs w:val="28"/>
          <w:highlight w:val="none"/>
        </w:rPr>
        <w:t>64.12</w:t>
      </w:r>
      <w:r>
        <w:rPr>
          <w:rFonts w:hint="eastAsia" w:ascii="仿宋_GB2312" w:eastAsia="仿宋_GB2312"/>
          <w:sz w:val="28"/>
          <w:szCs w:val="28"/>
          <w:highlight w:val="none"/>
        </w:rPr>
        <w:t>万元，使用政府性基金财政拨款安排基本支出</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万元，其中：（1）工资福利支出包括基本工资</w:t>
      </w:r>
      <w:r>
        <w:rPr>
          <w:rFonts w:ascii="仿宋_GB2312" w:eastAsia="仿宋_GB2312"/>
          <w:sz w:val="28"/>
          <w:szCs w:val="28"/>
          <w:highlight w:val="none"/>
        </w:rPr>
        <w:t>、津贴补贴、奖金、伙食补助费、绩效工资、</w:t>
      </w:r>
      <w:r>
        <w:rPr>
          <w:rFonts w:hint="eastAsia" w:ascii="仿宋_GB2312" w:eastAsia="仿宋_GB2312"/>
          <w:sz w:val="28"/>
          <w:szCs w:val="28"/>
          <w:highlight w:val="none"/>
        </w:rPr>
        <w:t>其他</w:t>
      </w:r>
      <w:r>
        <w:rPr>
          <w:rFonts w:ascii="仿宋_GB2312" w:eastAsia="仿宋_GB2312"/>
          <w:sz w:val="28"/>
          <w:szCs w:val="28"/>
          <w:highlight w:val="none"/>
        </w:rPr>
        <w:t>社会保障缴费、其他工资福利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；（2）商品和服务支出包括</w:t>
      </w:r>
      <w:r>
        <w:rPr>
          <w:rFonts w:ascii="仿宋_GB2312" w:eastAsia="仿宋_GB2312"/>
          <w:sz w:val="28"/>
          <w:szCs w:val="28"/>
          <w:highlight w:val="none"/>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离休费、退休费、抚恤金、生活补助、</w:t>
      </w:r>
      <w:r>
        <w:rPr>
          <w:rFonts w:hint="eastAsia" w:ascii="仿宋_GB2312" w:eastAsia="仿宋_GB2312"/>
          <w:sz w:val="28"/>
          <w:szCs w:val="28"/>
          <w:highlight w:val="none"/>
        </w:rPr>
        <w:t>救济费</w:t>
      </w:r>
      <w:r>
        <w:rPr>
          <w:rFonts w:ascii="仿宋_GB2312" w:eastAsia="仿宋_GB2312"/>
          <w:sz w:val="28"/>
          <w:szCs w:val="28"/>
          <w:highlight w:val="none"/>
        </w:rPr>
        <w:t>、医疗费</w:t>
      </w:r>
      <w:r>
        <w:rPr>
          <w:rFonts w:hint="eastAsia" w:ascii="仿宋_GB2312" w:eastAsia="仿宋_GB2312"/>
          <w:sz w:val="28"/>
          <w:szCs w:val="28"/>
          <w:highlight w:val="none"/>
        </w:rPr>
        <w:t>补助</w:t>
      </w:r>
      <w:r>
        <w:rPr>
          <w:rFonts w:ascii="仿宋_GB2312" w:eastAsia="仿宋_GB2312"/>
          <w:sz w:val="28"/>
          <w:szCs w:val="28"/>
          <w:highlight w:val="none"/>
        </w:rPr>
        <w:t>、助学金、奖励金</w:t>
      </w:r>
      <w:r>
        <w:rPr>
          <w:rFonts w:hint="eastAsia" w:ascii="仿宋_GB2312" w:eastAsia="仿宋_GB2312"/>
          <w:sz w:val="28"/>
          <w:szCs w:val="28"/>
          <w:highlight w:val="none"/>
        </w:rPr>
        <w:t>、</w:t>
      </w:r>
      <w:r>
        <w:rPr>
          <w:rFonts w:ascii="仿宋_GB2312" w:eastAsia="仿宋_GB2312"/>
          <w:sz w:val="28"/>
          <w:szCs w:val="28"/>
          <w:highlight w:val="none"/>
        </w:rPr>
        <w:t>其他对个人和家庭的补助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。（4）其他资本性支出包括</w:t>
      </w:r>
      <w:r>
        <w:rPr>
          <w:rFonts w:ascii="仿宋_GB2312" w:eastAsia="仿宋_GB2312"/>
          <w:sz w:val="28"/>
          <w:szCs w:val="28"/>
          <w:highlight w:val="none"/>
        </w:rPr>
        <w:t>办公设备购置、专用设备购置</w:t>
      </w:r>
      <w:r>
        <w:rPr>
          <w:rFonts w:hint="eastAsia" w:ascii="仿宋_GB2312" w:eastAsia="仿宋_GB2312"/>
          <w:sz w:val="28"/>
          <w:szCs w:val="28"/>
          <w:highlight w:val="none"/>
        </w:rPr>
        <w:t>等</w:t>
      </w:r>
      <w:r>
        <w:rPr>
          <w:rFonts w:ascii="仿宋_GB2312" w:eastAsia="仿宋_GB2312"/>
          <w:sz w:val="28"/>
          <w:szCs w:val="28"/>
          <w:highlight w:val="none"/>
        </w:rPr>
        <w:t>。</w:t>
      </w:r>
    </w:p>
    <w:p>
      <w:pPr>
        <w:autoSpaceDE w:val="0"/>
        <w:autoSpaceDN w:val="0"/>
        <w:adjustRightInd w:val="0"/>
        <w:spacing w:line="580" w:lineRule="exact"/>
        <w:jc w:val="center"/>
        <w:rPr>
          <w:rFonts w:hint="eastAsia" w:ascii="宋体" w:hAnsi="宋体" w:cs="宋体"/>
          <w:b/>
          <w:spacing w:val="40"/>
          <w:kern w:val="0"/>
          <w:sz w:val="32"/>
          <w:szCs w:val="32"/>
          <w:highlight w:val="none"/>
        </w:rPr>
      </w:pPr>
      <w:r>
        <w:rPr>
          <w:rFonts w:ascii="仿宋_GB2312" w:eastAsia="仿宋_GB2312"/>
          <w:sz w:val="28"/>
          <w:szCs w:val="28"/>
          <w:highlight w:val="none"/>
        </w:rPr>
        <w:br w:type="page"/>
      </w:r>
      <w:r>
        <w:rPr>
          <w:rFonts w:hint="eastAsia" w:ascii="宋体" w:hAnsi="宋体" w:cs="宋体"/>
          <w:b/>
          <w:bCs/>
          <w:spacing w:val="40"/>
          <w:kern w:val="0"/>
          <w:sz w:val="32"/>
          <w:szCs w:val="32"/>
          <w:highlight w:val="none"/>
        </w:rPr>
        <w:t>第三部分</w:t>
      </w:r>
      <w:r>
        <w:rPr>
          <w:rFonts w:hint="eastAsia" w:ascii="宋体" w:hAnsi="宋体"/>
          <w:b/>
          <w:spacing w:val="40"/>
          <w:sz w:val="32"/>
          <w:szCs w:val="32"/>
          <w:highlight w:val="none"/>
        </w:rPr>
        <w:t>202</w:t>
      </w:r>
      <w:r>
        <w:rPr>
          <w:rFonts w:hint="eastAsia" w:ascii="宋体" w:hAnsi="宋体"/>
          <w:b/>
          <w:spacing w:val="40"/>
          <w:sz w:val="32"/>
          <w:szCs w:val="32"/>
          <w:highlight w:val="none"/>
          <w:lang w:val="en-US" w:eastAsia="zh-CN"/>
        </w:rPr>
        <w:t>3</w:t>
      </w:r>
      <w:r>
        <w:rPr>
          <w:rFonts w:hint="eastAsia" w:ascii="宋体" w:hAnsi="宋体"/>
          <w:b/>
          <w:spacing w:val="40"/>
          <w:sz w:val="32"/>
          <w:szCs w:val="32"/>
          <w:highlight w:val="none"/>
        </w:rPr>
        <w:t>年度</w:t>
      </w:r>
      <w:r>
        <w:rPr>
          <w:rFonts w:hint="eastAsia" w:ascii="宋体" w:hAnsi="宋体" w:cs="宋体"/>
          <w:b/>
          <w:spacing w:val="40"/>
          <w:kern w:val="0"/>
          <w:sz w:val="32"/>
          <w:szCs w:val="32"/>
          <w:highlight w:val="none"/>
        </w:rPr>
        <w:t>其他重要事项的情况说明</w:t>
      </w:r>
    </w:p>
    <w:p>
      <w:pPr>
        <w:spacing w:line="560" w:lineRule="exact"/>
        <w:ind w:firstLine="560" w:firstLineChars="200"/>
        <w:rPr>
          <w:rFonts w:hint="eastAsia" w:ascii="黑体" w:eastAsia="黑体"/>
          <w:sz w:val="28"/>
          <w:szCs w:val="28"/>
          <w:highlight w:val="none"/>
        </w:rPr>
      </w:pPr>
      <w:r>
        <w:rPr>
          <w:rFonts w:hint="eastAsia" w:ascii="黑体" w:eastAsia="黑体"/>
          <w:sz w:val="28"/>
          <w:szCs w:val="28"/>
          <w:highlight w:val="none"/>
        </w:rPr>
        <w:t>一、“三公”经费财政拨款决算情况</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“三公”经费包括本单位所属0个行政单位、0个参照公务员法管理事业单位、1个事业单位。2023年度“三公”经费财政拨款决算数0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万元，与2023年度“三公”经费财政拨款年初预算0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万元持平。其中：</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1.因公出国（境）费用。2023年度决算数0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万元，与2023年度年初预算数0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万元持平。2023年度组织因公出国（境）团组0个、0人次，人均因公出国（境）费用0.00万元。</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2.公务接待费。2023年度决算数0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万元，与2023年度年初预算数0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万元持平。公务接待0批次，公务接待0人次。</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3.公务用车购置及运行维护费。2023年度决算数0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万元，与2023年度年初预算数0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万元持平。</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其中，公务用车购置费2023年度决算数0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万元，与2023年度年初预算数0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万元持平。2023年度购置（更新）0辆，车均购置费0.00万元。公务用车运行维护费2023年度决算数0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万元，与2023年度年初预算数0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万元持平。2023年度公务用车运行维护费中，公务用车加油0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万元，公务用车维修0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万元，公务用车保险0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万元，公务用车其他支出0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万元。2023年度公务用车保有量0辆，车均运行维护费0.00万元。</w:t>
      </w:r>
    </w:p>
    <w:p>
      <w:pPr>
        <w:tabs>
          <w:tab w:val="center" w:pos="6979"/>
        </w:tabs>
        <w:ind w:firstLine="554" w:firstLineChars="198"/>
        <w:rPr>
          <w:rFonts w:hint="eastAsia" w:ascii="黑体" w:eastAsia="黑体"/>
          <w:sz w:val="28"/>
          <w:szCs w:val="28"/>
          <w:highlight w:val="none"/>
        </w:rPr>
      </w:pPr>
      <w:r>
        <w:rPr>
          <w:rFonts w:hint="eastAsia" w:ascii="黑体" w:eastAsia="黑体"/>
          <w:sz w:val="28"/>
          <w:szCs w:val="28"/>
          <w:highlight w:val="none"/>
        </w:rPr>
        <w:t>二、机关运行经费支出情况</w:t>
      </w:r>
    </w:p>
    <w:p>
      <w:pPr>
        <w:ind w:left="540"/>
        <w:rPr>
          <w:rFonts w:hint="eastAsia" w:ascii="仿宋_GB2312" w:eastAsia="仿宋_GB2312"/>
          <w:sz w:val="28"/>
          <w:szCs w:val="28"/>
          <w:highlight w:val="none"/>
          <w:lang w:eastAsia="zh-CN"/>
        </w:rPr>
      </w:pPr>
      <w:r>
        <w:rPr>
          <w:rFonts w:hint="eastAsia" w:ascii="仿宋_GB2312" w:eastAsia="仿宋_GB2312"/>
          <w:sz w:val="28"/>
          <w:szCs w:val="28"/>
          <w:highlight w:val="none"/>
        </w:rPr>
        <w:t>不属于机关运行经费统计范围</w:t>
      </w:r>
      <w:r>
        <w:rPr>
          <w:rFonts w:hint="eastAsia" w:ascii="仿宋_GB2312" w:eastAsia="仿宋_GB2312"/>
          <w:sz w:val="28"/>
          <w:szCs w:val="28"/>
          <w:highlight w:val="none"/>
          <w:lang w:eastAsia="zh-CN"/>
        </w:rPr>
        <w:t>。</w:t>
      </w:r>
    </w:p>
    <w:p>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lang w:eastAsia="zh-CN"/>
        </w:rPr>
        <w:t>本年度无此项支出。</w:t>
      </w:r>
    </w:p>
    <w:p>
      <w:pPr>
        <w:ind w:firstLine="560" w:firstLineChars="200"/>
        <w:rPr>
          <w:rFonts w:hint="eastAsia" w:ascii="黑体" w:eastAsia="黑体"/>
          <w:sz w:val="28"/>
          <w:szCs w:val="28"/>
          <w:highlight w:val="none"/>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highlight w:val="none"/>
        </w:rPr>
      </w:pPr>
      <w:r>
        <w:rPr>
          <w:rFonts w:hint="eastAsia" w:ascii="仿宋_GB2312" w:eastAsia="仿宋_GB2312"/>
          <w:sz w:val="28"/>
          <w:szCs w:val="28"/>
          <w:highlight w:val="none"/>
          <w:lang w:val="en-US" w:eastAsia="zh-CN"/>
        </w:rPr>
        <w:t>2023年度新购置车辆0</w:t>
      </w:r>
      <w:r>
        <w:rPr>
          <w:rFonts w:hint="eastAsia" w:ascii="仿宋_GB2312" w:eastAsia="仿宋_GB2312"/>
          <w:sz w:val="28"/>
          <w:szCs w:val="28"/>
          <w:highlight w:val="none"/>
        </w:rPr>
        <w:t>台，</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；新购置</w:t>
      </w:r>
      <w:r>
        <w:rPr>
          <w:rFonts w:hint="eastAsia" w:ascii="仿宋_GB2312" w:eastAsia="仿宋_GB2312"/>
          <w:sz w:val="28"/>
          <w:szCs w:val="28"/>
          <w:highlight w:val="none"/>
        </w:rPr>
        <w:t>单位价值100万元</w:t>
      </w:r>
      <w:r>
        <w:rPr>
          <w:rFonts w:hint="eastAsia" w:ascii="仿宋_GB2312" w:eastAsia="仿宋_GB2312"/>
          <w:sz w:val="28"/>
          <w:szCs w:val="28"/>
          <w:highlight w:val="none"/>
          <w:lang w:eastAsia="zh-CN"/>
        </w:rPr>
        <w:t>（含）</w:t>
      </w:r>
      <w:r>
        <w:rPr>
          <w:rFonts w:hint="eastAsia" w:ascii="仿宋_GB2312" w:eastAsia="仿宋_GB2312"/>
          <w:sz w:val="28"/>
          <w:szCs w:val="28"/>
          <w:highlight w:val="none"/>
        </w:rPr>
        <w:t>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台（套）</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截至</w:t>
      </w:r>
      <w:r>
        <w:rPr>
          <w:rFonts w:hint="eastAsia" w:ascii="仿宋_GB2312" w:eastAsia="仿宋_GB2312"/>
          <w:sz w:val="28"/>
          <w:szCs w:val="28"/>
          <w:highlight w:val="none"/>
          <w:lang w:val="en-US" w:eastAsia="zh-CN"/>
        </w:rPr>
        <w:t>12月31日，</w:t>
      </w:r>
      <w:r>
        <w:rPr>
          <w:rFonts w:hint="eastAsia" w:ascii="仿宋_GB2312" w:eastAsia="仿宋_GB2312"/>
          <w:sz w:val="28"/>
          <w:szCs w:val="28"/>
          <w:highlight w:val="none"/>
          <w:lang w:eastAsia="zh-CN"/>
        </w:rPr>
        <w:t>共有</w:t>
      </w:r>
      <w:r>
        <w:rPr>
          <w:rFonts w:hint="eastAsia" w:ascii="仿宋_GB2312" w:eastAsia="仿宋_GB2312"/>
          <w:sz w:val="28"/>
          <w:szCs w:val="28"/>
          <w:highlight w:val="none"/>
        </w:rPr>
        <w:t>车辆</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万元；单位价值100万元</w:t>
      </w:r>
      <w:r>
        <w:rPr>
          <w:rFonts w:hint="eastAsia" w:ascii="仿宋_GB2312" w:eastAsia="仿宋_GB2312"/>
          <w:sz w:val="28"/>
          <w:szCs w:val="28"/>
          <w:highlight w:val="none"/>
          <w:lang w:eastAsia="zh-CN"/>
        </w:rPr>
        <w:t>（含）</w:t>
      </w:r>
      <w:r>
        <w:rPr>
          <w:rFonts w:hint="eastAsia" w:ascii="仿宋_GB2312" w:eastAsia="仿宋_GB2312"/>
          <w:sz w:val="28"/>
          <w:szCs w:val="28"/>
          <w:highlight w:val="none"/>
        </w:rPr>
        <w:t>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台（套）</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w:t>
      </w:r>
    </w:p>
    <w:p>
      <w:pPr>
        <w:ind w:firstLine="537" w:firstLineChars="192"/>
        <w:rPr>
          <w:rFonts w:ascii="黑体" w:eastAsia="黑体"/>
          <w:sz w:val="28"/>
          <w:szCs w:val="28"/>
          <w:highlight w:val="none"/>
        </w:rPr>
      </w:pPr>
      <w:r>
        <w:rPr>
          <w:rFonts w:hint="eastAsia" w:ascii="黑体" w:eastAsia="黑体"/>
          <w:sz w:val="28"/>
          <w:szCs w:val="28"/>
          <w:highlight w:val="none"/>
        </w:rPr>
        <w:t>五</w:t>
      </w:r>
      <w:r>
        <w:rPr>
          <w:rFonts w:ascii="黑体" w:eastAsia="黑体"/>
          <w:sz w:val="28"/>
          <w:szCs w:val="28"/>
          <w:highlight w:val="none"/>
        </w:rPr>
        <w:t>、政府购买服务</w:t>
      </w:r>
      <w:r>
        <w:rPr>
          <w:rFonts w:hint="eastAsia" w:ascii="黑体" w:eastAsia="黑体"/>
          <w:sz w:val="28"/>
          <w:szCs w:val="28"/>
          <w:highlight w:val="none"/>
        </w:rPr>
        <w:t>支出</w:t>
      </w:r>
      <w:r>
        <w:rPr>
          <w:rFonts w:ascii="黑体" w:eastAsia="黑体"/>
          <w:sz w:val="28"/>
          <w:szCs w:val="28"/>
          <w:highlight w:val="none"/>
        </w:rPr>
        <w:t>说明</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lang w:eastAsia="zh-CN"/>
        </w:rPr>
        <w:t>不属于政府购买服务购买主体。</w:t>
      </w:r>
    </w:p>
    <w:p>
      <w:pPr>
        <w:ind w:firstLine="560" w:firstLineChars="200"/>
        <w:jc w:val="left"/>
        <w:rPr>
          <w:rFonts w:hint="eastAsia" w:ascii="仿宋_GB2312" w:eastAsia="仿宋_GB2312"/>
          <w:color w:val="000000"/>
          <w:sz w:val="32"/>
          <w:szCs w:val="32"/>
          <w:highlight w:val="none"/>
        </w:rPr>
      </w:pPr>
      <w:r>
        <w:rPr>
          <w:rFonts w:hint="eastAsia" w:ascii="黑体" w:eastAsia="黑体"/>
          <w:sz w:val="28"/>
          <w:szCs w:val="28"/>
          <w:highlight w:val="none"/>
        </w:rPr>
        <w:t>六、</w:t>
      </w:r>
      <w:r>
        <w:rPr>
          <w:rFonts w:ascii="黑体" w:eastAsia="黑体"/>
          <w:sz w:val="28"/>
          <w:szCs w:val="28"/>
          <w:highlight w:val="none"/>
        </w:rPr>
        <w:t>专业名词解释</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1.基本支出：指为保障机构正常运转、完成日常工作任务而发生的人员支出和公用支出。</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2.项目支出：指在基本支出之外为完成特定行政任务或事业发展目标所发生的支出。</w:t>
      </w:r>
    </w:p>
    <w:p>
      <w:pPr>
        <w:ind w:firstLine="560" w:firstLineChars="200"/>
        <w:rPr>
          <w:rFonts w:hint="eastAsia" w:ascii="仿宋_GB2312" w:hAnsi="宋体" w:eastAsia="仿宋_GB2312"/>
          <w:sz w:val="28"/>
          <w:szCs w:val="28"/>
          <w:highlight w:val="none"/>
        </w:rPr>
      </w:pPr>
      <w:r>
        <w:rPr>
          <w:rFonts w:hint="eastAsia" w:ascii="仿宋_GB2312" w:eastAsia="仿宋_GB2312"/>
          <w:sz w:val="28"/>
          <w:szCs w:val="28"/>
          <w:highlight w:val="none"/>
        </w:rPr>
        <w:t>3.“三公”经费：</w:t>
      </w:r>
      <w:r>
        <w:rPr>
          <w:rFonts w:hint="eastAsia" w:ascii="仿宋_GB2312" w:hAnsi="宋体" w:eastAsia="仿宋_GB2312"/>
          <w:sz w:val="28"/>
          <w:szCs w:val="28"/>
          <w:highlight w:val="none"/>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highlight w:val="none"/>
        </w:rPr>
      </w:pPr>
      <w:r>
        <w:rPr>
          <w:rFonts w:hint="eastAsia" w:ascii="仿宋_GB2312" w:eastAsia="仿宋_GB2312"/>
          <w:sz w:val="28"/>
          <w:szCs w:val="28"/>
          <w:highlight w:val="none"/>
        </w:rPr>
        <w:t>4</w:t>
      </w:r>
      <w:r>
        <w:rPr>
          <w:rFonts w:ascii="仿宋_GB2312" w:eastAsia="仿宋_GB2312"/>
          <w:sz w:val="28"/>
          <w:szCs w:val="28"/>
          <w:highlight w:val="none"/>
        </w:rPr>
        <w:t>.</w:t>
      </w:r>
      <w:r>
        <w:rPr>
          <w:rFonts w:hint="eastAsia" w:ascii="仿宋_GB2312" w:eastAsia="仿宋_GB2312"/>
          <w:sz w:val="28"/>
          <w:szCs w:val="28"/>
          <w:highlight w:val="none"/>
        </w:rPr>
        <w:t>机关运行经费：</w:t>
      </w:r>
      <w:r>
        <w:rPr>
          <w:rFonts w:hint="eastAsia" w:ascii="仿宋_GB2312" w:hAnsi="宋体" w:eastAsia="仿宋_GB2312"/>
          <w:sz w:val="28"/>
          <w:szCs w:val="28"/>
          <w:highlight w:val="none"/>
        </w:rPr>
        <w:t>指为</w:t>
      </w:r>
      <w:r>
        <w:rPr>
          <w:rFonts w:ascii="仿宋_GB2312" w:hAnsi="宋体" w:eastAsia="仿宋_GB2312"/>
          <w:sz w:val="28"/>
          <w:szCs w:val="28"/>
          <w:highlight w:val="none"/>
        </w:rPr>
        <w:t>保障</w:t>
      </w:r>
      <w:r>
        <w:rPr>
          <w:rFonts w:hint="eastAsia" w:ascii="仿宋_GB2312" w:hAnsi="宋体" w:eastAsia="仿宋_GB2312"/>
          <w:sz w:val="28"/>
          <w:szCs w:val="28"/>
          <w:highlight w:val="none"/>
        </w:rPr>
        <w:t>行政单位（含参照公务员法管理事业单位）运行用于</w:t>
      </w:r>
      <w:r>
        <w:rPr>
          <w:rFonts w:ascii="仿宋_GB2312" w:hAnsi="宋体" w:eastAsia="仿宋_GB2312"/>
          <w:sz w:val="28"/>
          <w:szCs w:val="28"/>
          <w:highlight w:val="none"/>
        </w:rPr>
        <w:t>购买货物和服务的各项资金</w:t>
      </w:r>
      <w:r>
        <w:rPr>
          <w:rFonts w:hint="eastAsia" w:ascii="仿宋_GB2312" w:hAnsi="宋体" w:eastAsia="仿宋_GB2312"/>
          <w:sz w:val="28"/>
          <w:szCs w:val="28"/>
          <w:highlight w:val="none"/>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5</w:t>
      </w:r>
      <w:r>
        <w:rPr>
          <w:rFonts w:ascii="仿宋_GB2312" w:eastAsia="仿宋_GB2312"/>
          <w:sz w:val="28"/>
          <w:szCs w:val="28"/>
          <w:highlight w:val="none"/>
        </w:rPr>
        <w:t>.</w:t>
      </w:r>
      <w:r>
        <w:rPr>
          <w:rFonts w:hint="eastAsia" w:ascii="仿宋_GB2312" w:eastAsia="仿宋_GB2312"/>
          <w:sz w:val="28"/>
          <w:szCs w:val="28"/>
          <w:highlight w:val="none"/>
        </w:rPr>
        <w:t>政府采购</w:t>
      </w:r>
      <w:r>
        <w:rPr>
          <w:rFonts w:ascii="仿宋_GB2312" w:eastAsia="仿宋_GB2312"/>
          <w:sz w:val="28"/>
          <w:szCs w:val="28"/>
          <w:highlight w:val="none"/>
        </w:rPr>
        <w:t>：</w:t>
      </w:r>
      <w:r>
        <w:rPr>
          <w:rFonts w:hint="eastAsia" w:ascii="仿宋_GB2312" w:eastAsia="仿宋_GB2312"/>
          <w:sz w:val="28"/>
          <w:szCs w:val="28"/>
          <w:highlight w:val="none"/>
        </w:rPr>
        <w:t>指</w:t>
      </w:r>
      <w:r>
        <w:rPr>
          <w:rFonts w:ascii="仿宋_GB2312" w:eastAsia="仿宋_GB2312"/>
          <w:sz w:val="28"/>
          <w:szCs w:val="28"/>
          <w:highlight w:val="none"/>
        </w:rPr>
        <w:t>各级国家机关、事业单位和团体组织，使用</w:t>
      </w:r>
      <w:r>
        <w:rPr>
          <w:rFonts w:hint="eastAsia" w:ascii="仿宋_GB2312" w:eastAsia="仿宋_GB2312"/>
          <w:sz w:val="28"/>
          <w:szCs w:val="28"/>
          <w:highlight w:val="none"/>
        </w:rPr>
        <w:t>财政性</w:t>
      </w:r>
      <w:r>
        <w:rPr>
          <w:rFonts w:ascii="仿宋_GB2312" w:eastAsia="仿宋_GB2312"/>
          <w:sz w:val="28"/>
          <w:szCs w:val="28"/>
          <w:highlight w:val="none"/>
        </w:rPr>
        <w:t>资金采购依法制定的集中目录以内的或者采购限额标准以上的货物、工程和服务的行为</w:t>
      </w:r>
      <w:r>
        <w:rPr>
          <w:rFonts w:hint="eastAsia" w:ascii="仿宋_GB2312" w:eastAsia="仿宋_GB2312"/>
          <w:sz w:val="28"/>
          <w:szCs w:val="28"/>
          <w:highlight w:val="none"/>
        </w:rPr>
        <w:t>，</w:t>
      </w:r>
      <w:r>
        <w:rPr>
          <w:rFonts w:ascii="仿宋_GB2312" w:eastAsia="仿宋_GB2312"/>
          <w:sz w:val="28"/>
          <w:szCs w:val="28"/>
          <w:highlight w:val="none"/>
        </w:rPr>
        <w:t>是规范财政支出管理和强化预算约束的有效措施。</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6</w:t>
      </w:r>
      <w:r>
        <w:rPr>
          <w:rFonts w:ascii="仿宋_GB2312" w:eastAsia="仿宋_GB2312"/>
          <w:sz w:val="28"/>
          <w:szCs w:val="28"/>
          <w:highlight w:val="none"/>
        </w:rPr>
        <w:t>.政府购买服务：</w:t>
      </w:r>
      <w:r>
        <w:rPr>
          <w:rFonts w:hint="eastAsia" w:ascii="仿宋_GB2312" w:eastAsia="仿宋_GB2312"/>
          <w:sz w:val="28"/>
          <w:szCs w:val="28"/>
          <w:highlight w:val="none"/>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highlight w:val="none"/>
        </w:rPr>
      </w:pPr>
      <w:r>
        <w:rPr>
          <w:rFonts w:hint="eastAsia" w:ascii="仿宋_GB2312" w:eastAsia="仿宋_GB2312"/>
          <w:sz w:val="28"/>
          <w:szCs w:val="28"/>
          <w:highlight w:val="none"/>
        </w:rPr>
        <w:t>7.教育支出（类）职业教育（款）中等职业教育（项）：反映各部门(不含人力资源社会保障部门) 举办的中等职业教育支出。政府各部门对社会组织等举办的中等职业学校的资助，如捐赠、补贴等，也在本科目中反映。</w:t>
      </w:r>
    </w:p>
    <w:p>
      <w:pPr>
        <w:pStyle w:val="3"/>
        <w:rPr>
          <w:rFonts w:hint="eastAsia"/>
          <w:highlight w:val="none"/>
        </w:rPr>
      </w:pPr>
    </w:p>
    <w:p>
      <w:pPr>
        <w:numPr>
          <w:ilvl w:val="0"/>
          <w:numId w:val="0"/>
        </w:numPr>
        <w:rPr>
          <w:rFonts w:hint="eastAsia" w:ascii="仿宋_GB2312" w:eastAsia="仿宋_GB2312"/>
          <w:sz w:val="28"/>
          <w:szCs w:val="28"/>
          <w:highlight w:val="none"/>
          <w:lang w:val="en-US" w:eastAsia="zh-CN"/>
        </w:rPr>
      </w:pPr>
    </w:p>
    <w:p>
      <w:pPr>
        <w:ind w:firstLine="632" w:firstLineChars="200"/>
        <w:rPr>
          <w:rFonts w:hint="eastAsia" w:ascii="仿宋_GB2312" w:hAnsi="Times New Roman" w:eastAsia="仿宋_GB2312" w:cs="Times New Roman"/>
          <w:b/>
          <w:color w:val="000000"/>
          <w:spacing w:val="-2"/>
          <w:sz w:val="32"/>
          <w:szCs w:val="32"/>
          <w:highlight w:val="none"/>
        </w:rPr>
      </w:pPr>
    </w:p>
    <w:p>
      <w:pPr>
        <w:ind w:firstLine="640" w:firstLineChars="200"/>
        <w:jc w:val="center"/>
        <w:rPr>
          <w:rFonts w:ascii="黑体" w:eastAsia="黑体"/>
          <w:sz w:val="32"/>
          <w:szCs w:val="32"/>
          <w:highlight w:val="none"/>
        </w:rPr>
      </w:pPr>
    </w:p>
    <w:p>
      <w:pPr>
        <w:pStyle w:val="2"/>
        <w:rPr>
          <w:rFonts w:ascii="黑体" w:eastAsia="黑体"/>
          <w:sz w:val="32"/>
          <w:szCs w:val="32"/>
          <w:highlight w:val="none"/>
        </w:rPr>
      </w:pPr>
    </w:p>
    <w:p>
      <w:pPr>
        <w:rPr>
          <w:highlight w:val="none"/>
        </w:rPr>
      </w:pPr>
    </w:p>
    <w:p>
      <w:pPr>
        <w:ind w:firstLine="640" w:firstLineChars="200"/>
        <w:jc w:val="center"/>
        <w:rPr>
          <w:rFonts w:hint="eastAsia" w:ascii="黑体" w:eastAsia="黑体"/>
          <w:sz w:val="32"/>
          <w:szCs w:val="32"/>
          <w:highlight w:val="none"/>
        </w:rPr>
      </w:pPr>
    </w:p>
    <w:p>
      <w:pPr>
        <w:ind w:firstLine="640" w:firstLineChars="200"/>
        <w:jc w:val="center"/>
        <w:rPr>
          <w:rFonts w:hint="eastAsia" w:ascii="黑体" w:eastAsia="黑体"/>
          <w:sz w:val="32"/>
          <w:szCs w:val="32"/>
          <w:highlight w:val="none"/>
        </w:rPr>
      </w:pPr>
      <w:r>
        <w:rPr>
          <w:rFonts w:hint="eastAsia" w:ascii="黑体" w:eastAsia="黑体"/>
          <w:sz w:val="32"/>
          <w:szCs w:val="32"/>
          <w:highlight w:val="none"/>
        </w:rPr>
        <w:t>第四部分  202</w:t>
      </w:r>
      <w:r>
        <w:rPr>
          <w:rFonts w:hint="eastAsia" w:ascii="黑体" w:eastAsia="黑体"/>
          <w:sz w:val="32"/>
          <w:szCs w:val="32"/>
          <w:highlight w:val="none"/>
          <w:lang w:val="en-US" w:eastAsia="zh-CN"/>
        </w:rPr>
        <w:t>3</w:t>
      </w:r>
      <w:r>
        <w:rPr>
          <w:rFonts w:hint="eastAsia" w:ascii="黑体" w:eastAsia="黑体"/>
          <w:sz w:val="32"/>
          <w:szCs w:val="32"/>
          <w:highlight w:val="none"/>
        </w:rPr>
        <w:t>年度部门绩效评价情况</w:t>
      </w:r>
    </w:p>
    <w:p>
      <w:pPr>
        <w:ind w:firstLine="560" w:firstLineChars="200"/>
        <w:rPr>
          <w:rFonts w:hint="eastAsia" w:ascii="黑体" w:eastAsia="黑体"/>
          <w:sz w:val="28"/>
          <w:szCs w:val="28"/>
          <w:highlight w:val="none"/>
        </w:rPr>
      </w:pPr>
    </w:p>
    <w:p>
      <w:pPr>
        <w:spacing w:line="480" w:lineRule="exact"/>
        <w:ind w:firstLine="560"/>
        <w:rPr>
          <w:rFonts w:hint="eastAsia" w:ascii="黑体" w:eastAsia="仿宋_GB2312"/>
          <w:sz w:val="28"/>
          <w:szCs w:val="28"/>
          <w:highlight w:val="none"/>
          <w:lang w:eastAsia="zh-CN"/>
        </w:rPr>
      </w:pPr>
      <w:r>
        <w:rPr>
          <w:rFonts w:hint="eastAsia" w:ascii="仿宋_GB2312" w:eastAsia="仿宋_GB2312"/>
          <w:sz w:val="28"/>
          <w:szCs w:val="28"/>
          <w:highlight w:val="none"/>
        </w:rPr>
        <w:t>项目支出绩效自评表详见附件</w:t>
      </w:r>
      <w:r>
        <w:rPr>
          <w:rFonts w:hint="eastAsia" w:ascii="仿宋_GB2312" w:eastAsia="仿宋_GB2312"/>
          <w:sz w:val="28"/>
          <w:szCs w:val="28"/>
          <w:highlight w:val="none"/>
          <w:lang w:eastAsia="zh-CN"/>
        </w:rPr>
        <w:t>。</w:t>
      </w:r>
    </w:p>
    <w:p>
      <w:pPr>
        <w:pStyle w:val="2"/>
        <w:ind w:firstLine="560"/>
        <w:rPr>
          <w:rFonts w:hint="eastAsia"/>
          <w:highlight w:val="none"/>
        </w:rPr>
      </w:pPr>
    </w:p>
    <w:p>
      <w:pPr>
        <w:rPr>
          <w:rFonts w:hint="eastAsia"/>
          <w:highlight w:val="none"/>
        </w:rPr>
      </w:pPr>
    </w:p>
    <w:p>
      <w:pPr>
        <w:pStyle w:val="2"/>
        <w:rPr>
          <w:rFonts w:hint="eastAsia"/>
          <w:highlight w:val="none"/>
        </w:rPr>
      </w:pPr>
    </w:p>
    <w:p>
      <w:pPr>
        <w:rPr>
          <w:rFonts w:hint="eastAsia"/>
          <w:highlight w:val="none"/>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5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YWIxZjYwODIwYzQwZDY0OWQ0ZjJlOTRhNWJjMz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5A55472"/>
    <w:rsid w:val="079004AC"/>
    <w:rsid w:val="0BEE5F55"/>
    <w:rsid w:val="0C382243"/>
    <w:rsid w:val="0DD36217"/>
    <w:rsid w:val="0F8E2C57"/>
    <w:rsid w:val="1059665E"/>
    <w:rsid w:val="10AC13BA"/>
    <w:rsid w:val="11B918C3"/>
    <w:rsid w:val="164110C6"/>
    <w:rsid w:val="17264DEB"/>
    <w:rsid w:val="1AEC0734"/>
    <w:rsid w:val="1DEF20B0"/>
    <w:rsid w:val="214243FA"/>
    <w:rsid w:val="21463165"/>
    <w:rsid w:val="257A14F5"/>
    <w:rsid w:val="25F46BA6"/>
    <w:rsid w:val="27196C26"/>
    <w:rsid w:val="29EF086F"/>
    <w:rsid w:val="2EFB73C3"/>
    <w:rsid w:val="2EFFE297"/>
    <w:rsid w:val="301437CA"/>
    <w:rsid w:val="3F725B37"/>
    <w:rsid w:val="433E495C"/>
    <w:rsid w:val="4AC27CB3"/>
    <w:rsid w:val="4BF72BEF"/>
    <w:rsid w:val="51DB3C59"/>
    <w:rsid w:val="5250630B"/>
    <w:rsid w:val="55762E42"/>
    <w:rsid w:val="57A7B272"/>
    <w:rsid w:val="58470068"/>
    <w:rsid w:val="5A1720F9"/>
    <w:rsid w:val="5B9C37C2"/>
    <w:rsid w:val="5BA7C654"/>
    <w:rsid w:val="61493688"/>
    <w:rsid w:val="63005D8B"/>
    <w:rsid w:val="64C0607C"/>
    <w:rsid w:val="676F09E1"/>
    <w:rsid w:val="71D7229D"/>
    <w:rsid w:val="7A0F37EA"/>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oleObject" Target="file:///C:\Users\tiand\Desktop\&#20915;&#31639;&#20844;&#24320;&#65288;&#31454;&#25216;&#20307;&#26657;&#65289;\&#24213;&#31295;.xlsx" TargetMode="External"/></Relationships>
</file>

<file path=word/charts/_rels/chart2.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a:defRPr lang="zh-CN" sz="1400" b="0" i="0" u="none" strike="noStrike" kern="1200" spc="0" baseline="0">
                <a:solidFill>
                  <a:schemeClr val="tx1"/>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spPr>
            <a:solidFill>
              <a:schemeClr val="accent1"/>
            </a:solidFill>
            <a:ln w="12700">
              <a:noFill/>
            </a:ln>
            <a:effectLst/>
            <a:sp3d contourW="12700"/>
          </c:spPr>
          <c:explosion val="3"/>
          <c:dPt>
            <c:idx val="0"/>
            <c:bubble3D val="0"/>
            <c:spPr>
              <a:solidFill>
                <a:schemeClr val="accent1"/>
              </a:solidFill>
              <a:ln w="12700">
                <a:noFill/>
              </a:ln>
              <a:effectLst/>
              <a:sp3d contourW="12700"/>
            </c:spPr>
          </c:dPt>
          <c:dPt>
            <c:idx val="1"/>
            <c:bubble3D val="0"/>
            <c:spPr>
              <a:solidFill>
                <a:schemeClr val="accent2"/>
              </a:solidFill>
              <a:ln w="12700">
                <a:noFill/>
              </a:ln>
              <a:effectLst/>
              <a:sp3d contourW="12700"/>
            </c:spPr>
          </c:dPt>
          <c:dPt>
            <c:idx val="2"/>
            <c:bubble3D val="0"/>
            <c:spPr>
              <a:solidFill>
                <a:schemeClr val="accent3"/>
              </a:solidFill>
              <a:ln w="12700">
                <a:noFill/>
              </a:ln>
              <a:effectLst/>
              <a:sp3d contourW="12700"/>
            </c:spPr>
          </c:dPt>
          <c:dLbls>
            <c:dLbl>
              <c:idx val="0"/>
              <c:layout/>
              <c:tx>
                <c:rich>
                  <a:bodyPr rot="0" spcFirstLastPara="0" vertOverflow="ellipsis" vert="horz" wrap="square" lIns="38100" tIns="19050" rIns="38100" bIns="19050" anchor="ctr" anchorCtr="1" forceAA="0"/>
                  <a:lstStyle/>
                  <a:p>
                    <a:pPr defTabSz="914400">
                      <a:defRPr lang="zh-CN" sz="900" b="0" i="0" u="none" strike="noStrike" kern="1200" baseline="0">
                        <a:solidFill>
                          <a:schemeClr val="tx1">
                            <a:lumMod val="50000"/>
                            <a:lumOff val="50000"/>
                          </a:schemeClr>
                        </a:solidFill>
                        <a:latin typeface="+mn-lt"/>
                        <a:ea typeface="+mn-ea"/>
                        <a:cs typeface="+mn-cs"/>
                      </a:defRPr>
                    </a:pPr>
                    <a:r>
                      <a:t>57</a:t>
                    </a:r>
                    <a:r>
                      <a:rPr lang="en-US" altLang="zh-CN"/>
                      <a:t>.36</a:t>
                    </a:r>
                    <a:r>
                      <a:t>%</a:t>
                    </a:r>
                  </a:p>
                </c:rich>
              </c:tx>
              <c:numFmt formatCode="General" sourceLinked="1"/>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chemeClr val="tx1">
                          <a:lumMod val="50000"/>
                          <a:lumOff val="50000"/>
                        </a:schemeClr>
                      </a:solidFill>
                      <a:latin typeface="+mn-lt"/>
                      <a:ea typeface="+mn-ea"/>
                      <a:cs typeface="+mn-cs"/>
                    </a:defRPr>
                  </a:pPr>
                </a:p>
              </c:txPr>
              <c:dLblPos val="outEnd"/>
              <c:showLegendKey val="1"/>
              <c:showVal val="0"/>
              <c:showCatName val="0"/>
              <c:showSerName val="0"/>
              <c:showPercent val="1"/>
              <c:showBubbleSize val="0"/>
              <c:separator>
</c:separator>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forceAA="0"/>
                  <a:lstStyle/>
                  <a:p>
                    <a:pPr defTabSz="914400">
                      <a:defRPr lang="zh-CN" sz="900" b="0" i="0" u="none" strike="noStrike" kern="1200" baseline="0">
                        <a:solidFill>
                          <a:schemeClr val="tx1">
                            <a:lumMod val="50000"/>
                            <a:lumOff val="50000"/>
                          </a:schemeClr>
                        </a:solidFill>
                        <a:latin typeface="+mn-lt"/>
                        <a:ea typeface="+mn-ea"/>
                        <a:cs typeface="+mn-cs"/>
                      </a:defRPr>
                    </a:pPr>
                    <a:r>
                      <a:t>4</a:t>
                    </a:r>
                    <a:r>
                      <a:rPr lang="en-US" altLang="zh-CN"/>
                      <a:t>2.62</a:t>
                    </a:r>
                    <a:r>
                      <a:t>%</a:t>
                    </a:r>
                  </a:p>
                </c:rich>
              </c:tx>
              <c:numFmt formatCode="General" sourceLinked="1"/>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chemeClr val="tx1">
                          <a:lumMod val="50000"/>
                          <a:lumOff val="50000"/>
                        </a:schemeClr>
                      </a:solidFill>
                      <a:latin typeface="+mn-lt"/>
                      <a:ea typeface="+mn-ea"/>
                      <a:cs typeface="+mn-cs"/>
                    </a:defRPr>
                  </a:pPr>
                </a:p>
              </c:txPr>
              <c:dLblPos val="outEnd"/>
              <c:showLegendKey val="1"/>
              <c:showVal val="0"/>
              <c:showCatName val="0"/>
              <c:showSerName val="0"/>
              <c:showPercent val="1"/>
              <c:showBubbleSize val="0"/>
              <c:separator>
</c:separator>
              <c:extLst>
                <c:ext xmlns:c15="http://schemas.microsoft.com/office/drawing/2012/chart" uri="{CE6537A1-D6FC-4f65-9D91-7224C49458BB}"/>
              </c:extLst>
            </c:dLbl>
            <c:dLbl>
              <c:idx val="2"/>
              <c:layout/>
              <c:tx>
                <c:rich>
                  <a:bodyPr rot="0" spcFirstLastPara="0" vertOverflow="ellipsis" vert="horz" wrap="square" lIns="38100" tIns="19050" rIns="38100" bIns="19050" anchor="ctr" anchorCtr="1" forceAA="0"/>
                  <a:lstStyle/>
                  <a:p>
                    <a:pPr defTabSz="914400">
                      <a:defRPr lang="zh-CN" sz="900" b="0" i="0" u="none" strike="noStrike" kern="1200" baseline="0">
                        <a:solidFill>
                          <a:schemeClr val="tx1">
                            <a:lumMod val="50000"/>
                            <a:lumOff val="50000"/>
                          </a:schemeClr>
                        </a:solidFill>
                        <a:latin typeface="+mn-lt"/>
                        <a:ea typeface="+mn-ea"/>
                        <a:cs typeface="+mn-cs"/>
                      </a:defRPr>
                    </a:pPr>
                    <a:r>
                      <a:t>0</a:t>
                    </a:r>
                    <a:r>
                      <a:rPr lang="en-US" altLang="zh-CN"/>
                      <a:t>.02</a:t>
                    </a:r>
                    <a:r>
                      <a:t>%</a:t>
                    </a:r>
                  </a:p>
                </c:rich>
              </c:tx>
              <c:numFmt formatCode="General" sourceLinked="1"/>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chemeClr val="tx1">
                          <a:lumMod val="50000"/>
                          <a:lumOff val="50000"/>
                        </a:schemeClr>
                      </a:solidFill>
                      <a:latin typeface="+mn-lt"/>
                      <a:ea typeface="+mn-ea"/>
                      <a:cs typeface="+mn-cs"/>
                    </a:defRPr>
                  </a:pPr>
                </a:p>
              </c:txPr>
              <c:dLblPos val="outEnd"/>
              <c:showLegendKey val="1"/>
              <c:showVal val="0"/>
              <c:showCatName val="0"/>
              <c:showSerName val="0"/>
              <c:showPercent val="1"/>
              <c:showBubbleSize val="0"/>
              <c:separator>
</c:separator>
              <c:extLst>
                <c:ext xmlns:c15="http://schemas.microsoft.com/office/drawing/2012/chart" uri="{CE6537A1-D6FC-4f65-9D91-7224C49458BB}"/>
              </c:extLst>
            </c:dLbl>
            <c:numFmt formatCode="General" sourceLinked="1"/>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chemeClr val="tx1">
                        <a:lumMod val="50000"/>
                        <a:lumOff val="50000"/>
                      </a:schemeClr>
                    </a:solidFill>
                    <a:latin typeface="+mn-lt"/>
                    <a:ea typeface="+mn-ea"/>
                    <a:cs typeface="+mn-cs"/>
                  </a:defRPr>
                </a:pPr>
              </a:p>
            </c:txPr>
            <c:dLblPos val="outEnd"/>
            <c:showLegendKey val="1"/>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[底稿.xlsx]Sheet1!$D$3:$D$5</c:f>
              <c:strCache>
                <c:ptCount val="3"/>
                <c:pt idx="0">
                  <c:v>财政拨款收入</c:v>
                </c:pt>
                <c:pt idx="1">
                  <c:v>事业收入</c:v>
                </c:pt>
                <c:pt idx="2">
                  <c:v>其他收入</c:v>
                </c:pt>
              </c:strCache>
            </c:strRef>
          </c:cat>
          <c:val>
            <c:numRef>
              <c:f>[底稿.xlsx]Sheet1!$E$3:$E$5</c:f>
              <c:numCache>
                <c:formatCode>General</c:formatCode>
                <c:ptCount val="3"/>
                <c:pt idx="0">
                  <c:v>81.11</c:v>
                </c:pt>
                <c:pt idx="1">
                  <c:v>60.28</c:v>
                </c:pt>
                <c:pt idx="2">
                  <c:v>0.03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a:defRPr lang="zh-CN" sz="1400" b="0" i="0" u="none" strike="noStrike" kern="1200" spc="0" baseline="0">
                <a:solidFill>
                  <a:schemeClr val="tx1"/>
                </a:solidFill>
                <a:latin typeface="+mn-lt"/>
                <a:ea typeface="+mn-ea"/>
                <a:cs typeface="+mn-cs"/>
              </a:defRPr>
            </a:pPr>
            <a:r>
              <a:t>支出决算</a:t>
            </a:r>
          </a:p>
        </c:rich>
      </c:tx>
      <c:layout>
        <c:manualLayout>
          <c:xMode val="edge"/>
          <c:yMode val="edge"/>
          <c:x val="0.430526315789474"/>
          <c:y val="0.0472222222222222"/>
        </c:manualLayout>
      </c:layout>
      <c:overlay val="0"/>
      <c:spPr>
        <a:noFill/>
        <a:ln>
          <a:noFill/>
        </a:ln>
        <a:effectLst/>
      </c:spPr>
    </c:title>
    <c:autoTitleDeleted val="0"/>
    <c:plotArea>
      <c:layout/>
      <c:pieChart>
        <c:varyColors val="1"/>
        <c:ser>
          <c:idx val="0"/>
          <c:order val="0"/>
          <c:spPr/>
          <c:explosion val="0"/>
          <c:dPt>
            <c:idx val="0"/>
            <c:bubble3D val="0"/>
            <c:spPr>
              <a:gradFill>
                <a:gsLst>
                  <a:gs pos="70000">
                    <a:schemeClr val="accent1"/>
                  </a:gs>
                  <a:gs pos="0">
                    <a:schemeClr val="accent1">
                      <a:lumMod val="60000"/>
                      <a:lumOff val="40000"/>
                    </a:schemeClr>
                  </a:gs>
                </a:gsLst>
                <a:lin ang="5400000"/>
              </a:gradFill>
              <a:ln w="19050">
                <a:solidFill>
                  <a:schemeClr val="lt1"/>
                </a:solidFill>
              </a:ln>
              <a:effectLst>
                <a:outerShdw blurRad="63500" sx="102000" sy="102000" algn="ctr" rotWithShape="0">
                  <a:prstClr val="black">
                    <a:alpha val="25000"/>
                  </a:prstClr>
                </a:outerShdw>
              </a:effectLst>
            </c:spPr>
          </c:dPt>
          <c:dPt>
            <c:idx val="1"/>
            <c:bubble3D val="0"/>
            <c:spPr>
              <a:gradFill>
                <a:gsLst>
                  <a:gs pos="70000">
                    <a:schemeClr val="accent2"/>
                  </a:gs>
                  <a:gs pos="0">
                    <a:schemeClr val="accent2">
                      <a:lumMod val="60000"/>
                      <a:lumOff val="40000"/>
                    </a:schemeClr>
                  </a:gs>
                </a:gsLst>
                <a:lin ang="5400000" scaled="0"/>
              </a:gradFill>
              <a:ln w="19050">
                <a:solidFill>
                  <a:schemeClr val="lt1"/>
                </a:solidFill>
              </a:ln>
              <a:effectLst>
                <a:outerShdw blurRad="63500" sx="102000" sy="102000" algn="ctr" rotWithShape="0">
                  <a:prstClr val="black">
                    <a:alpha val="25000"/>
                  </a:prstClr>
                </a:outerShdw>
              </a:effectLst>
            </c:spPr>
          </c:dPt>
          <c:dLbls>
            <c:dLbl>
              <c:idx val="0"/>
              <c:layout/>
              <c:tx>
                <c:rich>
                  <a:bodyPr rot="0" spcFirstLastPara="0" vertOverflow="ellipsis" vert="horz" wrap="square" lIns="38100" tIns="19050" rIns="38100" bIns="19050" anchor="ctr" anchorCtr="1" forceAA="0"/>
                  <a:lstStyle/>
                  <a:p>
                    <a:pPr defTabSz="914400">
                      <a:defRPr lang="zh-CN" sz="1100" b="0" i="0" u="none" strike="noStrike" kern="1200" baseline="0">
                        <a:solidFill>
                          <a:sysClr val="windowText" lastClr="000000"/>
                        </a:solidFill>
                        <a:latin typeface="+mn-lt"/>
                        <a:ea typeface="+mn-ea"/>
                        <a:cs typeface="+mn-cs"/>
                      </a:defRPr>
                    </a:pPr>
                    <a:r>
                      <a:rPr>
                        <a:solidFill>
                          <a:sysClr val="windowText" lastClr="000000"/>
                        </a:solidFill>
                      </a:rPr>
                      <a:t>83</a:t>
                    </a:r>
                    <a:r>
                      <a:rPr lang="en-US" altLang="zh-CN">
                        <a:solidFill>
                          <a:sysClr val="windowText" lastClr="000000"/>
                        </a:solidFill>
                      </a:rPr>
                      <a:t>.23</a:t>
                    </a:r>
                    <a:r>
                      <a:rPr>
                        <a:solidFill>
                          <a:sysClr val="windowText" lastClr="000000"/>
                        </a:solidFill>
                      </a:rPr>
                      <a:t>%</a:t>
                    </a:r>
                    <a:endParaRPr>
                      <a:solidFill>
                        <a:sysClr val="windowText" lastClr="000000"/>
                      </a:solidFill>
                    </a:endParaRPr>
                  </a:p>
                </c:rich>
              </c:tx>
              <c:dLblPos val="outEnd"/>
              <c:showLegendKey val="0"/>
              <c:showVal val="0"/>
              <c:showCatName val="0"/>
              <c:showSerName val="0"/>
              <c:showPercent val="1"/>
              <c:showBubbleSize val="0"/>
              <c:extLst>
                <c:ext xmlns:c15="http://schemas.microsoft.com/office/drawing/2012/chart" uri="{CE6537A1-D6FC-4f65-9D91-7224C49458BB}"/>
              </c:extLst>
            </c:dLbl>
            <c:dLbl>
              <c:idx val="1"/>
              <c:layout>
                <c:manualLayout>
                  <c:x val="0"/>
                  <c:y val="-0.00207860922146636"/>
                </c:manualLayout>
              </c:layout>
              <c:tx>
                <c:rich>
                  <a:bodyPr rot="0" spcFirstLastPara="0" vertOverflow="ellipsis" vert="horz" wrap="square" lIns="38100" tIns="19050" rIns="38100" bIns="19050" anchor="ctr" anchorCtr="1" forceAA="0"/>
                  <a:lstStyle/>
                  <a:p>
                    <a:pPr defTabSz="914400">
                      <a:defRPr lang="zh-CN" sz="1100" b="0" i="0" u="none" strike="noStrike" kern="1200" baseline="0">
                        <a:solidFill>
                          <a:sysClr val="windowText" lastClr="000000"/>
                        </a:solidFill>
                        <a:latin typeface="+mn-lt"/>
                        <a:ea typeface="+mn-ea"/>
                        <a:cs typeface="+mn-cs"/>
                      </a:defRPr>
                    </a:pPr>
                    <a:r>
                      <a:rPr>
                        <a:solidFill>
                          <a:sysClr val="windowText" lastClr="000000"/>
                        </a:solidFill>
                      </a:rPr>
                      <a:t>1</a:t>
                    </a:r>
                    <a:r>
                      <a:rPr lang="en-US" altLang="zh-CN">
                        <a:solidFill>
                          <a:sysClr val="windowText" lastClr="000000"/>
                        </a:solidFill>
                      </a:rPr>
                      <a:t>6.77</a:t>
                    </a:r>
                    <a:r>
                      <a:rPr>
                        <a:solidFill>
                          <a:sysClr val="windowText" lastClr="000000"/>
                        </a:solidFill>
                      </a:rPr>
                      <a:t>%</a:t>
                    </a:r>
                    <a:endParaRPr>
                      <a:solidFill>
                        <a:sysClr val="windowText" lastClr="000000"/>
                      </a:solidFill>
                    </a:endParaRPr>
                  </a:p>
                </c:rich>
              </c:tx>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General" sourceLinked="1"/>
            <c:spPr>
              <a:noFill/>
              <a:ln>
                <a:noFill/>
              </a:ln>
              <a:effectLst/>
            </c:spPr>
            <c:txPr>
              <a:bodyPr rot="0" spcFirstLastPara="0" vertOverflow="ellipsis" vert="horz" wrap="square" lIns="38100" tIns="19050" rIns="38100" bIns="19050" anchor="ctr" anchorCtr="1" forceAA="0"/>
              <a:lstStyle/>
              <a:p>
                <a:pPr>
                  <a:defRPr lang="zh-CN" sz="1100" b="0" i="0" u="none" strike="noStrike" kern="1200" baseline="0">
                    <a:solidFill>
                      <a:sysClr val="windowText" lastClr="000000"/>
                    </a:solidFill>
                    <a:latin typeface="+mn-lt"/>
                    <a:ea typeface="+mn-ea"/>
                    <a:cs typeface="+mn-cs"/>
                  </a:defRPr>
                </a:pPr>
              </a:p>
            </c:txPr>
            <c:dLblPos val="out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[工作簿1]Sheet2!$D$4:$D$5</c:f>
              <c:strCache>
                <c:ptCount val="2"/>
                <c:pt idx="0">
                  <c:v>基本支出</c:v>
                </c:pt>
                <c:pt idx="1">
                  <c:v>项目支出</c:v>
                </c:pt>
              </c:strCache>
            </c:strRef>
          </c:cat>
          <c:val>
            <c:numRef>
              <c:f>[工作簿1]Sheet2!$E$4:$E$5</c:f>
              <c:numCache>
                <c:formatCode>General</c:formatCode>
                <c:ptCount val="2"/>
                <c:pt idx="0">
                  <c:v>86.8</c:v>
                </c:pt>
                <c:pt idx="1">
                  <c:v>17.48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a:outerShdw blurRad="63500" dist="37357" dir="2700000" sx="0" sy="0" rotWithShape="0">
        <a:scrgbClr r="0" g="0" b="0"/>
      </a:outerShdw>
    </a:effectLst>
  </c:spPr>
  <c:txPr>
    <a:bodyPr/>
    <a:lstStyle/>
    <a:p>
      <a:pPr>
        <a:defRPr lang="zh-CN" sz="1100"/>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自定义 201">
    <a:dk1>
      <a:srgbClr val="000000"/>
    </a:dk1>
    <a:lt1>
      <a:srgbClr val="FFFFFF"/>
    </a:lt1>
    <a:dk2>
      <a:srgbClr val="0C0E1F"/>
    </a:dk2>
    <a:lt2>
      <a:srgbClr val="FEFFFF"/>
    </a:lt2>
    <a:accent1>
      <a:srgbClr val="646BFE"/>
    </a:accent1>
    <a:accent2>
      <a:srgbClr val="F64699"/>
    </a:accent2>
    <a:accent3>
      <a:srgbClr val="FFC619"/>
    </a:accent3>
    <a:accent4>
      <a:srgbClr val="16CC8A"/>
    </a:accent4>
    <a:accent5>
      <a:srgbClr val="3CAAF7"/>
    </a:accent5>
    <a:accent6>
      <a:srgbClr val="83D8FF"/>
    </a:accent6>
    <a:hlink>
      <a:srgbClr val="304FFE"/>
    </a:hlink>
    <a:folHlink>
      <a:srgbClr val="492067"/>
    </a:folHlink>
  </a:clrScheme>
  <a:fontScheme name="自定义 2">
    <a:majorFont>
      <a:latin typeface="微软雅黑"/>
      <a:ea typeface="微软雅黑"/>
      <a:cs typeface=""/>
    </a:majorFont>
    <a:minorFont>
      <a:latin typeface="微软雅黑"/>
      <a:ea typeface="微软雅黑"/>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自定义 94">
    <a:dk1>
      <a:srgbClr val="000000"/>
    </a:dk1>
    <a:lt1>
      <a:srgbClr val="FFFFFF"/>
    </a:lt1>
    <a:dk2>
      <a:srgbClr val="0C0E1F"/>
    </a:dk2>
    <a:lt2>
      <a:srgbClr val="FEFFFF"/>
    </a:lt2>
    <a:accent1>
      <a:srgbClr val="00B2CC"/>
    </a:accent1>
    <a:accent2>
      <a:srgbClr val="FCB040"/>
    </a:accent2>
    <a:accent3>
      <a:srgbClr val="BFD546"/>
    </a:accent3>
    <a:accent4>
      <a:srgbClr val="2E6480"/>
    </a:accent4>
    <a:accent5>
      <a:srgbClr val="FF7B00"/>
    </a:accent5>
    <a:accent6>
      <a:srgbClr val="BE1D2C"/>
    </a:accent6>
    <a:hlink>
      <a:srgbClr val="304FFE"/>
    </a:hlink>
    <a:folHlink>
      <a:srgbClr val="492067"/>
    </a:folHlink>
  </a:clrScheme>
  <a:fontScheme name="自定义 2">
    <a:majorFont>
      <a:latin typeface="微软雅黑"/>
      <a:ea typeface="微软雅黑"/>
      <a:cs typeface=""/>
    </a:majorFont>
    <a:minorFont>
      <a:latin typeface="微软雅黑"/>
      <a:ea typeface="微软雅黑"/>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Pages>12</Pages>
  <Words>2961</Words>
  <Characters>3380</Characters>
  <Lines>77</Lines>
  <Paragraphs>21</Paragraphs>
  <TotalTime>0</TotalTime>
  <ScaleCrop>false</ScaleCrop>
  <LinksUpToDate>false</LinksUpToDate>
  <CharactersWithSpaces>3399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dell</cp:lastModifiedBy>
  <cp:lastPrinted>2020-08-07T11:39:00Z</cp:lastPrinted>
  <dcterms:modified xsi:type="dcterms:W3CDTF">2024-08-19T01:31:39Z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C53E0049DD7D4F56A956C4A3BA3D12CC_13</vt:lpwstr>
  </property>
</Properties>
</file>