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480" w:type="dxa"/>
        <w:tblInd w:w="0" w:type="dxa"/>
        <w:tblLayout w:type="autofit"/>
        <w:tblCellMar>
          <w:top w:w="0" w:type="dxa"/>
          <w:left w:w="108" w:type="dxa"/>
          <w:bottom w:w="0" w:type="dxa"/>
          <w:right w:w="108" w:type="dxa"/>
        </w:tblCellMar>
      </w:tblPr>
      <w:tblGrid>
        <w:gridCol w:w="620"/>
        <w:gridCol w:w="920"/>
        <w:gridCol w:w="2180"/>
        <w:gridCol w:w="2040"/>
        <w:gridCol w:w="1800"/>
        <w:gridCol w:w="2120"/>
        <w:gridCol w:w="840"/>
        <w:gridCol w:w="1400"/>
        <w:gridCol w:w="1560"/>
      </w:tblGrid>
      <w:tr w14:paraId="271F4DEB">
        <w:tblPrEx>
          <w:tblCellMar>
            <w:top w:w="0" w:type="dxa"/>
            <w:left w:w="108" w:type="dxa"/>
            <w:bottom w:w="0" w:type="dxa"/>
            <w:right w:w="108" w:type="dxa"/>
          </w:tblCellMar>
        </w:tblPrEx>
        <w:trPr>
          <w:trHeight w:val="315" w:hRule="atLeast"/>
        </w:trPr>
        <w:tc>
          <w:tcPr>
            <w:tcW w:w="3720" w:type="dxa"/>
            <w:gridSpan w:val="3"/>
            <w:tcBorders>
              <w:top w:val="nil"/>
              <w:left w:val="nil"/>
              <w:bottom w:val="nil"/>
              <w:right w:val="nil"/>
            </w:tcBorders>
            <w:shd w:val="clear" w:color="auto" w:fill="auto"/>
            <w:noWrap/>
            <w:vAlign w:val="center"/>
          </w:tcPr>
          <w:p w14:paraId="043F6E16">
            <w:pPr>
              <w:widowControl/>
              <w:jc w:val="left"/>
              <w:rPr>
                <w:rFonts w:ascii="宋体" w:hAnsi="宋体" w:eastAsia="宋体" w:cs="宋体"/>
                <w:kern w:val="0"/>
                <w:sz w:val="24"/>
                <w:szCs w:val="24"/>
              </w:rPr>
            </w:pPr>
            <w:bookmarkStart w:id="1" w:name="_GoBack"/>
            <w:bookmarkEnd w:id="1"/>
          </w:p>
        </w:tc>
        <w:tc>
          <w:tcPr>
            <w:tcW w:w="2040" w:type="dxa"/>
            <w:tcBorders>
              <w:top w:val="nil"/>
              <w:left w:val="nil"/>
              <w:bottom w:val="nil"/>
              <w:right w:val="nil"/>
            </w:tcBorders>
            <w:shd w:val="clear" w:color="auto" w:fill="auto"/>
            <w:noWrap/>
            <w:vAlign w:val="center"/>
          </w:tcPr>
          <w:p w14:paraId="106F067B">
            <w:pPr>
              <w:widowControl/>
              <w:jc w:val="left"/>
              <w:rPr>
                <w:rFonts w:ascii="Times New Roman" w:hAnsi="Times New Roman" w:eastAsia="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0E5850E9">
            <w:pPr>
              <w:widowControl/>
              <w:jc w:val="left"/>
              <w:rPr>
                <w:rFonts w:ascii="Times New Roman" w:hAnsi="Times New Roman" w:eastAsia="Times New Roman" w:cs="Times New Roman"/>
                <w:kern w:val="0"/>
                <w:sz w:val="20"/>
                <w:szCs w:val="20"/>
              </w:rPr>
            </w:pPr>
          </w:p>
        </w:tc>
        <w:tc>
          <w:tcPr>
            <w:tcW w:w="2120" w:type="dxa"/>
            <w:tcBorders>
              <w:top w:val="nil"/>
              <w:left w:val="nil"/>
              <w:bottom w:val="nil"/>
              <w:right w:val="nil"/>
            </w:tcBorders>
            <w:shd w:val="clear" w:color="auto" w:fill="auto"/>
            <w:noWrap/>
            <w:vAlign w:val="center"/>
          </w:tcPr>
          <w:p w14:paraId="6D24C545">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36B0E4F9">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3B4CF681">
            <w:pPr>
              <w:widowControl/>
              <w:jc w:val="left"/>
              <w:rPr>
                <w:rFonts w:ascii="Times New Roman" w:hAnsi="Times New Roman" w:eastAsia="Times New Roman" w:cs="Times New Roman"/>
                <w:kern w:val="0"/>
                <w:sz w:val="20"/>
                <w:szCs w:val="20"/>
              </w:rPr>
            </w:pPr>
          </w:p>
        </w:tc>
        <w:tc>
          <w:tcPr>
            <w:tcW w:w="1560" w:type="dxa"/>
            <w:tcBorders>
              <w:top w:val="nil"/>
              <w:left w:val="nil"/>
              <w:bottom w:val="nil"/>
              <w:right w:val="nil"/>
            </w:tcBorders>
            <w:shd w:val="clear" w:color="auto" w:fill="auto"/>
            <w:noWrap/>
            <w:vAlign w:val="center"/>
          </w:tcPr>
          <w:p w14:paraId="129988BC">
            <w:pPr>
              <w:widowControl/>
              <w:jc w:val="left"/>
              <w:rPr>
                <w:rFonts w:ascii="Times New Roman" w:hAnsi="Times New Roman" w:eastAsia="Times New Roman" w:cs="Times New Roman"/>
                <w:kern w:val="0"/>
                <w:sz w:val="20"/>
                <w:szCs w:val="20"/>
              </w:rPr>
            </w:pPr>
          </w:p>
        </w:tc>
      </w:tr>
      <w:tr w14:paraId="62A9005E">
        <w:tblPrEx>
          <w:tblCellMar>
            <w:top w:w="0" w:type="dxa"/>
            <w:left w:w="108" w:type="dxa"/>
            <w:bottom w:w="0" w:type="dxa"/>
            <w:right w:w="108" w:type="dxa"/>
          </w:tblCellMar>
        </w:tblPrEx>
        <w:trPr>
          <w:trHeight w:val="490" w:hRule="atLeast"/>
        </w:trPr>
        <w:tc>
          <w:tcPr>
            <w:tcW w:w="13480" w:type="dxa"/>
            <w:gridSpan w:val="9"/>
            <w:tcBorders>
              <w:top w:val="nil"/>
              <w:left w:val="nil"/>
              <w:bottom w:val="nil"/>
              <w:right w:val="nil"/>
            </w:tcBorders>
            <w:shd w:val="clear" w:color="auto" w:fill="auto"/>
            <w:noWrap/>
            <w:vAlign w:val="center"/>
          </w:tcPr>
          <w:p w14:paraId="76FCFDFE">
            <w:pPr>
              <w:widowControl/>
              <w:jc w:val="center"/>
              <w:rPr>
                <w:rFonts w:ascii="方正小标宋简体" w:hAnsi="宋体" w:eastAsia="方正小标宋简体" w:cs="宋体"/>
                <w:color w:val="000000"/>
                <w:kern w:val="0"/>
                <w:sz w:val="36"/>
                <w:szCs w:val="36"/>
              </w:rPr>
            </w:pPr>
            <w:bookmarkStart w:id="0" w:name="RANGE!A2:I23"/>
            <w:r>
              <w:rPr>
                <w:rFonts w:hint="eastAsia" w:ascii="方正小标宋简体" w:hAnsi="宋体" w:eastAsia="方正小标宋简体" w:cs="宋体"/>
                <w:color w:val="000000"/>
                <w:kern w:val="0"/>
                <w:sz w:val="36"/>
                <w:szCs w:val="36"/>
              </w:rPr>
              <w:t>项目支出绩效自评表</w:t>
            </w:r>
            <w:bookmarkEnd w:id="0"/>
          </w:p>
        </w:tc>
      </w:tr>
      <w:tr w14:paraId="32066D7A">
        <w:tblPrEx>
          <w:tblCellMar>
            <w:top w:w="0" w:type="dxa"/>
            <w:left w:w="108" w:type="dxa"/>
            <w:bottom w:w="0" w:type="dxa"/>
            <w:right w:w="108" w:type="dxa"/>
          </w:tblCellMar>
        </w:tblPrEx>
        <w:trPr>
          <w:trHeight w:val="475" w:hRule="atLeast"/>
        </w:trPr>
        <w:tc>
          <w:tcPr>
            <w:tcW w:w="13480" w:type="dxa"/>
            <w:gridSpan w:val="9"/>
            <w:tcBorders>
              <w:top w:val="nil"/>
              <w:left w:val="nil"/>
              <w:bottom w:val="nil"/>
              <w:right w:val="nil"/>
            </w:tcBorders>
            <w:shd w:val="clear" w:color="auto" w:fill="auto"/>
            <w:noWrap/>
            <w:vAlign w:val="center"/>
          </w:tcPr>
          <w:p w14:paraId="0880032C">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614D65B6">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2A7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1940" w:type="dxa"/>
            <w:gridSpan w:val="7"/>
            <w:tcBorders>
              <w:top w:val="single" w:color="auto" w:sz="4" w:space="0"/>
              <w:left w:val="nil"/>
              <w:bottom w:val="single" w:color="auto" w:sz="4" w:space="0"/>
              <w:right w:val="single" w:color="auto" w:sz="4" w:space="0"/>
            </w:tcBorders>
            <w:shd w:val="clear" w:color="auto" w:fill="auto"/>
            <w:vAlign w:val="center"/>
          </w:tcPr>
          <w:p w14:paraId="6A01C77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双高建设-工业一体化安全实训基地</w:t>
            </w:r>
          </w:p>
        </w:tc>
      </w:tr>
      <w:tr w14:paraId="37C69ECF">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3D6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52802F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120" w:type="dxa"/>
            <w:tcBorders>
              <w:top w:val="nil"/>
              <w:left w:val="nil"/>
              <w:bottom w:val="single" w:color="auto" w:sz="4" w:space="0"/>
              <w:right w:val="single" w:color="auto" w:sz="4" w:space="0"/>
            </w:tcBorders>
            <w:shd w:val="clear" w:color="auto" w:fill="auto"/>
            <w:vAlign w:val="center"/>
          </w:tcPr>
          <w:p w14:paraId="1AAADC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14:paraId="27DBD6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3C9936FC">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C732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49E4A28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王巍</w:t>
            </w:r>
          </w:p>
        </w:tc>
        <w:tc>
          <w:tcPr>
            <w:tcW w:w="2120" w:type="dxa"/>
            <w:tcBorders>
              <w:top w:val="nil"/>
              <w:left w:val="nil"/>
              <w:bottom w:val="single" w:color="auto" w:sz="4" w:space="0"/>
              <w:right w:val="single" w:color="auto" w:sz="4" w:space="0"/>
            </w:tcBorders>
            <w:shd w:val="clear" w:color="auto" w:fill="auto"/>
            <w:vAlign w:val="center"/>
          </w:tcPr>
          <w:p w14:paraId="633B24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14:paraId="6F05624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010-61801780</w:t>
            </w:r>
          </w:p>
        </w:tc>
      </w:tr>
      <w:tr w14:paraId="76F6AA84">
        <w:tblPrEx>
          <w:tblCellMar>
            <w:top w:w="0" w:type="dxa"/>
            <w:left w:w="108" w:type="dxa"/>
            <w:bottom w:w="0" w:type="dxa"/>
            <w:right w:w="108" w:type="dxa"/>
          </w:tblCellMar>
        </w:tblPrEx>
        <w:trPr>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DF23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7769BF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40" w:type="dxa"/>
            <w:tcBorders>
              <w:top w:val="nil"/>
              <w:left w:val="single" w:color="auto" w:sz="4" w:space="0"/>
              <w:bottom w:val="single" w:color="auto" w:sz="4" w:space="0"/>
              <w:right w:val="single" w:color="auto" w:sz="4" w:space="0"/>
            </w:tcBorders>
            <w:shd w:val="clear" w:color="auto" w:fill="auto"/>
            <w:vAlign w:val="center"/>
          </w:tcPr>
          <w:p w14:paraId="2EE48F2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0" w:type="dxa"/>
            <w:tcBorders>
              <w:top w:val="nil"/>
              <w:left w:val="nil"/>
              <w:bottom w:val="single" w:color="auto" w:sz="4" w:space="0"/>
              <w:right w:val="single" w:color="auto" w:sz="4" w:space="0"/>
            </w:tcBorders>
            <w:shd w:val="clear" w:color="auto" w:fill="auto"/>
            <w:vAlign w:val="center"/>
          </w:tcPr>
          <w:p w14:paraId="1154BC8A">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120" w:type="dxa"/>
            <w:tcBorders>
              <w:top w:val="nil"/>
              <w:left w:val="nil"/>
              <w:bottom w:val="single" w:color="auto" w:sz="4" w:space="0"/>
              <w:right w:val="single" w:color="auto" w:sz="4" w:space="0"/>
            </w:tcBorders>
            <w:shd w:val="clear" w:color="auto" w:fill="auto"/>
            <w:vAlign w:val="center"/>
          </w:tcPr>
          <w:p w14:paraId="7AD1A6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57F877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71FE64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560" w:type="dxa"/>
            <w:tcBorders>
              <w:top w:val="nil"/>
              <w:left w:val="nil"/>
              <w:bottom w:val="single" w:color="auto" w:sz="4" w:space="0"/>
              <w:right w:val="single" w:color="auto" w:sz="4" w:space="0"/>
            </w:tcBorders>
            <w:shd w:val="clear" w:color="auto" w:fill="auto"/>
            <w:vAlign w:val="center"/>
          </w:tcPr>
          <w:p w14:paraId="475DDD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1258571C">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6FF885E2">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2C3519BA">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040" w:type="dxa"/>
            <w:tcBorders>
              <w:top w:val="nil"/>
              <w:left w:val="single" w:color="auto" w:sz="4" w:space="0"/>
              <w:bottom w:val="single" w:color="auto" w:sz="4" w:space="0"/>
              <w:right w:val="single" w:color="auto" w:sz="4" w:space="0"/>
            </w:tcBorders>
            <w:shd w:val="clear" w:color="auto" w:fill="auto"/>
            <w:vAlign w:val="center"/>
          </w:tcPr>
          <w:p w14:paraId="0C28BA5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77.005000 </w:t>
            </w:r>
          </w:p>
        </w:tc>
        <w:tc>
          <w:tcPr>
            <w:tcW w:w="1800" w:type="dxa"/>
            <w:tcBorders>
              <w:top w:val="nil"/>
              <w:left w:val="nil"/>
              <w:bottom w:val="single" w:color="auto" w:sz="4" w:space="0"/>
              <w:right w:val="single" w:color="auto" w:sz="4" w:space="0"/>
            </w:tcBorders>
            <w:shd w:val="clear" w:color="auto" w:fill="auto"/>
            <w:vAlign w:val="center"/>
          </w:tcPr>
          <w:p w14:paraId="1181067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77.005000 </w:t>
            </w:r>
          </w:p>
        </w:tc>
        <w:tc>
          <w:tcPr>
            <w:tcW w:w="2120" w:type="dxa"/>
            <w:tcBorders>
              <w:top w:val="nil"/>
              <w:left w:val="nil"/>
              <w:bottom w:val="single" w:color="auto" w:sz="4" w:space="0"/>
              <w:right w:val="single" w:color="auto" w:sz="4" w:space="0"/>
            </w:tcBorders>
            <w:shd w:val="clear" w:color="auto" w:fill="auto"/>
            <w:vAlign w:val="center"/>
          </w:tcPr>
          <w:p w14:paraId="1DE2479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76.805000 </w:t>
            </w:r>
          </w:p>
        </w:tc>
        <w:tc>
          <w:tcPr>
            <w:tcW w:w="840" w:type="dxa"/>
            <w:tcBorders>
              <w:top w:val="nil"/>
              <w:left w:val="nil"/>
              <w:bottom w:val="single" w:color="auto" w:sz="4" w:space="0"/>
              <w:right w:val="single" w:color="auto" w:sz="4" w:space="0"/>
            </w:tcBorders>
            <w:shd w:val="clear" w:color="auto" w:fill="auto"/>
            <w:vAlign w:val="center"/>
          </w:tcPr>
          <w:p w14:paraId="0CE2555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61EF9A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99.74%</w:t>
            </w:r>
          </w:p>
        </w:tc>
        <w:tc>
          <w:tcPr>
            <w:tcW w:w="1560" w:type="dxa"/>
            <w:tcBorders>
              <w:top w:val="nil"/>
              <w:left w:val="nil"/>
              <w:bottom w:val="single" w:color="auto" w:sz="4" w:space="0"/>
              <w:right w:val="single" w:color="auto" w:sz="4" w:space="0"/>
            </w:tcBorders>
            <w:shd w:val="clear" w:color="auto" w:fill="auto"/>
            <w:vAlign w:val="center"/>
          </w:tcPr>
          <w:p w14:paraId="40081D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w:t>
            </w:r>
          </w:p>
        </w:tc>
      </w:tr>
      <w:tr w14:paraId="3C6C1E2F">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62127BA0">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A1D9AA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040" w:type="dxa"/>
            <w:tcBorders>
              <w:top w:val="nil"/>
              <w:left w:val="single" w:color="auto" w:sz="4" w:space="0"/>
              <w:bottom w:val="single" w:color="auto" w:sz="4" w:space="0"/>
              <w:right w:val="single" w:color="auto" w:sz="4" w:space="0"/>
            </w:tcBorders>
            <w:shd w:val="clear" w:color="auto" w:fill="auto"/>
            <w:vAlign w:val="center"/>
          </w:tcPr>
          <w:p w14:paraId="5CC266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77.000000 </w:t>
            </w:r>
          </w:p>
        </w:tc>
        <w:tc>
          <w:tcPr>
            <w:tcW w:w="1800" w:type="dxa"/>
            <w:tcBorders>
              <w:top w:val="nil"/>
              <w:left w:val="nil"/>
              <w:bottom w:val="single" w:color="auto" w:sz="4" w:space="0"/>
              <w:right w:val="single" w:color="auto" w:sz="4" w:space="0"/>
            </w:tcBorders>
            <w:shd w:val="clear" w:color="auto" w:fill="auto"/>
            <w:vAlign w:val="center"/>
          </w:tcPr>
          <w:p w14:paraId="28E4716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77.000000 </w:t>
            </w:r>
          </w:p>
        </w:tc>
        <w:tc>
          <w:tcPr>
            <w:tcW w:w="2120" w:type="dxa"/>
            <w:tcBorders>
              <w:top w:val="nil"/>
              <w:left w:val="nil"/>
              <w:bottom w:val="single" w:color="auto" w:sz="4" w:space="0"/>
              <w:right w:val="single" w:color="auto" w:sz="4" w:space="0"/>
            </w:tcBorders>
            <w:shd w:val="clear" w:color="auto" w:fill="auto"/>
            <w:vAlign w:val="center"/>
          </w:tcPr>
          <w:p w14:paraId="5EDF823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76.800000 </w:t>
            </w:r>
          </w:p>
        </w:tc>
        <w:tc>
          <w:tcPr>
            <w:tcW w:w="840" w:type="dxa"/>
            <w:tcBorders>
              <w:top w:val="nil"/>
              <w:left w:val="nil"/>
              <w:bottom w:val="single" w:color="auto" w:sz="4" w:space="0"/>
              <w:right w:val="nil"/>
            </w:tcBorders>
            <w:shd w:val="clear" w:color="auto" w:fill="auto"/>
            <w:vAlign w:val="center"/>
          </w:tcPr>
          <w:p w14:paraId="3F9447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3690CE8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60" w:type="dxa"/>
            <w:tcBorders>
              <w:top w:val="nil"/>
              <w:left w:val="single" w:color="auto" w:sz="4" w:space="0"/>
              <w:bottom w:val="single" w:color="auto" w:sz="4" w:space="0"/>
              <w:right w:val="single" w:color="auto" w:sz="4" w:space="0"/>
            </w:tcBorders>
            <w:shd w:val="clear" w:color="auto" w:fill="auto"/>
            <w:vAlign w:val="center"/>
          </w:tcPr>
          <w:p w14:paraId="6C4F61E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4C2E37D5">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1ACEB25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069C6F1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3A5EF47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0.005000 </w:t>
            </w:r>
          </w:p>
        </w:tc>
        <w:tc>
          <w:tcPr>
            <w:tcW w:w="1800" w:type="dxa"/>
            <w:tcBorders>
              <w:top w:val="nil"/>
              <w:left w:val="nil"/>
              <w:bottom w:val="single" w:color="auto" w:sz="4" w:space="0"/>
              <w:right w:val="single" w:color="auto" w:sz="4" w:space="0"/>
            </w:tcBorders>
            <w:shd w:val="clear" w:color="auto" w:fill="auto"/>
            <w:vAlign w:val="center"/>
          </w:tcPr>
          <w:p w14:paraId="67D53FA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0.005000 </w:t>
            </w:r>
          </w:p>
        </w:tc>
        <w:tc>
          <w:tcPr>
            <w:tcW w:w="2120" w:type="dxa"/>
            <w:tcBorders>
              <w:top w:val="nil"/>
              <w:left w:val="nil"/>
              <w:bottom w:val="single" w:color="auto" w:sz="4" w:space="0"/>
              <w:right w:val="single" w:color="auto" w:sz="4" w:space="0"/>
            </w:tcBorders>
            <w:shd w:val="clear" w:color="auto" w:fill="auto"/>
            <w:vAlign w:val="center"/>
          </w:tcPr>
          <w:p w14:paraId="7AF82CB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0.005000 </w:t>
            </w:r>
          </w:p>
        </w:tc>
        <w:tc>
          <w:tcPr>
            <w:tcW w:w="840" w:type="dxa"/>
            <w:tcBorders>
              <w:top w:val="nil"/>
              <w:left w:val="nil"/>
              <w:bottom w:val="single" w:color="auto" w:sz="4" w:space="0"/>
              <w:right w:val="single" w:color="auto" w:sz="4" w:space="0"/>
            </w:tcBorders>
            <w:shd w:val="clear" w:color="auto" w:fill="auto"/>
            <w:vAlign w:val="center"/>
          </w:tcPr>
          <w:p w14:paraId="1DD7EE5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7FDEC69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60" w:type="dxa"/>
            <w:tcBorders>
              <w:top w:val="nil"/>
              <w:left w:val="nil"/>
              <w:bottom w:val="single" w:color="auto" w:sz="4" w:space="0"/>
              <w:right w:val="single" w:color="auto" w:sz="4" w:space="0"/>
            </w:tcBorders>
            <w:shd w:val="clear" w:color="auto" w:fill="auto"/>
            <w:vAlign w:val="center"/>
          </w:tcPr>
          <w:p w14:paraId="207539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7D6A19EE">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2420BD26">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7051B5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39F5DB5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27EBE4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20" w:type="dxa"/>
            <w:tcBorders>
              <w:top w:val="nil"/>
              <w:left w:val="nil"/>
              <w:bottom w:val="single" w:color="auto" w:sz="4" w:space="0"/>
              <w:right w:val="single" w:color="auto" w:sz="4" w:space="0"/>
            </w:tcBorders>
            <w:shd w:val="clear" w:color="auto" w:fill="auto"/>
            <w:vAlign w:val="center"/>
          </w:tcPr>
          <w:p w14:paraId="1FA5464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228651B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15F887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60" w:type="dxa"/>
            <w:tcBorders>
              <w:top w:val="nil"/>
              <w:left w:val="nil"/>
              <w:bottom w:val="single" w:color="auto" w:sz="4" w:space="0"/>
              <w:right w:val="single" w:color="auto" w:sz="4" w:space="0"/>
            </w:tcBorders>
            <w:shd w:val="clear" w:color="auto" w:fill="auto"/>
            <w:vAlign w:val="center"/>
          </w:tcPr>
          <w:p w14:paraId="7A6E882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13E88B43">
        <w:tblPrEx>
          <w:tblCellMar>
            <w:top w:w="0" w:type="dxa"/>
            <w:left w:w="108" w:type="dxa"/>
            <w:bottom w:w="0" w:type="dxa"/>
            <w:right w:w="108" w:type="dxa"/>
          </w:tblCellMar>
        </w:tblPrEx>
        <w:trPr>
          <w:trHeight w:val="27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71B0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2693C85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5920" w:type="dxa"/>
            <w:gridSpan w:val="4"/>
            <w:tcBorders>
              <w:top w:val="single" w:color="auto" w:sz="4" w:space="0"/>
              <w:left w:val="nil"/>
              <w:bottom w:val="single" w:color="auto" w:sz="4" w:space="0"/>
              <w:right w:val="single" w:color="auto" w:sz="4" w:space="0"/>
            </w:tcBorders>
            <w:shd w:val="clear" w:color="auto" w:fill="auto"/>
            <w:vAlign w:val="center"/>
          </w:tcPr>
          <w:p w14:paraId="0E7AB1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154003E3">
        <w:tblPrEx>
          <w:tblCellMar>
            <w:top w:w="0" w:type="dxa"/>
            <w:left w:w="108" w:type="dxa"/>
            <w:bottom w:w="0" w:type="dxa"/>
            <w:right w:w="108" w:type="dxa"/>
          </w:tblCellMar>
        </w:tblPrEx>
        <w:trPr>
          <w:trHeight w:val="170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B333CE4">
            <w:pPr>
              <w:widowControl/>
              <w:jc w:val="left"/>
              <w:rPr>
                <w:rFonts w:ascii="仿宋_GB2312" w:hAnsi="宋体" w:eastAsia="仿宋_GB2312" w:cs="宋体"/>
                <w:color w:val="000000"/>
                <w:kern w:val="0"/>
                <w:szCs w:val="21"/>
              </w:rPr>
            </w:pP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57B3CF7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一体化安全实训基地”通过对学校各种安全设备、网络设备、教学设备进行安全信息数据采集、汇总和分析，实现对模拟工业现场网络安全状态的实时态势感知以及安全事件的相应处理。“工业一体化安全实训基地”将建设成一个以资产为核心、数据为基础、多种安全问题管理为目标、威胁情报和恶意代码分析检测为特色、结合工业安全场景进行安全分析和实训教学的综合基地</w:t>
            </w:r>
          </w:p>
        </w:tc>
        <w:tc>
          <w:tcPr>
            <w:tcW w:w="5920" w:type="dxa"/>
            <w:gridSpan w:val="4"/>
            <w:tcBorders>
              <w:top w:val="single" w:color="auto" w:sz="4" w:space="0"/>
              <w:left w:val="nil"/>
              <w:bottom w:val="single" w:color="auto" w:sz="4" w:space="0"/>
              <w:right w:val="single" w:color="auto" w:sz="4" w:space="0"/>
            </w:tcBorders>
            <w:shd w:val="clear" w:color="auto" w:fill="auto"/>
            <w:vAlign w:val="center"/>
          </w:tcPr>
          <w:p w14:paraId="282B03D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所有设备采购已完成，已投入使用，开展相关专业网络安全人才培养工作，开展教改科研和服务工作。</w:t>
            </w:r>
          </w:p>
        </w:tc>
      </w:tr>
      <w:tr w14:paraId="452EB80A">
        <w:tblPrEx>
          <w:tblCellMar>
            <w:top w:w="0" w:type="dxa"/>
            <w:left w:w="108" w:type="dxa"/>
            <w:bottom w:w="0" w:type="dxa"/>
            <w:right w:w="108" w:type="dxa"/>
          </w:tblCellMar>
        </w:tblPrEx>
        <w:trPr>
          <w:trHeight w:val="525"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E1E3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1BE9016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54E788C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5178567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0" w:type="dxa"/>
            <w:tcBorders>
              <w:top w:val="single" w:color="auto" w:sz="4" w:space="0"/>
              <w:left w:val="nil"/>
              <w:bottom w:val="single" w:color="auto" w:sz="4" w:space="0"/>
              <w:right w:val="single" w:color="auto" w:sz="4" w:space="0"/>
            </w:tcBorders>
            <w:shd w:val="clear" w:color="auto" w:fill="auto"/>
            <w:vAlign w:val="center"/>
          </w:tcPr>
          <w:p w14:paraId="109A41A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120" w:type="dxa"/>
            <w:tcBorders>
              <w:top w:val="single" w:color="auto" w:sz="4" w:space="0"/>
              <w:left w:val="nil"/>
              <w:bottom w:val="single" w:color="auto" w:sz="4" w:space="0"/>
              <w:right w:val="single" w:color="auto" w:sz="4" w:space="0"/>
            </w:tcBorders>
            <w:shd w:val="clear" w:color="auto" w:fill="auto"/>
            <w:vAlign w:val="center"/>
          </w:tcPr>
          <w:p w14:paraId="08D5EB3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11ACF89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33C8A1E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560" w:type="dxa"/>
            <w:tcBorders>
              <w:top w:val="single" w:color="auto" w:sz="4" w:space="0"/>
              <w:left w:val="nil"/>
              <w:bottom w:val="single" w:color="auto" w:sz="4" w:space="0"/>
              <w:right w:val="single" w:color="auto" w:sz="4" w:space="0"/>
            </w:tcBorders>
            <w:shd w:val="clear" w:color="auto" w:fill="auto"/>
            <w:vAlign w:val="center"/>
          </w:tcPr>
          <w:p w14:paraId="32F6E7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0B88545A">
        <w:tblPrEx>
          <w:tblCellMar>
            <w:top w:w="0" w:type="dxa"/>
            <w:left w:w="108" w:type="dxa"/>
            <w:bottom w:w="0" w:type="dxa"/>
            <w:right w:w="108" w:type="dxa"/>
          </w:tblCellMar>
        </w:tblPrEx>
        <w:trPr>
          <w:trHeight w:val="341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C573D63">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DACC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9D37E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51A88B3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安全大数据存储分析系统1套、工业资产探查系统1套、工业恶意代码分析系统1套、工业安全威胁处置系统1套、态势感知系统1套、工业神经元管控系统1套、拓扑发现系统1套、工业安全威胁情报1套、工业一体化安全支撑设备1套</w:t>
            </w:r>
          </w:p>
        </w:tc>
        <w:tc>
          <w:tcPr>
            <w:tcW w:w="1800" w:type="dxa"/>
            <w:tcBorders>
              <w:top w:val="single" w:color="auto" w:sz="4" w:space="0"/>
              <w:left w:val="nil"/>
              <w:bottom w:val="single" w:color="auto" w:sz="4" w:space="0"/>
              <w:right w:val="single" w:color="auto" w:sz="4" w:space="0"/>
            </w:tcBorders>
            <w:shd w:val="clear" w:color="auto" w:fill="auto"/>
            <w:vAlign w:val="center"/>
          </w:tcPr>
          <w:p w14:paraId="49F1252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9套</w:t>
            </w:r>
          </w:p>
        </w:tc>
        <w:tc>
          <w:tcPr>
            <w:tcW w:w="2120" w:type="dxa"/>
            <w:tcBorders>
              <w:top w:val="single" w:color="auto" w:sz="4" w:space="0"/>
              <w:left w:val="nil"/>
              <w:bottom w:val="single" w:color="auto" w:sz="4" w:space="0"/>
              <w:right w:val="single" w:color="auto" w:sz="4" w:space="0"/>
            </w:tcBorders>
            <w:shd w:val="clear" w:color="auto" w:fill="auto"/>
            <w:vAlign w:val="center"/>
          </w:tcPr>
          <w:p w14:paraId="432B2C2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购置工业安全大数据存储分析系统1套、工业资产探查系统1套、工业恶意代码分析系统1套、工业安全威胁处置系统1套、态势感知系统1套、工业神经元管控系统1套、拓扑发现系统1套、工业安全威胁情报1套、工业一体化安全支撑设备1套，共计9套，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6A49859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400" w:type="dxa"/>
            <w:tcBorders>
              <w:top w:val="single" w:color="auto" w:sz="4" w:space="0"/>
              <w:left w:val="nil"/>
              <w:bottom w:val="single" w:color="auto" w:sz="4" w:space="0"/>
              <w:right w:val="single" w:color="auto" w:sz="4" w:space="0"/>
            </w:tcBorders>
            <w:shd w:val="clear" w:color="auto" w:fill="auto"/>
            <w:vAlign w:val="center"/>
          </w:tcPr>
          <w:p w14:paraId="2197FA1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560" w:type="dxa"/>
            <w:tcBorders>
              <w:top w:val="single" w:color="auto" w:sz="4" w:space="0"/>
              <w:left w:val="nil"/>
              <w:bottom w:val="single" w:color="auto" w:sz="4" w:space="0"/>
              <w:right w:val="single" w:color="auto" w:sz="4" w:space="0"/>
            </w:tcBorders>
            <w:shd w:val="clear" w:color="auto" w:fill="auto"/>
            <w:vAlign w:val="center"/>
          </w:tcPr>
          <w:p w14:paraId="5E62B3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指标设置权重偏高，今后将更好的做好目标设置，学校将强化绩效目标审核的责任</w:t>
            </w:r>
          </w:p>
        </w:tc>
      </w:tr>
      <w:tr w14:paraId="73FCF541">
        <w:tblPrEx>
          <w:tblCellMar>
            <w:top w:w="0" w:type="dxa"/>
            <w:left w:w="108" w:type="dxa"/>
            <w:bottom w:w="0" w:type="dxa"/>
            <w:right w:w="108" w:type="dxa"/>
          </w:tblCellMar>
        </w:tblPrEx>
        <w:trPr>
          <w:trHeight w:val="132"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818B872">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68A649">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44C0133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7ACFC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安全大数据存储分析系统、工业资产探查系统、工业恶意代码分析系统、工业安全威胁处置系统、态势感知系统、工业神经元管控系统、拓扑发现系统、工业安全威胁情报、工业一体化安全支撑设备，符合项目申报和合同要求</w:t>
            </w:r>
          </w:p>
        </w:tc>
        <w:tc>
          <w:tcPr>
            <w:tcW w:w="1800" w:type="dxa"/>
            <w:tcBorders>
              <w:top w:val="single" w:color="auto" w:sz="4" w:space="0"/>
              <w:left w:val="nil"/>
              <w:bottom w:val="single" w:color="auto" w:sz="4" w:space="0"/>
              <w:right w:val="single" w:color="auto" w:sz="4" w:space="0"/>
            </w:tcBorders>
            <w:shd w:val="clear" w:color="auto" w:fill="auto"/>
            <w:vAlign w:val="center"/>
          </w:tcPr>
          <w:p w14:paraId="624D0E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9套</w:t>
            </w:r>
          </w:p>
        </w:tc>
        <w:tc>
          <w:tcPr>
            <w:tcW w:w="2120" w:type="dxa"/>
            <w:tcBorders>
              <w:top w:val="single" w:color="auto" w:sz="4" w:space="0"/>
              <w:left w:val="nil"/>
              <w:bottom w:val="single" w:color="auto" w:sz="4" w:space="0"/>
              <w:right w:val="single" w:color="auto" w:sz="4" w:space="0"/>
            </w:tcBorders>
            <w:shd w:val="clear" w:color="auto" w:fill="auto"/>
            <w:vAlign w:val="center"/>
          </w:tcPr>
          <w:p w14:paraId="4137F76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达到申报质量要求，所有设备全部按预期数量购置，质量达标。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1B1B29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34</w:t>
            </w:r>
          </w:p>
        </w:tc>
        <w:tc>
          <w:tcPr>
            <w:tcW w:w="1400" w:type="dxa"/>
            <w:tcBorders>
              <w:top w:val="single" w:color="auto" w:sz="4" w:space="0"/>
              <w:left w:val="nil"/>
              <w:bottom w:val="single" w:color="auto" w:sz="4" w:space="0"/>
              <w:right w:val="single" w:color="auto" w:sz="4" w:space="0"/>
            </w:tcBorders>
            <w:shd w:val="clear" w:color="auto" w:fill="auto"/>
            <w:vAlign w:val="center"/>
          </w:tcPr>
          <w:p w14:paraId="7C0E09A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33</w:t>
            </w:r>
          </w:p>
        </w:tc>
        <w:tc>
          <w:tcPr>
            <w:tcW w:w="1560" w:type="dxa"/>
            <w:tcBorders>
              <w:top w:val="single" w:color="auto" w:sz="4" w:space="0"/>
              <w:left w:val="nil"/>
              <w:bottom w:val="single" w:color="auto" w:sz="4" w:space="0"/>
              <w:right w:val="single" w:color="auto" w:sz="4" w:space="0"/>
            </w:tcBorders>
            <w:shd w:val="clear" w:color="auto" w:fill="auto"/>
            <w:vAlign w:val="center"/>
          </w:tcPr>
          <w:p w14:paraId="41945E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指标设置权重偏高，今后将更好的做好目标设置，学校将强化绩效目标审核的责任</w:t>
            </w:r>
          </w:p>
        </w:tc>
      </w:tr>
      <w:tr w14:paraId="22DAF7B3">
        <w:tblPrEx>
          <w:tblCellMar>
            <w:top w:w="0" w:type="dxa"/>
            <w:left w:w="108" w:type="dxa"/>
            <w:bottom w:w="0" w:type="dxa"/>
            <w:right w:w="108" w:type="dxa"/>
          </w:tblCellMar>
        </w:tblPrEx>
        <w:trPr>
          <w:trHeight w:val="262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A59C63C">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16BCF1">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105B5EE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C5415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2022.03-2022.05 调研、建设方案制定与完善；2022.05-2022.06 申报立项； 2022.07-2022.07 项目购置方案设计并确定； 2022.08-2022.10 购置、安装、调试、试运转、验收；</w:t>
            </w:r>
          </w:p>
        </w:tc>
        <w:tc>
          <w:tcPr>
            <w:tcW w:w="1800" w:type="dxa"/>
            <w:tcBorders>
              <w:top w:val="single" w:color="auto" w:sz="4" w:space="0"/>
              <w:left w:val="nil"/>
              <w:bottom w:val="single" w:color="auto" w:sz="4" w:space="0"/>
              <w:right w:val="single" w:color="auto" w:sz="4" w:space="0"/>
            </w:tcBorders>
            <w:shd w:val="clear" w:color="auto" w:fill="auto"/>
            <w:vAlign w:val="center"/>
          </w:tcPr>
          <w:p w14:paraId="60D0D80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验收通过</w:t>
            </w:r>
          </w:p>
        </w:tc>
        <w:tc>
          <w:tcPr>
            <w:tcW w:w="2120" w:type="dxa"/>
            <w:tcBorders>
              <w:top w:val="single" w:color="auto" w:sz="4" w:space="0"/>
              <w:left w:val="nil"/>
              <w:bottom w:val="single" w:color="auto" w:sz="4" w:space="0"/>
              <w:right w:val="single" w:color="auto" w:sz="4" w:space="0"/>
            </w:tcBorders>
            <w:shd w:val="clear" w:color="auto" w:fill="auto"/>
            <w:vAlign w:val="center"/>
          </w:tcPr>
          <w:p w14:paraId="46FB7AC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项目按时验收通过，圆满完成预期目标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38A0F02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00" w:type="dxa"/>
            <w:tcBorders>
              <w:top w:val="single" w:color="auto" w:sz="4" w:space="0"/>
              <w:left w:val="nil"/>
              <w:bottom w:val="single" w:color="auto" w:sz="4" w:space="0"/>
              <w:right w:val="single" w:color="auto" w:sz="4" w:space="0"/>
            </w:tcBorders>
            <w:shd w:val="clear" w:color="auto" w:fill="auto"/>
            <w:vAlign w:val="center"/>
          </w:tcPr>
          <w:p w14:paraId="112A61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560" w:type="dxa"/>
            <w:tcBorders>
              <w:top w:val="single" w:color="auto" w:sz="4" w:space="0"/>
              <w:left w:val="nil"/>
              <w:bottom w:val="single" w:color="auto" w:sz="4" w:space="0"/>
              <w:right w:val="single" w:color="auto" w:sz="4" w:space="0"/>
            </w:tcBorders>
            <w:shd w:val="clear" w:color="auto" w:fill="auto"/>
            <w:vAlign w:val="center"/>
          </w:tcPr>
          <w:p w14:paraId="21FDDB83">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项目批复为分2年</w:t>
            </w:r>
            <w:r>
              <w:rPr>
                <w:rFonts w:hint="eastAsia" w:ascii="仿宋_GB2312" w:hAnsi="宋体" w:eastAsia="仿宋_GB2312" w:cs="宋体"/>
                <w:color w:val="000000"/>
                <w:kern w:val="0"/>
                <w:szCs w:val="21"/>
                <w:lang w:eastAsia="zh-CN"/>
              </w:rPr>
              <w:t>拨付</w:t>
            </w:r>
            <w:r>
              <w:rPr>
                <w:rFonts w:hint="eastAsia" w:ascii="仿宋_GB2312" w:hAnsi="宋体" w:eastAsia="仿宋_GB2312" w:cs="宋体"/>
                <w:color w:val="000000"/>
                <w:kern w:val="0"/>
                <w:szCs w:val="21"/>
              </w:rPr>
              <w:t>资金。同时原计划使用的场地未及时腾出</w:t>
            </w:r>
          </w:p>
        </w:tc>
      </w:tr>
      <w:tr w14:paraId="7B18E432">
        <w:tblPrEx>
          <w:tblCellMar>
            <w:top w:w="0" w:type="dxa"/>
            <w:left w:w="108" w:type="dxa"/>
            <w:bottom w:w="0" w:type="dxa"/>
            <w:right w:w="108" w:type="dxa"/>
          </w:tblCellMar>
        </w:tblPrEx>
        <w:trPr>
          <w:trHeight w:val="7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55D4FF7">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27D18A94">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CBE0D0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207C24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预算控制在110万元</w:t>
            </w:r>
          </w:p>
        </w:tc>
        <w:tc>
          <w:tcPr>
            <w:tcW w:w="1800" w:type="dxa"/>
            <w:tcBorders>
              <w:top w:val="single" w:color="auto" w:sz="4" w:space="0"/>
              <w:left w:val="nil"/>
              <w:bottom w:val="single" w:color="auto" w:sz="4" w:space="0"/>
              <w:right w:val="single" w:color="auto" w:sz="4" w:space="0"/>
            </w:tcBorders>
            <w:shd w:val="clear" w:color="auto" w:fill="auto"/>
            <w:vAlign w:val="center"/>
          </w:tcPr>
          <w:p w14:paraId="4EB40E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110万元</w:t>
            </w:r>
          </w:p>
        </w:tc>
        <w:tc>
          <w:tcPr>
            <w:tcW w:w="2120" w:type="dxa"/>
            <w:tcBorders>
              <w:top w:val="single" w:color="auto" w:sz="4" w:space="0"/>
              <w:left w:val="nil"/>
              <w:bottom w:val="single" w:color="auto" w:sz="4" w:space="0"/>
              <w:right w:val="single" w:color="auto" w:sz="4" w:space="0"/>
            </w:tcBorders>
            <w:shd w:val="clear" w:color="auto" w:fill="auto"/>
            <w:vAlign w:val="center"/>
          </w:tcPr>
          <w:p w14:paraId="6C92C65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项目实际支出76.805万元，低于成本，圆满完成预期目标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5D11B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00" w:type="dxa"/>
            <w:tcBorders>
              <w:top w:val="single" w:color="auto" w:sz="4" w:space="0"/>
              <w:left w:val="nil"/>
              <w:bottom w:val="single" w:color="auto" w:sz="4" w:space="0"/>
              <w:right w:val="single" w:color="auto" w:sz="4" w:space="0"/>
            </w:tcBorders>
            <w:shd w:val="clear" w:color="auto" w:fill="auto"/>
            <w:vAlign w:val="center"/>
          </w:tcPr>
          <w:p w14:paraId="521EBA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4.00</w:t>
            </w:r>
          </w:p>
        </w:tc>
        <w:tc>
          <w:tcPr>
            <w:tcW w:w="1560" w:type="dxa"/>
            <w:tcBorders>
              <w:top w:val="single" w:color="auto" w:sz="4" w:space="0"/>
              <w:left w:val="nil"/>
              <w:bottom w:val="single" w:color="auto" w:sz="4" w:space="0"/>
              <w:right w:val="single" w:color="auto" w:sz="4" w:space="0"/>
            </w:tcBorders>
            <w:shd w:val="clear" w:color="auto" w:fill="auto"/>
            <w:vAlign w:val="center"/>
          </w:tcPr>
          <w:p w14:paraId="7FDDCD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5B0D640B">
        <w:tblPrEx>
          <w:tblCellMar>
            <w:top w:w="0" w:type="dxa"/>
            <w:left w:w="108" w:type="dxa"/>
            <w:bottom w:w="0" w:type="dxa"/>
            <w:right w:w="108" w:type="dxa"/>
          </w:tblCellMar>
        </w:tblPrEx>
        <w:trPr>
          <w:trHeight w:val="21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4F7566B">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BAEA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60D2D4A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3349C4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为学校信息安全、网络技术、电气自动化等多个专业的教学提供实训条件，覆盖超过400名学生，每年使用约500学时；提供职业技能培训200人天；</w:t>
            </w:r>
          </w:p>
        </w:tc>
        <w:tc>
          <w:tcPr>
            <w:tcW w:w="1800" w:type="dxa"/>
            <w:tcBorders>
              <w:top w:val="single" w:color="auto" w:sz="4" w:space="0"/>
              <w:left w:val="nil"/>
              <w:bottom w:val="single" w:color="auto" w:sz="4" w:space="0"/>
              <w:right w:val="single" w:color="auto" w:sz="4" w:space="0"/>
            </w:tcBorders>
            <w:shd w:val="clear" w:color="auto" w:fill="auto"/>
            <w:vAlign w:val="center"/>
          </w:tcPr>
          <w:p w14:paraId="645C1D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教学和培训服务</w:t>
            </w:r>
          </w:p>
        </w:tc>
        <w:tc>
          <w:tcPr>
            <w:tcW w:w="2120" w:type="dxa"/>
            <w:tcBorders>
              <w:top w:val="single" w:color="auto" w:sz="4" w:space="0"/>
              <w:left w:val="nil"/>
              <w:bottom w:val="single" w:color="auto" w:sz="4" w:space="0"/>
              <w:right w:val="single" w:color="auto" w:sz="4" w:space="0"/>
            </w:tcBorders>
            <w:shd w:val="clear" w:color="auto" w:fill="auto"/>
            <w:vAlign w:val="center"/>
          </w:tcPr>
          <w:p w14:paraId="3CE732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实训相关专业422名学生，约576学时；1+X培训约300人天</w:t>
            </w:r>
          </w:p>
        </w:tc>
        <w:tc>
          <w:tcPr>
            <w:tcW w:w="840" w:type="dxa"/>
            <w:tcBorders>
              <w:top w:val="single" w:color="auto" w:sz="4" w:space="0"/>
              <w:left w:val="nil"/>
              <w:bottom w:val="single" w:color="auto" w:sz="4" w:space="0"/>
              <w:right w:val="single" w:color="auto" w:sz="4" w:space="0"/>
            </w:tcBorders>
            <w:shd w:val="clear" w:color="auto" w:fill="auto"/>
            <w:vAlign w:val="center"/>
          </w:tcPr>
          <w:p w14:paraId="0C833E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00" w:type="dxa"/>
            <w:tcBorders>
              <w:top w:val="single" w:color="auto" w:sz="4" w:space="0"/>
              <w:left w:val="nil"/>
              <w:bottom w:val="single" w:color="auto" w:sz="4" w:space="0"/>
              <w:right w:val="single" w:color="auto" w:sz="4" w:space="0"/>
            </w:tcBorders>
            <w:shd w:val="clear" w:color="auto" w:fill="auto"/>
            <w:vAlign w:val="center"/>
          </w:tcPr>
          <w:p w14:paraId="22082B1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560" w:type="dxa"/>
            <w:tcBorders>
              <w:top w:val="single" w:color="auto" w:sz="4" w:space="0"/>
              <w:left w:val="nil"/>
              <w:bottom w:val="single" w:color="auto" w:sz="4" w:space="0"/>
              <w:right w:val="single" w:color="auto" w:sz="4" w:space="0"/>
            </w:tcBorders>
            <w:shd w:val="clear" w:color="auto" w:fill="auto"/>
            <w:vAlign w:val="center"/>
          </w:tcPr>
          <w:p w14:paraId="2E6B078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0FE37E8F">
        <w:tblPrEx>
          <w:tblCellMar>
            <w:top w:w="0" w:type="dxa"/>
            <w:left w:w="108" w:type="dxa"/>
            <w:bottom w:w="0" w:type="dxa"/>
            <w:right w:w="108" w:type="dxa"/>
          </w:tblCellMar>
        </w:tblPrEx>
        <w:trPr>
          <w:trHeight w:val="28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BC3E033">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147CD514">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14071DD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7011403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1.将长期应用于电气自动化、信息安全技术应用、安全管理等专业教学的实践课程中，在5年内能持续有效地提升专业教学质量 2.通过学生技能提高，能在较长的一段时间内持续促进相关专业学生更好的就业发展；</w:t>
            </w:r>
          </w:p>
        </w:tc>
        <w:tc>
          <w:tcPr>
            <w:tcW w:w="1800" w:type="dxa"/>
            <w:tcBorders>
              <w:top w:val="single" w:color="auto" w:sz="4" w:space="0"/>
              <w:left w:val="nil"/>
              <w:bottom w:val="single" w:color="auto" w:sz="4" w:space="0"/>
              <w:right w:val="single" w:color="auto" w:sz="4" w:space="0"/>
            </w:tcBorders>
            <w:shd w:val="clear" w:color="auto" w:fill="auto"/>
            <w:vAlign w:val="center"/>
          </w:tcPr>
          <w:p w14:paraId="60DA2A4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质量提升</w:t>
            </w:r>
          </w:p>
        </w:tc>
        <w:tc>
          <w:tcPr>
            <w:tcW w:w="2120" w:type="dxa"/>
            <w:tcBorders>
              <w:top w:val="single" w:color="auto" w:sz="4" w:space="0"/>
              <w:left w:val="nil"/>
              <w:bottom w:val="single" w:color="auto" w:sz="4" w:space="0"/>
              <w:right w:val="single" w:color="auto" w:sz="4" w:space="0"/>
            </w:tcBorders>
            <w:shd w:val="clear" w:color="auto" w:fill="auto"/>
            <w:vAlign w:val="center"/>
          </w:tcPr>
          <w:p w14:paraId="2C9559B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学生技能大赛获奖情况比较突出，圆满完成相应指标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89E71A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717A0C4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560" w:type="dxa"/>
            <w:tcBorders>
              <w:top w:val="single" w:color="auto" w:sz="4" w:space="0"/>
              <w:left w:val="nil"/>
              <w:bottom w:val="single" w:color="auto" w:sz="4" w:space="0"/>
              <w:right w:val="single" w:color="auto" w:sz="4" w:space="0"/>
            </w:tcBorders>
            <w:shd w:val="clear" w:color="auto" w:fill="auto"/>
            <w:vAlign w:val="center"/>
          </w:tcPr>
          <w:p w14:paraId="7235AA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没有可量化和考核的指标及分析，今后将更加细化指标，做好完成情况统计分析，学校将强化项目负责人的主体责任，切实做好相应工作</w:t>
            </w:r>
          </w:p>
        </w:tc>
      </w:tr>
      <w:tr w14:paraId="7A30FDB2">
        <w:tblPrEx>
          <w:tblCellMar>
            <w:top w:w="0" w:type="dxa"/>
            <w:left w:w="108" w:type="dxa"/>
            <w:bottom w:w="0" w:type="dxa"/>
            <w:right w:w="108" w:type="dxa"/>
          </w:tblCellMar>
        </w:tblPrEx>
        <w:trPr>
          <w:trHeight w:val="7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57AF776">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436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5F3F0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3302F4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师生满意度90%</w:t>
            </w:r>
          </w:p>
        </w:tc>
        <w:tc>
          <w:tcPr>
            <w:tcW w:w="1800" w:type="dxa"/>
            <w:tcBorders>
              <w:top w:val="single" w:color="auto" w:sz="4" w:space="0"/>
              <w:left w:val="nil"/>
              <w:bottom w:val="single" w:color="auto" w:sz="4" w:space="0"/>
              <w:right w:val="single" w:color="auto" w:sz="4" w:space="0"/>
            </w:tcBorders>
            <w:shd w:val="clear" w:color="auto" w:fill="auto"/>
            <w:vAlign w:val="center"/>
          </w:tcPr>
          <w:p w14:paraId="135F029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120" w:type="dxa"/>
            <w:tcBorders>
              <w:top w:val="single" w:color="auto" w:sz="4" w:space="0"/>
              <w:left w:val="nil"/>
              <w:bottom w:val="single" w:color="auto" w:sz="4" w:space="0"/>
              <w:right w:val="single" w:color="auto" w:sz="4" w:space="0"/>
            </w:tcBorders>
            <w:shd w:val="clear" w:color="auto" w:fill="auto"/>
            <w:vAlign w:val="center"/>
          </w:tcPr>
          <w:p w14:paraId="3EF378A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师生满意度90%，圆满完成预期目标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1D688D0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400" w:type="dxa"/>
            <w:tcBorders>
              <w:top w:val="single" w:color="auto" w:sz="4" w:space="0"/>
              <w:left w:val="nil"/>
              <w:bottom w:val="single" w:color="auto" w:sz="4" w:space="0"/>
              <w:right w:val="single" w:color="auto" w:sz="4" w:space="0"/>
            </w:tcBorders>
            <w:shd w:val="clear" w:color="auto" w:fill="auto"/>
            <w:vAlign w:val="center"/>
          </w:tcPr>
          <w:p w14:paraId="4EF7817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560" w:type="dxa"/>
            <w:tcBorders>
              <w:top w:val="single" w:color="auto" w:sz="4" w:space="0"/>
              <w:left w:val="nil"/>
              <w:bottom w:val="single" w:color="auto" w:sz="4" w:space="0"/>
              <w:right w:val="single" w:color="auto" w:sz="4" w:space="0"/>
            </w:tcBorders>
            <w:shd w:val="clear" w:color="auto" w:fill="auto"/>
            <w:vAlign w:val="center"/>
          </w:tcPr>
          <w:p w14:paraId="082E7AFD">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没有统计分析，今后将加强满意度调查工作，学校将强化项目负责人的主体责任</w:t>
            </w:r>
          </w:p>
        </w:tc>
      </w:tr>
      <w:tr w14:paraId="2D64C190">
        <w:tblPrEx>
          <w:tblCellMar>
            <w:top w:w="0" w:type="dxa"/>
            <w:left w:w="108" w:type="dxa"/>
            <w:bottom w:w="0" w:type="dxa"/>
            <w:right w:w="108" w:type="dxa"/>
          </w:tblCellMar>
        </w:tblPrEx>
        <w:trPr>
          <w:trHeight w:val="7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48181EF">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376299CC">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5CB2F722">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58BFACE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参培学员满意度</w:t>
            </w:r>
          </w:p>
        </w:tc>
        <w:tc>
          <w:tcPr>
            <w:tcW w:w="1800" w:type="dxa"/>
            <w:tcBorders>
              <w:top w:val="single" w:color="auto" w:sz="4" w:space="0"/>
              <w:left w:val="nil"/>
              <w:bottom w:val="single" w:color="auto" w:sz="4" w:space="0"/>
              <w:right w:val="single" w:color="auto" w:sz="4" w:space="0"/>
            </w:tcBorders>
            <w:shd w:val="clear" w:color="auto" w:fill="auto"/>
            <w:vAlign w:val="center"/>
          </w:tcPr>
          <w:p w14:paraId="4C5882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120" w:type="dxa"/>
            <w:tcBorders>
              <w:top w:val="single" w:color="auto" w:sz="4" w:space="0"/>
              <w:left w:val="nil"/>
              <w:bottom w:val="single" w:color="auto" w:sz="4" w:space="0"/>
              <w:right w:val="single" w:color="auto" w:sz="4" w:space="0"/>
            </w:tcBorders>
            <w:shd w:val="clear" w:color="auto" w:fill="auto"/>
            <w:vAlign w:val="center"/>
          </w:tcPr>
          <w:p w14:paraId="7AA60DC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参培学员满意度90%，圆满完成预期目标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4F6BA4B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400" w:type="dxa"/>
            <w:tcBorders>
              <w:top w:val="single" w:color="auto" w:sz="4" w:space="0"/>
              <w:left w:val="nil"/>
              <w:bottom w:val="single" w:color="auto" w:sz="4" w:space="0"/>
              <w:right w:val="single" w:color="auto" w:sz="4" w:space="0"/>
            </w:tcBorders>
            <w:shd w:val="clear" w:color="auto" w:fill="auto"/>
            <w:vAlign w:val="center"/>
          </w:tcPr>
          <w:p w14:paraId="6F9C0D3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560" w:type="dxa"/>
            <w:tcBorders>
              <w:top w:val="single" w:color="auto" w:sz="4" w:space="0"/>
              <w:left w:val="nil"/>
              <w:bottom w:val="single" w:color="auto" w:sz="4" w:space="0"/>
              <w:right w:val="single" w:color="auto" w:sz="4" w:space="0"/>
            </w:tcBorders>
            <w:shd w:val="clear" w:color="auto" w:fill="auto"/>
            <w:vAlign w:val="center"/>
          </w:tcPr>
          <w:p w14:paraId="50B43BBE">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没有统计分析，今后将加强满意度调查工作，学校将强化项目负责人的主体责任</w:t>
            </w:r>
          </w:p>
        </w:tc>
      </w:tr>
      <w:tr w14:paraId="219EAEFB">
        <w:tblPrEx>
          <w:tblCellMar>
            <w:top w:w="0" w:type="dxa"/>
            <w:left w:w="108" w:type="dxa"/>
            <w:bottom w:w="0" w:type="dxa"/>
            <w:right w:w="108" w:type="dxa"/>
          </w:tblCellMar>
        </w:tblPrEx>
        <w:trPr>
          <w:trHeight w:val="270" w:hRule="atLeast"/>
        </w:trPr>
        <w:tc>
          <w:tcPr>
            <w:tcW w:w="96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D628D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nil"/>
              <w:bottom w:val="single" w:color="auto" w:sz="4" w:space="0"/>
              <w:right w:val="single" w:color="auto" w:sz="4" w:space="0"/>
            </w:tcBorders>
            <w:shd w:val="clear" w:color="auto" w:fill="auto"/>
            <w:vAlign w:val="center"/>
          </w:tcPr>
          <w:p w14:paraId="18DA44D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088F6C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90.97 </w:t>
            </w:r>
          </w:p>
        </w:tc>
        <w:tc>
          <w:tcPr>
            <w:tcW w:w="1560" w:type="dxa"/>
            <w:tcBorders>
              <w:top w:val="single" w:color="auto" w:sz="4" w:space="0"/>
              <w:left w:val="nil"/>
              <w:bottom w:val="single" w:color="auto" w:sz="4" w:space="0"/>
              <w:right w:val="single" w:color="auto" w:sz="4" w:space="0"/>
            </w:tcBorders>
            <w:shd w:val="clear" w:color="auto" w:fill="auto"/>
            <w:vAlign w:val="center"/>
          </w:tcPr>
          <w:p w14:paraId="013321A7">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5FAB8636"/>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3C"/>
    <w:rsid w:val="0000257E"/>
    <w:rsid w:val="00055B37"/>
    <w:rsid w:val="000936A2"/>
    <w:rsid w:val="0012533C"/>
    <w:rsid w:val="00162B66"/>
    <w:rsid w:val="001B6843"/>
    <w:rsid w:val="002F35BB"/>
    <w:rsid w:val="00303E7C"/>
    <w:rsid w:val="00646860"/>
    <w:rsid w:val="006A094F"/>
    <w:rsid w:val="0071334A"/>
    <w:rsid w:val="0090165A"/>
    <w:rsid w:val="00933974"/>
    <w:rsid w:val="00962EE2"/>
    <w:rsid w:val="00AB54BA"/>
    <w:rsid w:val="00B53677"/>
    <w:rsid w:val="00BB789A"/>
    <w:rsid w:val="00DB3348"/>
    <w:rsid w:val="00DE50EA"/>
    <w:rsid w:val="00FA6C7C"/>
    <w:rsid w:val="151173D5"/>
    <w:rsid w:val="75146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1454</Words>
  <Characters>1650</Characters>
  <Lines>13</Lines>
  <Paragraphs>3</Paragraphs>
  <TotalTime>16</TotalTime>
  <ScaleCrop>false</ScaleCrop>
  <LinksUpToDate>false</LinksUpToDate>
  <CharactersWithSpaces>1755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2024-12-06T03:24:31Z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914E5A6ED33C4DBF9AF5C13A3F314562</vt:lpwstr>
  </property>
</Properties>
</file>