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034" w:type="dxa"/>
        <w:tblInd w:w="-993" w:type="dxa"/>
        <w:tblLayout w:type="fixed"/>
        <w:tblCellMar>
          <w:top w:w="0" w:type="dxa"/>
          <w:left w:w="108" w:type="dxa"/>
          <w:bottom w:w="0" w:type="dxa"/>
          <w:right w:w="108" w:type="dxa"/>
        </w:tblCellMar>
      </w:tblPr>
      <w:tblGrid>
        <w:gridCol w:w="967"/>
        <w:gridCol w:w="948"/>
        <w:gridCol w:w="1127"/>
        <w:gridCol w:w="588"/>
        <w:gridCol w:w="954"/>
        <w:gridCol w:w="303"/>
        <w:gridCol w:w="1073"/>
        <w:gridCol w:w="954"/>
        <w:gridCol w:w="477"/>
        <w:gridCol w:w="476"/>
        <w:gridCol w:w="428"/>
        <w:gridCol w:w="319"/>
        <w:gridCol w:w="373"/>
        <w:gridCol w:w="811"/>
        <w:gridCol w:w="236"/>
      </w:tblGrid>
      <w:tr>
        <w:tblPrEx>
          <w:tblCellMar>
            <w:top w:w="0" w:type="dxa"/>
            <w:left w:w="108" w:type="dxa"/>
            <w:bottom w:w="0" w:type="dxa"/>
            <w:right w:w="108" w:type="dxa"/>
          </w:tblCellMar>
        </w:tblPrEx>
        <w:trPr>
          <w:gridAfter w:val="1"/>
          <w:wAfter w:w="236" w:type="dxa"/>
          <w:trHeight w:val="460" w:hRule="atLeast"/>
        </w:trPr>
        <w:tc>
          <w:tcPr>
            <w:tcW w:w="9798" w:type="dxa"/>
            <w:gridSpan w:val="14"/>
            <w:tcBorders>
              <w:top w:val="nil"/>
              <w:left w:val="nil"/>
              <w:bottom w:val="nil"/>
              <w:right w:val="nil"/>
            </w:tcBorders>
            <w:shd w:val="clear" w:color="auto" w:fill="auto"/>
            <w:vAlign w:val="center"/>
          </w:tcPr>
          <w:p>
            <w:pPr>
              <w:widowControl/>
              <w:jc w:val="center"/>
              <w:rPr>
                <w:rFonts w:ascii="Calibri" w:hAnsi="Calibri" w:eastAsia="等线" w:cs="Calibri"/>
                <w:b/>
                <w:color w:val="000000"/>
                <w:kern w:val="0"/>
                <w:sz w:val="36"/>
                <w:szCs w:val="36"/>
              </w:rPr>
            </w:pPr>
            <w:r>
              <w:rPr>
                <w:rFonts w:ascii="Calibri" w:hAnsi="Calibri" w:eastAsia="等线" w:cs="Calibri"/>
                <w:b/>
                <w:color w:val="000000"/>
                <w:kern w:val="0"/>
                <w:sz w:val="36"/>
                <w:szCs w:val="36"/>
              </w:rPr>
              <w:t>项目支出绩效自评表</w:t>
            </w:r>
          </w:p>
        </w:tc>
      </w:tr>
      <w:tr>
        <w:tblPrEx>
          <w:tblCellMar>
            <w:top w:w="0" w:type="dxa"/>
            <w:left w:w="108" w:type="dxa"/>
            <w:bottom w:w="0" w:type="dxa"/>
            <w:right w:w="108" w:type="dxa"/>
          </w:tblCellMar>
        </w:tblPrEx>
        <w:trPr>
          <w:gridAfter w:val="1"/>
          <w:wAfter w:w="236" w:type="dxa"/>
          <w:trHeight w:val="381" w:hRule="atLeast"/>
        </w:trPr>
        <w:tc>
          <w:tcPr>
            <w:tcW w:w="9798" w:type="dxa"/>
            <w:gridSpan w:val="14"/>
            <w:tcBorders>
              <w:top w:val="nil"/>
              <w:left w:val="nil"/>
              <w:bottom w:val="nil"/>
              <w:right w:val="nil"/>
            </w:tcBorders>
            <w:shd w:val="clear" w:color="auto" w:fill="auto"/>
            <w:vAlign w:val="center"/>
          </w:tcPr>
          <w:p>
            <w:pPr>
              <w:widowControl/>
              <w:jc w:val="center"/>
              <w:rPr>
                <w:rFonts w:ascii="Calibri" w:hAnsi="Calibri" w:eastAsia="等线" w:cs="Calibri"/>
                <w:color w:val="000000"/>
                <w:kern w:val="0"/>
                <w:sz w:val="28"/>
                <w:szCs w:val="28"/>
              </w:rPr>
            </w:pPr>
            <w:r>
              <w:rPr>
                <w:rFonts w:ascii="Calibri" w:hAnsi="Calibri" w:eastAsia="等线" w:cs="Calibri"/>
                <w:color w:val="000000"/>
                <w:kern w:val="0"/>
                <w:sz w:val="28"/>
                <w:szCs w:val="28"/>
              </w:rPr>
              <w:t>(2023年度</w:t>
            </w:r>
            <w:r>
              <w:rPr>
                <w:rFonts w:hint="eastAsia" w:ascii="Calibri" w:hAnsi="Calibri" w:eastAsia="等线" w:cs="Calibri"/>
                <w:color w:val="000000"/>
                <w:kern w:val="0"/>
                <w:sz w:val="28"/>
                <w:szCs w:val="28"/>
              </w:rPr>
              <w:t>)</w:t>
            </w:r>
          </w:p>
        </w:tc>
      </w:tr>
      <w:tr>
        <w:tblPrEx>
          <w:tblCellMar>
            <w:top w:w="0" w:type="dxa"/>
            <w:left w:w="108" w:type="dxa"/>
            <w:bottom w:w="0" w:type="dxa"/>
            <w:right w:w="108" w:type="dxa"/>
          </w:tblCellMar>
        </w:tblPrEx>
        <w:trPr>
          <w:gridAfter w:val="1"/>
          <w:wAfter w:w="236" w:type="dxa"/>
          <w:trHeight w:val="300" w:hRule="atLeast"/>
        </w:trPr>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项目名称</w:t>
            </w:r>
          </w:p>
        </w:tc>
        <w:tc>
          <w:tcPr>
            <w:tcW w:w="7883"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航空部件维修实训装置建设（提质培优）</w:t>
            </w:r>
          </w:p>
        </w:tc>
      </w:tr>
      <w:tr>
        <w:tblPrEx>
          <w:tblCellMar>
            <w:top w:w="0" w:type="dxa"/>
            <w:left w:w="108" w:type="dxa"/>
            <w:bottom w:w="0" w:type="dxa"/>
            <w:right w:w="108" w:type="dxa"/>
          </w:tblCellMar>
        </w:tblPrEx>
        <w:trPr>
          <w:gridAfter w:val="1"/>
          <w:wAfter w:w="236" w:type="dxa"/>
          <w:trHeight w:val="300" w:hRule="atLeast"/>
        </w:trPr>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主管部门</w:t>
            </w:r>
          </w:p>
        </w:tc>
        <w:tc>
          <w:tcPr>
            <w:tcW w:w="4045"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北京市教育委员会</w:t>
            </w:r>
          </w:p>
        </w:tc>
        <w:tc>
          <w:tcPr>
            <w:tcW w:w="143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实施单位</w:t>
            </w:r>
          </w:p>
        </w:tc>
        <w:tc>
          <w:tcPr>
            <w:tcW w:w="2407"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北京电子科技职业学院</w:t>
            </w:r>
          </w:p>
        </w:tc>
      </w:tr>
      <w:tr>
        <w:tblPrEx>
          <w:tblCellMar>
            <w:top w:w="0" w:type="dxa"/>
            <w:left w:w="108" w:type="dxa"/>
            <w:bottom w:w="0" w:type="dxa"/>
            <w:right w:w="108" w:type="dxa"/>
          </w:tblCellMar>
        </w:tblPrEx>
        <w:trPr>
          <w:gridAfter w:val="1"/>
          <w:wAfter w:w="236" w:type="dxa"/>
          <w:trHeight w:val="300" w:hRule="atLeast"/>
        </w:trPr>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项目负责人</w:t>
            </w:r>
          </w:p>
        </w:tc>
        <w:tc>
          <w:tcPr>
            <w:tcW w:w="4045"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肖莹</w:t>
            </w:r>
          </w:p>
        </w:tc>
        <w:tc>
          <w:tcPr>
            <w:tcW w:w="143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联系电话</w:t>
            </w:r>
          </w:p>
        </w:tc>
        <w:tc>
          <w:tcPr>
            <w:tcW w:w="2407"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15910768120</w:t>
            </w:r>
          </w:p>
        </w:tc>
      </w:tr>
      <w:tr>
        <w:tblPrEx>
          <w:tblCellMar>
            <w:top w:w="0" w:type="dxa"/>
            <w:left w:w="108" w:type="dxa"/>
            <w:bottom w:w="0" w:type="dxa"/>
            <w:right w:w="108" w:type="dxa"/>
          </w:tblCellMar>
        </w:tblPrEx>
        <w:trPr>
          <w:gridAfter w:val="1"/>
          <w:wAfter w:w="236" w:type="dxa"/>
          <w:trHeight w:val="312" w:hRule="atLeast"/>
        </w:trPr>
        <w:tc>
          <w:tcPr>
            <w:tcW w:w="19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项目资金</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 xml:space="preserve"> (万元)</w:t>
            </w:r>
          </w:p>
        </w:tc>
        <w:tc>
          <w:tcPr>
            <w:tcW w:w="17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9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年初预</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 xml:space="preserve"> 算数</w:t>
            </w:r>
          </w:p>
        </w:tc>
        <w:tc>
          <w:tcPr>
            <w:tcW w:w="13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全年预</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 xml:space="preserve"> 算数</w:t>
            </w:r>
          </w:p>
        </w:tc>
        <w:tc>
          <w:tcPr>
            <w:tcW w:w="14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 全年</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执行数</w:t>
            </w:r>
          </w:p>
        </w:tc>
        <w:tc>
          <w:tcPr>
            <w:tcW w:w="9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分值</w:t>
            </w:r>
          </w:p>
        </w:tc>
        <w:tc>
          <w:tcPr>
            <w:tcW w:w="6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执行率</w:t>
            </w:r>
          </w:p>
        </w:tc>
        <w:tc>
          <w:tcPr>
            <w:tcW w:w="81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得分</w:t>
            </w:r>
          </w:p>
        </w:tc>
      </w:tr>
      <w:tr>
        <w:tblPrEx>
          <w:tblCellMar>
            <w:top w:w="0" w:type="dxa"/>
            <w:left w:w="108" w:type="dxa"/>
            <w:bottom w:w="0" w:type="dxa"/>
            <w:right w:w="108" w:type="dxa"/>
          </w:tblCellMar>
        </w:tblPrEx>
        <w:trPr>
          <w:trHeight w:val="300" w:hRule="atLeast"/>
        </w:trPr>
        <w:tc>
          <w:tcPr>
            <w:tcW w:w="19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5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37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43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69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1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236" w:type="dxa"/>
            <w:tcBorders>
              <w:top w:val="nil"/>
              <w:left w:val="nil"/>
              <w:bottom w:val="nil"/>
              <w:right w:val="nil"/>
            </w:tcBorders>
            <w:shd w:val="clear" w:color="auto" w:fill="auto"/>
            <w:noWrap/>
            <w:vAlign w:val="center"/>
          </w:tcPr>
          <w:p>
            <w:pPr>
              <w:widowControl/>
              <w:jc w:val="center"/>
              <w:rPr>
                <w:rFonts w:ascii="Calibri" w:hAnsi="Calibri" w:eastAsia="等线" w:cs="Calibri"/>
                <w:color w:val="000000"/>
                <w:kern w:val="0"/>
                <w:sz w:val="20"/>
                <w:szCs w:val="20"/>
              </w:rPr>
            </w:pPr>
          </w:p>
        </w:tc>
      </w:tr>
      <w:tr>
        <w:tblPrEx>
          <w:tblCellMar>
            <w:top w:w="0" w:type="dxa"/>
            <w:left w:w="108" w:type="dxa"/>
            <w:bottom w:w="0" w:type="dxa"/>
            <w:right w:w="108" w:type="dxa"/>
          </w:tblCellMar>
        </w:tblPrEx>
        <w:trPr>
          <w:trHeight w:val="300" w:hRule="atLeast"/>
        </w:trPr>
        <w:tc>
          <w:tcPr>
            <w:tcW w:w="19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1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年度资金总额</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ascii="Calibri" w:hAnsi="Calibri" w:eastAsia="等线" w:cs="Calibri"/>
                <w:color w:val="000000"/>
                <w:kern w:val="0"/>
                <w:sz w:val="20"/>
                <w:szCs w:val="20"/>
              </w:rPr>
              <w:t>436.412</w:t>
            </w:r>
            <w:r>
              <w:rPr>
                <w:rFonts w:hint="eastAsia" w:ascii="Calibri" w:hAnsi="Calibri" w:eastAsia="等线" w:cs="Calibri"/>
                <w:color w:val="000000"/>
                <w:kern w:val="0"/>
                <w:sz w:val="20"/>
                <w:szCs w:val="20"/>
                <w:lang w:val="en-US" w:eastAsia="zh-CN"/>
              </w:rPr>
              <w:t>000</w:t>
            </w:r>
          </w:p>
        </w:tc>
        <w:tc>
          <w:tcPr>
            <w:tcW w:w="137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436.412</w:t>
            </w:r>
            <w:r>
              <w:rPr>
                <w:rFonts w:hint="eastAsia" w:ascii="Calibri" w:hAnsi="Calibri" w:eastAsia="等线" w:cs="Calibri"/>
                <w:color w:val="000000"/>
                <w:kern w:val="0"/>
                <w:sz w:val="20"/>
                <w:szCs w:val="20"/>
                <w:lang w:val="en-US" w:eastAsia="zh-CN"/>
              </w:rPr>
              <w:t>000</w:t>
            </w:r>
          </w:p>
        </w:tc>
        <w:tc>
          <w:tcPr>
            <w:tcW w:w="143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ascii="Calibri" w:hAnsi="Calibri" w:eastAsia="等线" w:cs="Calibri"/>
                <w:color w:val="000000"/>
                <w:kern w:val="0"/>
                <w:sz w:val="20"/>
                <w:szCs w:val="20"/>
              </w:rPr>
              <w:t>427.7</w:t>
            </w:r>
            <w:r>
              <w:rPr>
                <w:rFonts w:hint="eastAsia" w:ascii="Calibri" w:hAnsi="Calibri" w:eastAsia="等线" w:cs="Calibri"/>
                <w:color w:val="000000"/>
                <w:kern w:val="0"/>
                <w:sz w:val="20"/>
                <w:szCs w:val="20"/>
                <w:lang w:val="en-US" w:eastAsia="zh-CN"/>
              </w:rPr>
              <w:t>00000</w:t>
            </w:r>
          </w:p>
        </w:tc>
        <w:tc>
          <w:tcPr>
            <w:tcW w:w="90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69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98%</w:t>
            </w:r>
          </w:p>
        </w:tc>
        <w:tc>
          <w:tcPr>
            <w:tcW w:w="81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19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其中：当年财政拨款</w:t>
            </w:r>
          </w:p>
        </w:tc>
        <w:tc>
          <w:tcPr>
            <w:tcW w:w="9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436.412</w:t>
            </w:r>
            <w:r>
              <w:rPr>
                <w:rFonts w:hint="eastAsia" w:ascii="Calibri" w:hAnsi="Calibri" w:eastAsia="等线" w:cs="Calibri"/>
                <w:color w:val="000000"/>
                <w:kern w:val="0"/>
                <w:sz w:val="20"/>
                <w:szCs w:val="20"/>
                <w:lang w:val="en-US" w:eastAsia="zh-CN"/>
              </w:rPr>
              <w:t>000</w:t>
            </w:r>
          </w:p>
        </w:tc>
        <w:tc>
          <w:tcPr>
            <w:tcW w:w="13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436.412</w:t>
            </w:r>
            <w:r>
              <w:rPr>
                <w:rFonts w:hint="eastAsia" w:ascii="Calibri" w:hAnsi="Calibri" w:eastAsia="等线" w:cs="Calibri"/>
                <w:color w:val="000000"/>
                <w:kern w:val="0"/>
                <w:sz w:val="20"/>
                <w:szCs w:val="20"/>
                <w:lang w:val="en-US" w:eastAsia="zh-CN"/>
              </w:rPr>
              <w:t>000</w:t>
            </w:r>
          </w:p>
        </w:tc>
        <w:tc>
          <w:tcPr>
            <w:tcW w:w="14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hint="eastAsia" w:ascii="Calibri" w:hAnsi="Calibri" w:eastAsia="等线" w:cs="Calibri"/>
                <w:color w:val="000000"/>
                <w:kern w:val="0"/>
                <w:sz w:val="20"/>
                <w:szCs w:val="20"/>
              </w:rPr>
              <w:t>4</w:t>
            </w:r>
            <w:r>
              <w:rPr>
                <w:rFonts w:ascii="Calibri" w:hAnsi="Calibri" w:eastAsia="等线" w:cs="Calibri"/>
                <w:color w:val="000000"/>
                <w:kern w:val="0"/>
                <w:sz w:val="20"/>
                <w:szCs w:val="20"/>
              </w:rPr>
              <w:t>27.7</w:t>
            </w:r>
            <w:r>
              <w:rPr>
                <w:rFonts w:hint="eastAsia" w:ascii="Calibri" w:hAnsi="Calibri" w:eastAsia="等线" w:cs="Calibri"/>
                <w:color w:val="000000"/>
                <w:kern w:val="0"/>
                <w:sz w:val="20"/>
                <w:szCs w:val="20"/>
                <w:lang w:val="en-US" w:eastAsia="zh-CN"/>
              </w:rPr>
              <w:t>00000</w:t>
            </w:r>
            <w:bookmarkStart w:id="0" w:name="_GoBack"/>
            <w:bookmarkEnd w:id="0"/>
          </w:p>
        </w:tc>
        <w:tc>
          <w:tcPr>
            <w:tcW w:w="9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6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1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19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5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37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43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69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1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236" w:type="dxa"/>
            <w:tcBorders>
              <w:top w:val="nil"/>
              <w:left w:val="nil"/>
              <w:bottom w:val="nil"/>
              <w:right w:val="nil"/>
            </w:tcBorders>
            <w:shd w:val="clear" w:color="auto" w:fill="auto"/>
            <w:noWrap/>
            <w:vAlign w:val="center"/>
          </w:tcPr>
          <w:p>
            <w:pPr>
              <w:widowControl/>
              <w:jc w:val="center"/>
              <w:rPr>
                <w:rFonts w:ascii="Calibri" w:hAnsi="Calibri" w:eastAsia="等线" w:cs="Calibri"/>
                <w:color w:val="000000"/>
                <w:kern w:val="0"/>
                <w:sz w:val="20"/>
                <w:szCs w:val="20"/>
              </w:rPr>
            </w:pPr>
          </w:p>
        </w:tc>
      </w:tr>
      <w:tr>
        <w:tblPrEx>
          <w:tblCellMar>
            <w:top w:w="0" w:type="dxa"/>
            <w:left w:w="108" w:type="dxa"/>
            <w:bottom w:w="0" w:type="dxa"/>
            <w:right w:w="108" w:type="dxa"/>
          </w:tblCellMar>
        </w:tblPrEx>
        <w:trPr>
          <w:trHeight w:val="300" w:hRule="atLeast"/>
        </w:trPr>
        <w:tc>
          <w:tcPr>
            <w:tcW w:w="19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1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      上年结转资金</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37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43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90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69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1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19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1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  其他资金</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37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43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90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69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1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年度总体目标</w:t>
            </w:r>
          </w:p>
        </w:tc>
        <w:tc>
          <w:tcPr>
            <w:tcW w:w="4993"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预期目标</w:t>
            </w:r>
          </w:p>
        </w:tc>
        <w:tc>
          <w:tcPr>
            <w:tcW w:w="383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实际完成情况</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4993"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 飞机维修专业面向首都临空经济区培养服务首都航空产业的高端技术技能人才。2019年起飞机维修专业先后与国航、海航、东航等签订了订单人才培养协议，为航空企业定制化培养飞机航线维护、部件维修和飞机定检人才。到2022年9月份航空维修专业在校生达634人。为提升人才培养质量，满足订单人才培养，提升学生技术技能水平，进行航空部件维修实训装置建设。同时本项目也是航空专业群特高建设项目。</w:t>
            </w:r>
          </w:p>
        </w:tc>
        <w:tc>
          <w:tcPr>
            <w:tcW w:w="383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已全部完成绩效目标，完成1套涡桨-5型发动机训练系统、6套涡喷-6发动机训练组件、2套涡喷-6发动机龙门吊、3套管路施工训练组件、1套飞机驾驶舱、客舱内饰、1套客舱部件维修训练组件装置、1套机轮刹车维修训练组件、1套滑梯维修训练组件、4套飞机无损检测设备、1套无人机装调实训系统购置</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9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绩效目标</w:t>
            </w:r>
          </w:p>
        </w:tc>
        <w:tc>
          <w:tcPr>
            <w:tcW w:w="94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一级指标</w:t>
            </w:r>
          </w:p>
        </w:tc>
        <w:tc>
          <w:tcPr>
            <w:tcW w:w="112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二级指标</w:t>
            </w:r>
          </w:p>
        </w:tc>
        <w:tc>
          <w:tcPr>
            <w:tcW w:w="184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三级指标</w:t>
            </w:r>
          </w:p>
        </w:tc>
        <w:tc>
          <w:tcPr>
            <w:tcW w:w="107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年度指标值</w:t>
            </w:r>
          </w:p>
        </w:tc>
        <w:tc>
          <w:tcPr>
            <w:tcW w:w="9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实际完成值</w:t>
            </w:r>
          </w:p>
        </w:tc>
        <w:tc>
          <w:tcPr>
            <w:tcW w:w="9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分值</w:t>
            </w:r>
          </w:p>
        </w:tc>
        <w:tc>
          <w:tcPr>
            <w:tcW w:w="7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得分</w:t>
            </w:r>
          </w:p>
        </w:tc>
        <w:tc>
          <w:tcPr>
            <w:tcW w:w="11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偏差原因分析及改进措施</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7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5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5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74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8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236" w:type="dxa"/>
            <w:tcBorders>
              <w:top w:val="nil"/>
              <w:left w:val="nil"/>
              <w:bottom w:val="nil"/>
              <w:right w:val="nil"/>
            </w:tcBorders>
            <w:shd w:val="clear" w:color="auto" w:fill="auto"/>
            <w:noWrap/>
            <w:vAlign w:val="center"/>
          </w:tcPr>
          <w:p>
            <w:pPr>
              <w:widowControl/>
              <w:jc w:val="center"/>
              <w:rPr>
                <w:rFonts w:ascii="Calibri" w:hAnsi="Calibri" w:eastAsia="等线" w:cs="Calibri"/>
                <w:color w:val="000000"/>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产出指标</w:t>
            </w:r>
          </w:p>
        </w:tc>
        <w:tc>
          <w:tcPr>
            <w:tcW w:w="112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数量指标</w:t>
            </w: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涡桨-5型发动机训练系统</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=1套</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w:t>
            </w:r>
            <w:r>
              <w:rPr>
                <w:rFonts w:hint="eastAsia" w:ascii="Calibri" w:hAnsi="Calibri" w:eastAsia="等线" w:cs="Calibri"/>
                <w:color w:val="000000"/>
                <w:kern w:val="0"/>
                <w:sz w:val="20"/>
                <w:szCs w:val="20"/>
              </w:rPr>
              <w:t>套</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涡喷-6发动机训练组件</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=6套</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6</w:t>
            </w:r>
            <w:r>
              <w:rPr>
                <w:rFonts w:hint="eastAsia" w:ascii="Calibri" w:hAnsi="Calibri" w:eastAsia="等线" w:cs="Calibri"/>
                <w:color w:val="000000"/>
                <w:kern w:val="0"/>
                <w:sz w:val="20"/>
                <w:szCs w:val="20"/>
              </w:rPr>
              <w:t>套</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涡喷-7发动机龙门吊</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=2套</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r>
              <w:rPr>
                <w:rFonts w:hint="eastAsia" w:ascii="Calibri" w:hAnsi="Calibri" w:eastAsia="等线" w:cs="Calibri"/>
                <w:color w:val="000000"/>
                <w:kern w:val="0"/>
                <w:sz w:val="20"/>
                <w:szCs w:val="20"/>
              </w:rPr>
              <w:t>套</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27"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管路施工训练组件</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=0套</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具体指标在2</w:t>
            </w:r>
            <w:r>
              <w:rPr>
                <w:rFonts w:ascii="Calibri" w:hAnsi="Calibri" w:eastAsia="等线" w:cs="Calibri"/>
                <w:color w:val="000000"/>
                <w:kern w:val="0"/>
                <w:sz w:val="20"/>
                <w:szCs w:val="20"/>
              </w:rPr>
              <w:t>4</w:t>
            </w:r>
            <w:r>
              <w:rPr>
                <w:rFonts w:hint="eastAsia" w:ascii="Calibri" w:hAnsi="Calibri" w:eastAsia="等线" w:cs="Calibri"/>
                <w:color w:val="000000"/>
                <w:kern w:val="0"/>
                <w:sz w:val="20"/>
                <w:szCs w:val="20"/>
              </w:rPr>
              <w:t>年设定并完成</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飞机驾驶舱、客舱内饰</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=0套</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具体指标在2</w:t>
            </w:r>
            <w:r>
              <w:rPr>
                <w:rFonts w:ascii="Calibri" w:hAnsi="Calibri" w:eastAsia="等线" w:cs="Calibri"/>
                <w:color w:val="000000"/>
                <w:kern w:val="0"/>
                <w:sz w:val="20"/>
                <w:szCs w:val="20"/>
              </w:rPr>
              <w:t>4</w:t>
            </w:r>
            <w:r>
              <w:rPr>
                <w:rFonts w:hint="eastAsia" w:ascii="Calibri" w:hAnsi="Calibri" w:eastAsia="等线" w:cs="Calibri"/>
                <w:color w:val="000000"/>
                <w:kern w:val="0"/>
                <w:sz w:val="20"/>
                <w:szCs w:val="20"/>
              </w:rPr>
              <w:t>年设定并完成</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飞机客舱部件维修训练组件</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=1套</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w:t>
            </w:r>
            <w:r>
              <w:rPr>
                <w:rFonts w:hint="eastAsia" w:ascii="Calibri" w:hAnsi="Calibri" w:eastAsia="等线" w:cs="Calibri"/>
                <w:color w:val="000000"/>
                <w:kern w:val="0"/>
                <w:sz w:val="20"/>
                <w:szCs w:val="20"/>
              </w:rPr>
              <w:t>套</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飞机机轮刹车维修训练组件</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=1套</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w:t>
            </w:r>
            <w:r>
              <w:rPr>
                <w:rFonts w:hint="eastAsia" w:ascii="Calibri" w:hAnsi="Calibri" w:eastAsia="等线" w:cs="Calibri"/>
                <w:color w:val="000000"/>
                <w:kern w:val="0"/>
                <w:sz w:val="20"/>
                <w:szCs w:val="20"/>
              </w:rPr>
              <w:t>套</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飞机滑梯维修训练组件</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=1套</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w:t>
            </w:r>
            <w:r>
              <w:rPr>
                <w:rFonts w:hint="eastAsia" w:ascii="Calibri" w:hAnsi="Calibri" w:eastAsia="等线" w:cs="Calibri"/>
                <w:color w:val="000000"/>
                <w:kern w:val="0"/>
                <w:sz w:val="20"/>
                <w:szCs w:val="20"/>
              </w:rPr>
              <w:t>套</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飞机无损检测设备</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=0套</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具体指标在2</w:t>
            </w:r>
            <w:r>
              <w:rPr>
                <w:rFonts w:ascii="Calibri" w:hAnsi="Calibri" w:eastAsia="等线" w:cs="Calibri"/>
                <w:color w:val="000000"/>
                <w:kern w:val="0"/>
                <w:sz w:val="20"/>
                <w:szCs w:val="20"/>
              </w:rPr>
              <w:t>4</w:t>
            </w:r>
            <w:r>
              <w:rPr>
                <w:rFonts w:hint="eastAsia" w:ascii="Calibri" w:hAnsi="Calibri" w:eastAsia="等线" w:cs="Calibri"/>
                <w:color w:val="000000"/>
                <w:kern w:val="0"/>
                <w:sz w:val="20"/>
                <w:szCs w:val="20"/>
              </w:rPr>
              <w:t>年设定并完成</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无人机装调实训系统</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=0套</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具体指标在2</w:t>
            </w:r>
            <w:r>
              <w:rPr>
                <w:rFonts w:ascii="Calibri" w:hAnsi="Calibri" w:eastAsia="等线" w:cs="Calibri"/>
                <w:color w:val="000000"/>
                <w:kern w:val="0"/>
                <w:sz w:val="20"/>
                <w:szCs w:val="20"/>
              </w:rPr>
              <w:t>4</w:t>
            </w:r>
            <w:r>
              <w:rPr>
                <w:rFonts w:hint="eastAsia" w:ascii="Calibri" w:hAnsi="Calibri" w:eastAsia="等线" w:cs="Calibri"/>
                <w:color w:val="000000"/>
                <w:kern w:val="0"/>
                <w:sz w:val="20"/>
                <w:szCs w:val="20"/>
              </w:rPr>
              <w:t>年设定并完成</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质量指标</w:t>
            </w: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验收合格率</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6</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6</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时效指标</w:t>
            </w: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完成采购招标</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≤2023年9月年月</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2023年4月17日</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完成验收和尾款支付</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≤2024年11月年月</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2023年9月12日</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成本指标</w:t>
            </w:r>
          </w:p>
        </w:tc>
        <w:tc>
          <w:tcPr>
            <w:tcW w:w="1127"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经济成本指标</w:t>
            </w: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项目总成本</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=436.412万元</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436.412万元</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生态环境成本指标</w:t>
            </w: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影响生态环境</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=优</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无</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效益指标</w:t>
            </w:r>
          </w:p>
        </w:tc>
        <w:tc>
          <w:tcPr>
            <w:tcW w:w="112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社会效益指标</w:t>
            </w: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项目建成后每年专业教学人数</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≥300人</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310</w:t>
            </w:r>
            <w:r>
              <w:rPr>
                <w:rFonts w:hint="eastAsia" w:ascii="Calibri" w:hAnsi="Calibri" w:eastAsia="等线" w:cs="Calibri"/>
                <w:color w:val="000000"/>
                <w:kern w:val="0"/>
                <w:sz w:val="20"/>
                <w:szCs w:val="20"/>
              </w:rPr>
              <w:t>人</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项目建成后每年接待中小学生参观人数</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≥200人</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200</w:t>
            </w:r>
            <w:r>
              <w:rPr>
                <w:rFonts w:hint="eastAsia" w:ascii="Calibri" w:hAnsi="Calibri" w:eastAsia="等线" w:cs="Calibri"/>
                <w:color w:val="000000"/>
                <w:kern w:val="0"/>
                <w:sz w:val="20"/>
                <w:szCs w:val="20"/>
              </w:rPr>
              <w:t>人</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建设满足专业教学课程数</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≥5门</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r>
              <w:rPr>
                <w:rFonts w:hint="eastAsia" w:ascii="Calibri" w:hAnsi="Calibri" w:eastAsia="等线" w:cs="Calibri"/>
                <w:color w:val="000000"/>
                <w:kern w:val="0"/>
                <w:sz w:val="20"/>
                <w:szCs w:val="20"/>
              </w:rPr>
              <w:t>门</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生态效益指标</w:t>
            </w: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设备环保要求符合国家要求</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=优</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优</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27"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可持续影响指标</w:t>
            </w: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项目完成使用年限</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≥7年</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w:t>
            </w:r>
            <w:r>
              <w:rPr>
                <w:rFonts w:hint="eastAsia" w:ascii="Calibri" w:hAnsi="Calibri" w:eastAsia="等线" w:cs="Calibri"/>
                <w:color w:val="000000"/>
                <w:kern w:val="0"/>
                <w:sz w:val="20"/>
                <w:szCs w:val="20"/>
              </w:rPr>
              <w:t>年</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持续使用中</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6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8"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满意度指标</w:t>
            </w:r>
          </w:p>
        </w:tc>
        <w:tc>
          <w:tcPr>
            <w:tcW w:w="1127"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服务对象满意度指标</w:t>
            </w:r>
          </w:p>
        </w:tc>
        <w:tc>
          <w:tcPr>
            <w:tcW w:w="184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师生满意度</w:t>
            </w:r>
          </w:p>
        </w:tc>
        <w:tc>
          <w:tcPr>
            <w:tcW w:w="107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≥90%</w:t>
            </w:r>
          </w:p>
        </w:tc>
        <w:tc>
          <w:tcPr>
            <w:tcW w:w="9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95%</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36"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691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总分</w:t>
            </w:r>
          </w:p>
        </w:tc>
        <w:tc>
          <w:tcPr>
            <w:tcW w:w="9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7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11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236" w:type="dxa"/>
            <w:vAlign w:val="center"/>
          </w:tcPr>
          <w:p>
            <w:pPr>
              <w:widowControl/>
              <w:jc w:val="left"/>
              <w:rPr>
                <w:rFonts w:ascii="Times New Roman" w:hAnsi="Times New Roman" w:eastAsia="Times New Roman" w:cs="Times New Roman"/>
                <w:kern w:val="0"/>
                <w:sz w:val="20"/>
                <w:szCs w:val="2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wYWM1NzIxYWZjYjU5NjAzZjJlNmQxZmNmOTJjYmYifQ=="/>
  </w:docVars>
  <w:rsids>
    <w:rsidRoot w:val="00320B48"/>
    <w:rsid w:val="001A3A57"/>
    <w:rsid w:val="00320B48"/>
    <w:rsid w:val="00740EC0"/>
    <w:rsid w:val="00AE6579"/>
    <w:rsid w:val="00DA0017"/>
    <w:rsid w:val="00DA4E35"/>
    <w:rsid w:val="00DF0476"/>
    <w:rsid w:val="00E2657D"/>
    <w:rsid w:val="00EA0FEF"/>
    <w:rsid w:val="00F55017"/>
    <w:rsid w:val="36F96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226</Words>
  <Characters>1294</Characters>
  <Lines>10</Lines>
  <Paragraphs>3</Paragraphs>
  <TotalTime>0</TotalTime>
  <ScaleCrop>false</ScaleCrop>
  <LinksUpToDate>false</LinksUpToDate>
  <CharactersWithSpaces>1517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2024-04-24T05:43:00Z</dcterms:created>
  <dc:creator>xy k</dc:creator>
  <cp:lastModifiedBy>Fengg</cp:lastModifiedBy>
  <dcterms:modified xsi:type="dcterms:W3CDTF">2024-05-15T07:52:20Z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C3FB903A283E43A3BA4A8805D358D6EA_12</vt:lpwstr>
  </property>
</Properties>
</file>