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2023年度部门决算公开</w:t>
      </w:r>
    </w:p>
    <w:p>
      <w:pPr>
        <w:jc w:val="center"/>
        <w:rPr>
          <w:rFonts w:ascii="黑体" w:eastAsia="黑体"/>
          <w:sz w:val="52"/>
          <w:szCs w:val="52"/>
        </w:rPr>
      </w:pPr>
    </w:p>
    <w:p>
      <w:pPr>
        <w:jc w:val="center"/>
        <w:rPr>
          <w:rFonts w:hint="default" w:ascii="黑体" w:eastAsia="黑体"/>
          <w:sz w:val="52"/>
          <w:szCs w:val="52"/>
          <w:lang w:val="en-US"/>
        </w:rPr>
      </w:pPr>
      <w:r>
        <w:rPr>
          <w:rFonts w:hint="eastAsia" w:ascii="宋体" w:hAnsi="宋体"/>
          <w:sz w:val="36"/>
          <w:szCs w:val="36"/>
        </w:rPr>
        <w:t>单位名称：</w:t>
      </w:r>
      <w:r>
        <w:rPr>
          <w:rFonts w:hint="eastAsia" w:ascii="宋体" w:hAnsi="宋体"/>
          <w:sz w:val="36"/>
          <w:szCs w:val="36"/>
          <w:lang w:val="en-US" w:eastAsia="zh-CN"/>
        </w:rPr>
        <w:t>北京财贸职业学院</w:t>
      </w:r>
      <w:bookmarkStart w:id="1" w:name="_GoBack"/>
      <w:bookmarkEnd w:id="1"/>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widowControl/>
        <w:shd w:val="clear" w:color="auto" w:fill="FFFFFF"/>
        <w:ind w:firstLine="480"/>
        <w:jc w:val="left"/>
        <w:rPr>
          <w:rFonts w:ascii="仿宋_GB2312" w:eastAsia="仿宋_GB2312"/>
          <w:sz w:val="28"/>
          <w:szCs w:val="28"/>
        </w:rPr>
      </w:pPr>
      <w:r>
        <w:rPr>
          <w:rFonts w:hint="eastAsia" w:ascii="仿宋_GB2312" w:eastAsia="仿宋_GB2312"/>
          <w:sz w:val="28"/>
          <w:szCs w:val="28"/>
        </w:rPr>
        <w:t>北京财贸职业学院为公益二类事业单位，</w:t>
      </w:r>
      <w:r>
        <w:rPr>
          <w:rFonts w:ascii="仿宋_GB2312" w:eastAsia="仿宋_GB2312"/>
          <w:sz w:val="28"/>
          <w:szCs w:val="28"/>
        </w:rPr>
        <w:t>包括1个预算单位，即北京财贸职业学院（本级）。内设33个处室，分别为：学校办公室，组织部、统战部，宣传部（新闻中心）、教师工作部，纪委办公室、监察专员办公室，巡察办公室，学生工作部（处）（创新创业与就业指导中心）、武装部，安全稳定工作部（处），工会（校友办公室），团委，人事处（教师发展中心），质量管理办公室，教务处（实训管理中心、招生办公室），科技处（产学研办公室），财务处，审计处，资产管理处，后勤</w:t>
      </w:r>
      <w:r>
        <w:rPr>
          <w:rFonts w:hint="eastAsia" w:ascii="仿宋_GB2312" w:eastAsia="仿宋_GB2312"/>
          <w:sz w:val="28"/>
          <w:szCs w:val="28"/>
        </w:rPr>
        <w:t>管理处，</w:t>
      </w:r>
      <w:r>
        <w:rPr>
          <w:rFonts w:ascii="仿宋_GB2312" w:eastAsia="仿宋_GB2312"/>
          <w:sz w:val="28"/>
          <w:szCs w:val="28"/>
        </w:rPr>
        <w:t>基建处，离退休人员工作处，立信会计学院，金融学院，商学院，旅游与艺术学院，建筑工程管理学院，基础教育学院（体育部），国际教育学院（国际交流中心）、外事与港澳台办公室，马克思主义学院，商业研究所（国际商贸中心研究基地办公室），高等职业教育研究所（发展规划处、学报编辑部），继续教育学院（东城校区），贯通教育学院（朝阳校区），京冀创新教育学院（涿州校区），图书馆与信息技术中心。</w:t>
      </w:r>
    </w:p>
    <w:p>
      <w:pPr>
        <w:pStyle w:val="2"/>
        <w:ind w:firstLine="560"/>
        <w:rPr>
          <w:rFonts w:ascii="仿宋_GB2312" w:eastAsia="仿宋_GB2312"/>
          <w:sz w:val="28"/>
          <w:szCs w:val="28"/>
        </w:rPr>
      </w:pPr>
      <w:r>
        <w:rPr>
          <w:rFonts w:hint="eastAsia" w:ascii="仿宋_GB2312" w:eastAsia="仿宋_GB2312"/>
          <w:sz w:val="28"/>
          <w:szCs w:val="28"/>
        </w:rPr>
        <w:t>主要职责为培养高素质应用型人才，促进首都财贸与服务业发展，高职学历教育、成人教育、中专教育，财贸职业培训、财贸科学研究、财贸学术交流、财贸咨询服务。</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ascii="仿宋_GB2312" w:eastAsia="仿宋_GB2312"/>
          <w:kern w:val="0"/>
          <w:sz w:val="28"/>
          <w:szCs w:val="28"/>
        </w:rPr>
        <w:t>0</w:t>
      </w:r>
      <w:r>
        <w:rPr>
          <w:rFonts w:hint="eastAsia" w:ascii="仿宋_GB2312" w:eastAsia="仿宋_GB2312"/>
          <w:kern w:val="0"/>
          <w:sz w:val="28"/>
          <w:szCs w:val="28"/>
        </w:rPr>
        <w:t>人，实有人数</w:t>
      </w:r>
      <w:r>
        <w:rPr>
          <w:rFonts w:ascii="仿宋_GB2312" w:eastAsia="仿宋_GB2312"/>
          <w:kern w:val="0"/>
          <w:sz w:val="28"/>
          <w:szCs w:val="28"/>
        </w:rPr>
        <w:t>0</w:t>
      </w:r>
      <w:r>
        <w:rPr>
          <w:rFonts w:hint="eastAsia" w:ascii="仿宋_GB2312" w:eastAsia="仿宋_GB2312"/>
          <w:kern w:val="0"/>
          <w:sz w:val="28"/>
          <w:szCs w:val="28"/>
        </w:rPr>
        <w:t>人；事业编制</w:t>
      </w:r>
      <w:r>
        <w:rPr>
          <w:rFonts w:ascii="仿宋_GB2312" w:eastAsia="仿宋_GB2312"/>
          <w:kern w:val="0"/>
          <w:sz w:val="28"/>
          <w:szCs w:val="28"/>
        </w:rPr>
        <w:t>803</w:t>
      </w:r>
      <w:r>
        <w:rPr>
          <w:rFonts w:hint="eastAsia" w:ascii="仿宋_GB2312" w:eastAsia="仿宋_GB2312"/>
          <w:kern w:val="0"/>
          <w:sz w:val="28"/>
          <w:szCs w:val="28"/>
        </w:rPr>
        <w:t>人，实有人数</w:t>
      </w:r>
      <w:r>
        <w:rPr>
          <w:rFonts w:ascii="仿宋_GB2312" w:eastAsia="仿宋_GB2312"/>
          <w:kern w:val="0"/>
          <w:sz w:val="28"/>
          <w:szCs w:val="28"/>
        </w:rPr>
        <w:t>631</w:t>
      </w:r>
      <w:r>
        <w:rPr>
          <w:rFonts w:hint="eastAsia" w:ascii="仿宋_GB2312" w:eastAsia="仿宋_GB2312"/>
          <w:kern w:val="0"/>
          <w:sz w:val="28"/>
          <w:szCs w:val="28"/>
        </w:rPr>
        <w:t>人。学生人数</w:t>
      </w:r>
      <w:r>
        <w:rPr>
          <w:rFonts w:ascii="仿宋_GB2312" w:eastAsia="仿宋_GB2312"/>
          <w:kern w:val="0"/>
          <w:sz w:val="28"/>
          <w:szCs w:val="28"/>
        </w:rPr>
        <w:t>5768</w:t>
      </w:r>
      <w:r>
        <w:rPr>
          <w:rFonts w:hint="eastAsia" w:ascii="仿宋_GB2312" w:eastAsia="仿宋_GB2312"/>
          <w:kern w:val="0"/>
          <w:sz w:val="28"/>
          <w:szCs w:val="28"/>
        </w:rPr>
        <w:t>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53986.40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w:t>
      </w:r>
      <w:r>
        <w:rPr>
          <w:rFonts w:ascii="仿宋_GB2312" w:eastAsia="仿宋_GB2312"/>
          <w:sz w:val="28"/>
          <w:szCs w:val="28"/>
        </w:rPr>
        <w:t>438.46</w:t>
      </w:r>
      <w:r>
        <w:rPr>
          <w:rFonts w:hint="eastAsia" w:ascii="仿宋_GB2312" w:eastAsia="仿宋_GB2312"/>
          <w:sz w:val="28"/>
          <w:szCs w:val="28"/>
        </w:rPr>
        <w:t>万元，增长1</w:t>
      </w:r>
      <w:r>
        <w:rPr>
          <w:rFonts w:ascii="仿宋_GB2312" w:eastAsia="仿宋_GB2312"/>
          <w:sz w:val="28"/>
          <w:szCs w:val="28"/>
        </w:rPr>
        <w:t>3.54</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47485.36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5</w:t>
      </w:r>
      <w:r>
        <w:rPr>
          <w:rFonts w:ascii="仿宋_GB2312" w:eastAsia="仿宋_GB2312"/>
          <w:sz w:val="28"/>
          <w:szCs w:val="28"/>
        </w:rPr>
        <w:t>138.75</w:t>
      </w:r>
      <w:r>
        <w:rPr>
          <w:rFonts w:hint="eastAsia" w:ascii="仿宋_GB2312" w:eastAsia="仿宋_GB2312"/>
          <w:sz w:val="28"/>
          <w:szCs w:val="28"/>
        </w:rPr>
        <w:t>万元，增长1</w:t>
      </w:r>
      <w:r>
        <w:rPr>
          <w:rFonts w:ascii="仿宋_GB2312" w:eastAsia="仿宋_GB2312"/>
          <w:sz w:val="28"/>
          <w:szCs w:val="28"/>
        </w:rPr>
        <w:t>2.13</w:t>
      </w:r>
      <w:r>
        <w:rPr>
          <w:rFonts w:hint="eastAsia" w:ascii="仿宋_GB2312" w:eastAsia="仿宋_GB2312"/>
          <w:sz w:val="28"/>
          <w:szCs w:val="28"/>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40860.59</w:t>
      </w:r>
      <w:r>
        <w:rPr>
          <w:rFonts w:hint="eastAsia" w:ascii="仿宋_GB2312" w:eastAsia="仿宋_GB2312"/>
          <w:sz w:val="28"/>
          <w:szCs w:val="28"/>
        </w:rPr>
        <w:t>万元，占收入合计的</w:t>
      </w:r>
      <w:r>
        <w:rPr>
          <w:rFonts w:ascii="仿宋_GB2312" w:eastAsia="仿宋_GB2312"/>
          <w:sz w:val="28"/>
          <w:szCs w:val="28"/>
        </w:rPr>
        <w:t>86.05</w:t>
      </w:r>
      <w:r>
        <w:rPr>
          <w:rFonts w:hint="eastAsia" w:ascii="仿宋_GB2312" w:eastAsia="仿宋_GB2312"/>
          <w:sz w:val="28"/>
          <w:szCs w:val="28"/>
        </w:rPr>
        <w:t>%。其中：一般公共预算财政拨款收入</w:t>
      </w:r>
      <w:r>
        <w:rPr>
          <w:rFonts w:ascii="仿宋_GB2312" w:eastAsia="仿宋_GB2312"/>
          <w:sz w:val="28"/>
          <w:szCs w:val="28"/>
        </w:rPr>
        <w:t>40860.59</w:t>
      </w:r>
      <w:r>
        <w:rPr>
          <w:rFonts w:hint="eastAsia" w:ascii="仿宋_GB2312" w:eastAsia="仿宋_GB2312"/>
          <w:sz w:val="28"/>
          <w:szCs w:val="28"/>
        </w:rPr>
        <w:t>万元，占收入合计的</w:t>
      </w:r>
      <w:r>
        <w:rPr>
          <w:rFonts w:ascii="仿宋_GB2312" w:eastAsia="仿宋_GB2312"/>
          <w:sz w:val="28"/>
          <w:szCs w:val="28"/>
        </w:rPr>
        <w:t>86.05</w:t>
      </w:r>
      <w:r>
        <w:rPr>
          <w:rFonts w:hint="eastAsia" w:ascii="仿宋_GB2312" w:eastAsia="仿宋_GB2312"/>
          <w:sz w:val="28"/>
          <w:szCs w:val="28"/>
        </w:rPr>
        <w:t>%；政府性基金预算财政拨款收入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0.00</w:t>
      </w:r>
      <w:r>
        <w:rPr>
          <w:rFonts w:hint="eastAsia" w:ascii="仿宋_GB2312" w:eastAsia="仿宋_GB2312"/>
          <w:sz w:val="28"/>
          <w:szCs w:val="28"/>
        </w:rPr>
        <w:t>%；国有资本经营预算财政拨款收入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0.00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0.00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3685.24</w:t>
      </w:r>
      <w:r>
        <w:rPr>
          <w:rFonts w:hint="eastAsia" w:ascii="仿宋_GB2312" w:eastAsia="仿宋_GB2312"/>
          <w:sz w:val="28"/>
          <w:szCs w:val="28"/>
        </w:rPr>
        <w:t>万元，占收入合计的</w:t>
      </w:r>
      <w:r>
        <w:rPr>
          <w:rFonts w:ascii="仿宋_GB2312" w:eastAsia="仿宋_GB2312"/>
          <w:sz w:val="28"/>
          <w:szCs w:val="28"/>
        </w:rPr>
        <w:t>7.76</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451.45</w:t>
      </w:r>
      <w:r>
        <w:rPr>
          <w:rFonts w:hint="eastAsia" w:ascii="仿宋_GB2312" w:eastAsia="仿宋_GB2312"/>
          <w:sz w:val="28"/>
          <w:szCs w:val="28"/>
        </w:rPr>
        <w:t>万元，占收入合计的</w:t>
      </w:r>
      <w:r>
        <w:rPr>
          <w:rFonts w:ascii="仿宋_GB2312" w:eastAsia="仿宋_GB2312"/>
          <w:sz w:val="28"/>
          <w:szCs w:val="28"/>
        </w:rPr>
        <w:t>0.95</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0.00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2488.08</w:t>
      </w:r>
      <w:r>
        <w:rPr>
          <w:rFonts w:hint="eastAsia" w:ascii="仿宋_GB2312" w:eastAsia="仿宋_GB2312"/>
          <w:sz w:val="28"/>
          <w:szCs w:val="28"/>
        </w:rPr>
        <w:t>万元，占收入合计的</w:t>
      </w:r>
      <w:r>
        <w:rPr>
          <w:rFonts w:ascii="仿宋_GB2312" w:eastAsia="仿宋_GB2312"/>
          <w:sz w:val="28"/>
          <w:szCs w:val="28"/>
        </w:rPr>
        <w:t>5.24</w:t>
      </w:r>
      <w:r>
        <w:rPr>
          <w:rFonts w:hint="eastAsia" w:ascii="仿宋_GB2312" w:eastAsia="仿宋_GB2312"/>
          <w:sz w:val="28"/>
          <w:szCs w:val="28"/>
        </w:rPr>
        <w:t>%。</w:t>
      </w:r>
    </w:p>
    <w:p>
      <w:pPr>
        <w:pStyle w:val="3"/>
        <w:jc w:val="center"/>
      </w:pPr>
      <w:r>
        <w:rPr>
          <w:rFonts w:hint="eastAsia" w:ascii="仿宋_GB2312" w:eastAsia="仿宋_GB2312"/>
          <w:color w:val="000000"/>
          <w:sz w:val="32"/>
        </w:rPr>
        <w:t>图1：收入决算</w:t>
      </w:r>
    </w:p>
    <w:p>
      <w:pPr>
        <w:pStyle w:val="2"/>
        <w:ind w:firstLine="420"/>
      </w:pPr>
      <w:r>
        <w:drawing>
          <wp:inline distT="0" distB="0" distL="0" distR="0">
            <wp:extent cx="8947785" cy="3419475"/>
            <wp:effectExtent l="0" t="0" r="5715" b="952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jc w:val="cente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49524.44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8</w:t>
      </w:r>
      <w:r>
        <w:rPr>
          <w:rFonts w:ascii="仿宋_GB2312" w:eastAsia="仿宋_GB2312"/>
          <w:sz w:val="28"/>
          <w:szCs w:val="28"/>
        </w:rPr>
        <w:t>299.70</w:t>
      </w:r>
      <w:r>
        <w:rPr>
          <w:rFonts w:hint="eastAsia" w:ascii="仿宋_GB2312" w:eastAsia="仿宋_GB2312"/>
          <w:sz w:val="28"/>
          <w:szCs w:val="28"/>
        </w:rPr>
        <w:t>万元，增长2</w:t>
      </w:r>
      <w:r>
        <w:rPr>
          <w:rFonts w:ascii="仿宋_GB2312" w:eastAsia="仿宋_GB2312"/>
          <w:sz w:val="28"/>
          <w:szCs w:val="28"/>
        </w:rPr>
        <w:t>0.13</w:t>
      </w:r>
      <w:r>
        <w:rPr>
          <w:rFonts w:hint="eastAsia" w:ascii="仿宋_GB2312" w:eastAsia="仿宋_GB2312"/>
          <w:sz w:val="28"/>
          <w:szCs w:val="28"/>
        </w:rPr>
        <w:t>%，其中：基本支出</w:t>
      </w:r>
      <w:r>
        <w:rPr>
          <w:rFonts w:ascii="仿宋_GB2312" w:eastAsia="仿宋_GB2312"/>
          <w:sz w:val="28"/>
          <w:szCs w:val="28"/>
        </w:rPr>
        <w:t>37292.32</w:t>
      </w:r>
      <w:r>
        <w:rPr>
          <w:rFonts w:hint="eastAsia" w:ascii="仿宋_GB2312" w:eastAsia="仿宋_GB2312"/>
          <w:sz w:val="28"/>
          <w:szCs w:val="28"/>
        </w:rPr>
        <w:t>万元，占支出合计的</w:t>
      </w:r>
      <w:r>
        <w:rPr>
          <w:rFonts w:ascii="仿宋_GB2312" w:eastAsia="仿宋_GB2312"/>
          <w:sz w:val="28"/>
          <w:szCs w:val="28"/>
        </w:rPr>
        <w:t>75.30</w:t>
      </w:r>
      <w:r>
        <w:rPr>
          <w:rFonts w:hint="eastAsia" w:ascii="仿宋_GB2312" w:eastAsia="仿宋_GB2312"/>
          <w:sz w:val="28"/>
          <w:szCs w:val="28"/>
        </w:rPr>
        <w:t>%；项目支出</w:t>
      </w:r>
      <w:r>
        <w:rPr>
          <w:rFonts w:ascii="仿宋_GB2312" w:eastAsia="仿宋_GB2312"/>
          <w:sz w:val="28"/>
          <w:szCs w:val="28"/>
        </w:rPr>
        <w:t>11942.32</w:t>
      </w:r>
      <w:r>
        <w:rPr>
          <w:rFonts w:hint="eastAsia" w:ascii="仿宋_GB2312" w:eastAsia="仿宋_GB2312"/>
          <w:sz w:val="28"/>
          <w:szCs w:val="28"/>
        </w:rPr>
        <w:t>万元，占支出合计的</w:t>
      </w:r>
      <w:r>
        <w:rPr>
          <w:rFonts w:ascii="仿宋_GB2312" w:eastAsia="仿宋_GB2312"/>
          <w:sz w:val="28"/>
          <w:szCs w:val="28"/>
        </w:rPr>
        <w:t>24.11</w:t>
      </w:r>
      <w:r>
        <w:rPr>
          <w:rFonts w:hint="eastAsia" w:ascii="仿宋_GB2312" w:eastAsia="仿宋_GB2312"/>
          <w:sz w:val="28"/>
          <w:szCs w:val="28"/>
        </w:rPr>
        <w:t>%;上缴上级支出</w:t>
      </w:r>
      <w:r>
        <w:rPr>
          <w:rFonts w:ascii="仿宋_GB2312" w:eastAsia="仿宋_GB2312"/>
          <w:sz w:val="28"/>
          <w:szCs w:val="28"/>
        </w:rPr>
        <w:t>0.00</w:t>
      </w:r>
      <w:r>
        <w:rPr>
          <w:rFonts w:hint="eastAsia" w:ascii="仿宋_GB2312" w:eastAsia="仿宋_GB2312"/>
          <w:sz w:val="28"/>
          <w:szCs w:val="28"/>
        </w:rPr>
        <w:t>万元，占支出合计的</w:t>
      </w:r>
      <w:r>
        <w:rPr>
          <w:rFonts w:ascii="仿宋_GB2312" w:eastAsia="仿宋_GB2312"/>
          <w:sz w:val="28"/>
          <w:szCs w:val="28"/>
        </w:rPr>
        <w:t>0.00</w:t>
      </w:r>
      <w:r>
        <w:rPr>
          <w:rFonts w:hint="eastAsia" w:ascii="仿宋_GB2312" w:eastAsia="仿宋_GB2312"/>
          <w:sz w:val="28"/>
          <w:szCs w:val="28"/>
        </w:rPr>
        <w:t>%；经营支出</w:t>
      </w:r>
      <w:r>
        <w:rPr>
          <w:rFonts w:ascii="仿宋_GB2312" w:eastAsia="仿宋_GB2312"/>
          <w:sz w:val="28"/>
          <w:szCs w:val="28"/>
        </w:rPr>
        <w:t>289.80</w:t>
      </w:r>
      <w:r>
        <w:rPr>
          <w:rFonts w:hint="eastAsia" w:ascii="仿宋_GB2312" w:eastAsia="仿宋_GB2312"/>
          <w:sz w:val="28"/>
          <w:szCs w:val="28"/>
        </w:rPr>
        <w:t>万元，占支出合计的</w:t>
      </w:r>
      <w:r>
        <w:rPr>
          <w:rFonts w:ascii="仿宋_GB2312" w:eastAsia="仿宋_GB2312"/>
          <w:sz w:val="28"/>
          <w:szCs w:val="28"/>
        </w:rPr>
        <w:t>0.59</w:t>
      </w:r>
      <w:r>
        <w:rPr>
          <w:rFonts w:hint="eastAsia" w:ascii="仿宋_GB2312" w:eastAsia="仿宋_GB2312"/>
          <w:sz w:val="28"/>
          <w:szCs w:val="28"/>
        </w:rPr>
        <w:t>%；对附属单位补助支出</w:t>
      </w:r>
      <w:r>
        <w:rPr>
          <w:rFonts w:ascii="仿宋_GB2312" w:eastAsia="仿宋_GB2312"/>
          <w:sz w:val="28"/>
          <w:szCs w:val="28"/>
        </w:rPr>
        <w:t>0.00</w:t>
      </w:r>
      <w:r>
        <w:rPr>
          <w:rFonts w:hint="eastAsia" w:ascii="仿宋_GB2312" w:eastAsia="仿宋_GB2312"/>
          <w:sz w:val="28"/>
          <w:szCs w:val="28"/>
        </w:rPr>
        <w:t>万元，占支出合计的</w:t>
      </w:r>
      <w:r>
        <w:rPr>
          <w:rFonts w:ascii="仿宋_GB2312" w:eastAsia="仿宋_GB2312"/>
          <w:sz w:val="28"/>
          <w:szCs w:val="28"/>
        </w:rPr>
        <w:t>0.00</w:t>
      </w:r>
      <w:r>
        <w:rPr>
          <w:rFonts w:hint="eastAsia" w:ascii="仿宋_GB2312" w:eastAsia="仿宋_GB2312"/>
          <w:sz w:val="28"/>
          <w:szCs w:val="28"/>
        </w:rPr>
        <w:t>%。</w:t>
      </w:r>
    </w:p>
    <w:p>
      <w:pPr>
        <w:pStyle w:val="2"/>
        <w:ind w:firstLine="420"/>
      </w:pPr>
    </w:p>
    <w:p>
      <w:pPr>
        <w:pStyle w:val="2"/>
        <w:ind w:firstLine="640"/>
        <w:jc w:val="center"/>
      </w:pPr>
      <w:r>
        <w:rPr>
          <w:rFonts w:hint="eastAsia" w:ascii="仿宋_GB2312" w:eastAsia="仿宋_GB2312"/>
          <w:color w:val="000000"/>
          <w:sz w:val="32"/>
        </w:rPr>
        <w:t>图2：基本支出和项目支出情况</w:t>
      </w:r>
    </w:p>
    <w:p>
      <w:pPr>
        <w:spacing w:line="560" w:lineRule="exact"/>
        <w:ind w:firstLine="640"/>
        <w:rPr>
          <w:rFonts w:ascii="仿宋_GB2312" w:eastAsia="仿宋_GB2312"/>
          <w:color w:val="000000"/>
          <w:sz w:val="32"/>
          <w:highlight w:val="yellow"/>
        </w:rPr>
      </w:pPr>
      <w:r>
        <w:rPr>
          <w:rFonts w:ascii="仿宋_GB2312" w:eastAsia="仿宋_GB2312" w:cs="Droid Sans"/>
          <w:color w:val="000000"/>
          <w:sz w:val="32"/>
          <w:szCs w:val="32"/>
          <w:highlight w:val="yellow"/>
        </w:rPr>
        <w:drawing>
          <wp:anchor distT="0" distB="0" distL="114300" distR="114300" simplePos="0" relativeHeight="251659264" behindDoc="1" locked="0" layoutInCell="1" allowOverlap="1">
            <wp:simplePos x="0" y="0"/>
            <wp:positionH relativeFrom="column">
              <wp:posOffset>405765</wp:posOffset>
            </wp:positionH>
            <wp:positionV relativeFrom="paragraph">
              <wp:posOffset>0</wp:posOffset>
            </wp:positionV>
            <wp:extent cx="8830310" cy="3200400"/>
            <wp:effectExtent l="0" t="0" r="8890" b="0"/>
            <wp:wrapTight wrapText="bothSides">
              <wp:wrapPolygon>
                <wp:start x="0" y="0"/>
                <wp:lineTo x="0" y="21471"/>
                <wp:lineTo x="21575" y="21471"/>
                <wp:lineTo x="21575" y="0"/>
                <wp:lineTo x="0" y="0"/>
              </wp:wrapPolygon>
            </wp:wrapTight>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jc w:val="center"/>
        <w:rPr>
          <w:rFonts w:ascii="黑体" w:eastAsia="黑体"/>
          <w:b/>
          <w:sz w:val="28"/>
          <w:szCs w:val="28"/>
        </w:rPr>
      </w:pP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42374.42</w:t>
      </w:r>
      <w:r>
        <w:rPr>
          <w:rFonts w:hint="eastAsia" w:ascii="仿宋_GB2312" w:eastAsia="仿宋_GB2312"/>
          <w:sz w:val="28"/>
          <w:szCs w:val="28"/>
        </w:rPr>
        <w:t>万元，比上年</w:t>
      </w:r>
      <w:r>
        <w:rPr>
          <w:rFonts w:ascii="仿宋_GB2312" w:eastAsia="仿宋_GB2312"/>
          <w:sz w:val="28"/>
          <w:szCs w:val="28"/>
        </w:rPr>
        <w:t>增加4265.01</w:t>
      </w:r>
      <w:r>
        <w:rPr>
          <w:rFonts w:hint="eastAsia" w:ascii="仿宋_GB2312" w:eastAsia="仿宋_GB2312"/>
          <w:sz w:val="28"/>
          <w:szCs w:val="28"/>
        </w:rPr>
        <w:t>万元，增长</w:t>
      </w:r>
      <w:r>
        <w:rPr>
          <w:rFonts w:ascii="仿宋_GB2312" w:eastAsia="仿宋_GB2312"/>
          <w:sz w:val="28"/>
          <w:szCs w:val="28"/>
        </w:rPr>
        <w:t>11.19</w:t>
      </w:r>
      <w:r>
        <w:rPr>
          <w:rFonts w:hint="eastAsia" w:ascii="仿宋_GB2312" w:eastAsia="仿宋_GB2312"/>
          <w:sz w:val="28"/>
          <w:szCs w:val="28"/>
        </w:rPr>
        <w:t>%。主要原因：本年度根据我校事业发展规划，增加项目经费。</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bookmarkStart w:id="0" w:name="_Hlk168404915"/>
      <w:r>
        <w:rPr>
          <w:rFonts w:ascii="仿宋_GB2312" w:eastAsia="仿宋_GB2312"/>
          <w:sz w:val="28"/>
          <w:szCs w:val="28"/>
        </w:rPr>
        <w:t>41712.46</w:t>
      </w:r>
      <w:bookmarkEnd w:id="0"/>
      <w:r>
        <w:rPr>
          <w:rFonts w:hint="eastAsia" w:ascii="仿宋_GB2312" w:eastAsia="仿宋_GB2312"/>
          <w:sz w:val="28"/>
          <w:szCs w:val="28"/>
        </w:rPr>
        <w:t>万元，主要用于以下方面（按大类）：</w:t>
      </w:r>
      <w:r>
        <w:rPr>
          <w:rFonts w:ascii="仿宋_GB2312" w:eastAsia="仿宋_GB2312"/>
          <w:sz w:val="28"/>
          <w:szCs w:val="28"/>
        </w:rPr>
        <w:t xml:space="preserve"> </w:t>
      </w:r>
      <w:r>
        <w:rPr>
          <w:rFonts w:hint="eastAsia" w:ascii="仿宋_GB2312" w:eastAsia="仿宋_GB2312"/>
          <w:sz w:val="28"/>
          <w:szCs w:val="28"/>
        </w:rPr>
        <w:t>教育支出</w:t>
      </w:r>
      <w:r>
        <w:rPr>
          <w:rFonts w:ascii="仿宋_GB2312" w:eastAsia="仿宋_GB2312"/>
          <w:sz w:val="28"/>
          <w:szCs w:val="28"/>
        </w:rPr>
        <w:t>41712.46</w:t>
      </w:r>
      <w:r>
        <w:rPr>
          <w:rFonts w:hint="eastAsia" w:ascii="仿宋_GB2312" w:eastAsia="仿宋_GB2312"/>
          <w:sz w:val="28"/>
          <w:szCs w:val="28"/>
        </w:rPr>
        <w:t>万元，占本年财政拨款支出100.00%。</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“教育支出”（类）202</w:t>
      </w:r>
      <w:r>
        <w:rPr>
          <w:rFonts w:ascii="仿宋_GB2312" w:eastAsia="仿宋_GB2312"/>
          <w:sz w:val="28"/>
          <w:szCs w:val="28"/>
        </w:rPr>
        <w:t>3</w:t>
      </w:r>
      <w:r>
        <w:rPr>
          <w:rFonts w:hint="eastAsia" w:ascii="仿宋_GB2312" w:eastAsia="仿宋_GB2312"/>
          <w:sz w:val="28"/>
          <w:szCs w:val="28"/>
        </w:rPr>
        <w:t>年度决算</w:t>
      </w:r>
      <w:r>
        <w:rPr>
          <w:rFonts w:ascii="仿宋_GB2312" w:eastAsia="仿宋_GB2312"/>
          <w:sz w:val="28"/>
          <w:szCs w:val="28"/>
        </w:rPr>
        <w:t>41712.46</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年度年初预算增加</w:t>
      </w:r>
      <w:r>
        <w:rPr>
          <w:rFonts w:ascii="仿宋_GB2312" w:eastAsia="仿宋_GB2312"/>
          <w:sz w:val="28"/>
          <w:szCs w:val="28"/>
        </w:rPr>
        <w:t>2988.84</w:t>
      </w:r>
      <w:r>
        <w:rPr>
          <w:rFonts w:hint="eastAsia" w:ascii="仿宋_GB2312" w:eastAsia="仿宋_GB2312"/>
          <w:sz w:val="28"/>
          <w:szCs w:val="28"/>
        </w:rPr>
        <w:t>万元，增长</w:t>
      </w:r>
      <w:r>
        <w:rPr>
          <w:rFonts w:ascii="仿宋_GB2312" w:eastAsia="仿宋_GB2312"/>
          <w:sz w:val="28"/>
          <w:szCs w:val="28"/>
        </w:rPr>
        <w:t>7.72</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“职业教育”（款）202</w:t>
      </w:r>
      <w:r>
        <w:rPr>
          <w:rFonts w:ascii="仿宋_GB2312" w:eastAsia="仿宋_GB2312"/>
          <w:sz w:val="28"/>
          <w:szCs w:val="28"/>
        </w:rPr>
        <w:t>3</w:t>
      </w:r>
      <w:r>
        <w:rPr>
          <w:rFonts w:hint="eastAsia" w:ascii="仿宋_GB2312" w:eastAsia="仿宋_GB2312"/>
          <w:sz w:val="28"/>
          <w:szCs w:val="28"/>
        </w:rPr>
        <w:t>年度决算</w:t>
      </w:r>
      <w:r>
        <w:rPr>
          <w:rFonts w:ascii="仿宋_GB2312" w:eastAsia="仿宋_GB2312"/>
          <w:sz w:val="28"/>
          <w:szCs w:val="28"/>
        </w:rPr>
        <w:t>41712.46</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年度年初预算增加</w:t>
      </w:r>
      <w:r>
        <w:rPr>
          <w:rFonts w:ascii="仿宋_GB2312" w:eastAsia="仿宋_GB2312"/>
          <w:sz w:val="28"/>
          <w:szCs w:val="28"/>
        </w:rPr>
        <w:t>2988.84</w:t>
      </w:r>
      <w:r>
        <w:rPr>
          <w:rFonts w:hint="eastAsia" w:ascii="仿宋_GB2312" w:eastAsia="仿宋_GB2312"/>
          <w:sz w:val="28"/>
          <w:szCs w:val="28"/>
        </w:rPr>
        <w:t>万元，增长</w:t>
      </w:r>
      <w:r>
        <w:rPr>
          <w:rFonts w:ascii="仿宋_GB2312" w:eastAsia="仿宋_GB2312"/>
          <w:sz w:val="28"/>
          <w:szCs w:val="28"/>
        </w:rPr>
        <w:t>7.72</w:t>
      </w:r>
      <w:r>
        <w:rPr>
          <w:rFonts w:hint="eastAsia" w:ascii="仿宋_GB2312" w:eastAsia="仿宋_GB2312"/>
          <w:sz w:val="28"/>
          <w:szCs w:val="28"/>
        </w:rPr>
        <w:t>%。主要原因：本年度根据学校发展规划，增加项目经费。</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ascii="仿宋_GB2312" w:eastAsia="仿宋_GB2312"/>
          <w:sz w:val="28"/>
          <w:szCs w:val="28"/>
        </w:rPr>
      </w:pPr>
      <w:r>
        <w:rPr>
          <w:rFonts w:hint="eastAsia" w:ascii="仿宋_GB2312" w:eastAsia="仿宋_GB2312"/>
          <w:sz w:val="28"/>
          <w:szCs w:val="28"/>
        </w:rPr>
        <w:t>本年度无此项经费。</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32225.33</w:t>
      </w:r>
      <w:r>
        <w:rPr>
          <w:rFonts w:hint="eastAsia" w:ascii="仿宋_GB2312" w:eastAsia="仿宋_GB2312"/>
          <w:sz w:val="28"/>
          <w:szCs w:val="28"/>
        </w:rPr>
        <w:t>万元，使用政府性基金财政拨款安排基本支出</w:t>
      </w:r>
      <w:r>
        <w:rPr>
          <w:rFonts w:ascii="仿宋_GB2312" w:eastAsia="仿宋_GB2312"/>
          <w:sz w:val="28"/>
          <w:szCs w:val="28"/>
        </w:rPr>
        <w:t>0.00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jc w:val="center"/>
        <w:rPr>
          <w:rFonts w:ascii="仿宋_GB2312" w:eastAsia="仿宋_GB2312"/>
          <w:sz w:val="28"/>
          <w:szCs w:val="28"/>
        </w:rPr>
      </w:pPr>
      <w: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ascii="仿宋_GB2312" w:eastAsia="仿宋_GB2312"/>
          <w:bCs/>
          <w:sz w:val="28"/>
          <w:szCs w:val="28"/>
        </w:rPr>
        <w:t>0</w:t>
      </w:r>
      <w:r>
        <w:rPr>
          <w:rFonts w:hint="eastAsia" w:ascii="仿宋_GB2312" w:eastAsia="仿宋_GB2312"/>
          <w:sz w:val="28"/>
          <w:szCs w:val="28"/>
        </w:rPr>
        <w:t>个行政单位、</w:t>
      </w:r>
      <w:r>
        <w:rPr>
          <w:rFonts w:ascii="仿宋_GB2312" w:eastAsia="仿宋_GB2312"/>
          <w:sz w:val="28"/>
          <w:szCs w:val="28"/>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ascii="仿宋_GB2312" w:eastAsia="仿宋_GB2312"/>
          <w:bCs/>
          <w:sz w:val="28"/>
          <w:szCs w:val="28"/>
        </w:rPr>
        <w:t>1</w:t>
      </w:r>
      <w:r>
        <w:rPr>
          <w:rFonts w:hint="eastAsia" w:ascii="仿宋_GB2312" w:eastAsia="仿宋_GB2312"/>
          <w:bCs/>
          <w:sz w:val="28"/>
          <w:szCs w:val="28"/>
        </w:rPr>
        <w:t>个</w:t>
      </w:r>
      <w:r>
        <w:rPr>
          <w:rFonts w:hint="eastAsia" w:ascii="仿宋_GB2312" w:eastAsia="仿宋_GB2312"/>
          <w:sz w:val="28"/>
          <w:szCs w:val="28"/>
        </w:rPr>
        <w:t>事业单位。2023年度“三公”经费财政拨款决算数</w:t>
      </w:r>
      <w:r>
        <w:rPr>
          <w:rFonts w:ascii="仿宋_GB2312" w:eastAsia="仿宋_GB2312"/>
          <w:sz w:val="28"/>
          <w:szCs w:val="28"/>
        </w:rPr>
        <w:t>35.08</w:t>
      </w:r>
      <w:r>
        <w:rPr>
          <w:rFonts w:hint="eastAsia" w:ascii="仿宋_GB2312" w:eastAsia="仿宋_GB2312"/>
          <w:sz w:val="28"/>
          <w:szCs w:val="28"/>
        </w:rPr>
        <w:t>万元，比2023年度“三公”经费财政拨款年初预算</w:t>
      </w:r>
      <w:r>
        <w:rPr>
          <w:rFonts w:ascii="仿宋_GB2312" w:eastAsia="仿宋_GB2312"/>
          <w:sz w:val="28"/>
          <w:szCs w:val="28"/>
        </w:rPr>
        <w:t>126.32</w:t>
      </w:r>
      <w:r>
        <w:rPr>
          <w:rFonts w:hint="eastAsia" w:ascii="仿宋_GB2312" w:eastAsia="仿宋_GB2312"/>
          <w:sz w:val="28"/>
          <w:szCs w:val="28"/>
        </w:rPr>
        <w:t>万元减少</w:t>
      </w:r>
      <w:r>
        <w:rPr>
          <w:rFonts w:ascii="仿宋_GB2312" w:eastAsia="仿宋_GB2312"/>
          <w:sz w:val="28"/>
          <w:szCs w:val="28"/>
        </w:rPr>
        <w:t>91.24</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0.00</w:t>
      </w:r>
      <w:r>
        <w:rPr>
          <w:rFonts w:hint="eastAsia" w:ascii="仿宋_GB2312" w:eastAsia="仿宋_GB2312"/>
          <w:sz w:val="28"/>
          <w:szCs w:val="28"/>
        </w:rPr>
        <w:t>万元，比2023年度年初预算数</w:t>
      </w:r>
      <w:r>
        <w:rPr>
          <w:rFonts w:ascii="仿宋_GB2312" w:eastAsia="仿宋_GB2312"/>
          <w:sz w:val="28"/>
          <w:szCs w:val="28"/>
        </w:rPr>
        <w:t>46.83</w:t>
      </w:r>
      <w:r>
        <w:rPr>
          <w:rFonts w:hint="eastAsia" w:ascii="仿宋_GB2312" w:eastAsia="仿宋_GB2312"/>
          <w:sz w:val="28"/>
          <w:szCs w:val="28"/>
        </w:rPr>
        <w:t>万元减少</w:t>
      </w:r>
      <w:r>
        <w:rPr>
          <w:rFonts w:ascii="仿宋_GB2312" w:eastAsia="仿宋_GB2312"/>
          <w:sz w:val="28"/>
          <w:szCs w:val="28"/>
        </w:rPr>
        <w:t>46.83</w:t>
      </w:r>
      <w:r>
        <w:rPr>
          <w:rFonts w:hint="eastAsia" w:ascii="仿宋_GB2312" w:eastAsia="仿宋_GB2312"/>
          <w:sz w:val="28"/>
          <w:szCs w:val="28"/>
        </w:rPr>
        <w:t>万元。主要原因：项目经费年中调整，本年度未发生支出事项；2023年度组织因公出国（境）团组</w:t>
      </w:r>
      <w:r>
        <w:rPr>
          <w:rFonts w:ascii="仿宋_GB2312" w:eastAsia="仿宋_GB2312"/>
          <w:sz w:val="28"/>
          <w:szCs w:val="28"/>
        </w:rPr>
        <w:t>0</w:t>
      </w:r>
      <w:r>
        <w:rPr>
          <w:rFonts w:hint="eastAsia" w:ascii="仿宋_GB2312" w:eastAsia="仿宋_GB2312"/>
          <w:sz w:val="28"/>
          <w:szCs w:val="28"/>
        </w:rPr>
        <w:t>个、</w:t>
      </w:r>
      <w:r>
        <w:rPr>
          <w:rFonts w:ascii="仿宋_GB2312" w:eastAsia="仿宋_GB2312"/>
          <w:sz w:val="28"/>
          <w:szCs w:val="28"/>
        </w:rPr>
        <w:t>0</w:t>
      </w:r>
      <w:r>
        <w:rPr>
          <w:rFonts w:hint="eastAsia" w:ascii="仿宋_GB2312" w:eastAsia="仿宋_GB2312"/>
          <w:sz w:val="28"/>
          <w:szCs w:val="28"/>
        </w:rPr>
        <w:t>人次，人均因公出国（境）费用</w:t>
      </w:r>
      <w:r>
        <w:rPr>
          <w:rFonts w:ascii="仿宋_GB2312" w:eastAsia="仿宋_GB2312"/>
          <w:sz w:val="28"/>
          <w:szCs w:val="28"/>
        </w:rPr>
        <w:t>0.00</w:t>
      </w:r>
      <w:r>
        <w:rPr>
          <w:rFonts w:hint="eastAsia" w:ascii="仿宋_GB2312" w:eastAsia="仿宋_GB2312"/>
          <w:sz w:val="28"/>
          <w:szCs w:val="28"/>
        </w:rPr>
        <w:t>万元。</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0.00</w:t>
      </w:r>
      <w:r>
        <w:rPr>
          <w:rFonts w:hint="eastAsia" w:ascii="仿宋_GB2312" w:eastAsia="仿宋_GB2312"/>
          <w:sz w:val="28"/>
          <w:szCs w:val="28"/>
        </w:rPr>
        <w:t>万元，与2023年度年初预算数</w:t>
      </w:r>
      <w:r>
        <w:rPr>
          <w:rFonts w:ascii="仿宋_GB2312" w:eastAsia="仿宋_GB2312"/>
          <w:sz w:val="28"/>
          <w:szCs w:val="28"/>
        </w:rPr>
        <w:t>0.00</w:t>
      </w:r>
      <w:r>
        <w:rPr>
          <w:rFonts w:hint="eastAsia" w:ascii="仿宋_GB2312" w:eastAsia="仿宋_GB2312"/>
          <w:sz w:val="28"/>
          <w:szCs w:val="28"/>
        </w:rPr>
        <w:t>万元持平。主要原因：落实政府过紧日子要求，例行勤俭节约要求，严格控制公务接待数量、规模和接待标准。公务接待</w:t>
      </w:r>
      <w:r>
        <w:rPr>
          <w:rFonts w:ascii="仿宋_GB2312" w:eastAsia="仿宋_GB2312"/>
          <w:sz w:val="28"/>
          <w:szCs w:val="28"/>
        </w:rPr>
        <w:t>0</w:t>
      </w:r>
      <w:r>
        <w:rPr>
          <w:rFonts w:hint="eastAsia" w:ascii="仿宋_GB2312" w:eastAsia="仿宋_GB2312"/>
          <w:sz w:val="28"/>
          <w:szCs w:val="28"/>
        </w:rPr>
        <w:t>批次，公务接待</w:t>
      </w:r>
      <w:r>
        <w:rPr>
          <w:rFonts w:ascii="仿宋_GB2312" w:eastAsia="仿宋_GB2312"/>
          <w:sz w:val="28"/>
          <w:szCs w:val="28"/>
        </w:rPr>
        <w:t>0</w:t>
      </w:r>
      <w:r>
        <w:rPr>
          <w:rFonts w:hint="eastAsia" w:ascii="仿宋_GB2312" w:eastAsia="仿宋_GB2312"/>
          <w:sz w:val="28"/>
          <w:szCs w:val="28"/>
        </w:rPr>
        <w:t>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w:t>
      </w:r>
      <w:r>
        <w:rPr>
          <w:rFonts w:ascii="仿宋_GB2312" w:eastAsia="仿宋_GB2312"/>
          <w:sz w:val="28"/>
          <w:szCs w:val="28"/>
        </w:rPr>
        <w:t>35.08</w:t>
      </w:r>
      <w:r>
        <w:rPr>
          <w:rFonts w:hint="eastAsia" w:ascii="仿宋_GB2312" w:eastAsia="仿宋_GB2312"/>
          <w:sz w:val="28"/>
          <w:szCs w:val="28"/>
        </w:rPr>
        <w:t>万元，比2023年度年初预算数</w:t>
      </w:r>
      <w:r>
        <w:rPr>
          <w:rFonts w:ascii="仿宋_GB2312" w:eastAsia="仿宋_GB2312"/>
          <w:sz w:val="28"/>
          <w:szCs w:val="28"/>
        </w:rPr>
        <w:t>79.49</w:t>
      </w:r>
      <w:r>
        <w:rPr>
          <w:rFonts w:hint="eastAsia" w:ascii="仿宋_GB2312" w:eastAsia="仿宋_GB2312"/>
          <w:sz w:val="28"/>
          <w:szCs w:val="28"/>
        </w:rPr>
        <w:t>万元减少4</w:t>
      </w:r>
      <w:r>
        <w:rPr>
          <w:rFonts w:ascii="仿宋_GB2312" w:eastAsia="仿宋_GB2312"/>
          <w:sz w:val="28"/>
          <w:szCs w:val="28"/>
        </w:rPr>
        <w:t>4.41</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17.98</w:t>
      </w:r>
      <w:r>
        <w:rPr>
          <w:rFonts w:hint="eastAsia" w:ascii="仿宋_GB2312" w:eastAsia="仿宋_GB2312"/>
          <w:sz w:val="28"/>
          <w:szCs w:val="28"/>
        </w:rPr>
        <w:t>万元，与2023年度年初预算数</w:t>
      </w:r>
      <w:r>
        <w:rPr>
          <w:rFonts w:ascii="仿宋_GB2312" w:eastAsia="仿宋_GB2312"/>
          <w:sz w:val="28"/>
          <w:szCs w:val="28"/>
        </w:rPr>
        <w:t>17.98</w:t>
      </w:r>
      <w:r>
        <w:rPr>
          <w:rFonts w:hint="eastAsia" w:ascii="仿宋_GB2312" w:eastAsia="仿宋_GB2312"/>
          <w:sz w:val="28"/>
          <w:szCs w:val="28"/>
        </w:rPr>
        <w:t>万元持平。2023年度购置</w:t>
      </w:r>
      <w:r>
        <w:rPr>
          <w:rFonts w:ascii="仿宋_GB2312" w:eastAsia="仿宋_GB2312"/>
          <w:sz w:val="28"/>
          <w:szCs w:val="28"/>
        </w:rPr>
        <w:t>1</w:t>
      </w:r>
      <w:r>
        <w:rPr>
          <w:rFonts w:hint="eastAsia" w:ascii="仿宋_GB2312" w:eastAsia="仿宋_GB2312"/>
          <w:sz w:val="28"/>
          <w:szCs w:val="28"/>
        </w:rPr>
        <w:t>辆，车均购置费</w:t>
      </w:r>
      <w:r>
        <w:rPr>
          <w:rFonts w:ascii="仿宋_GB2312" w:eastAsia="仿宋_GB2312"/>
          <w:sz w:val="28"/>
          <w:szCs w:val="28"/>
        </w:rPr>
        <w:t>17.98</w:t>
      </w:r>
      <w:r>
        <w:rPr>
          <w:rFonts w:hint="eastAsia" w:ascii="仿宋_GB2312" w:eastAsia="仿宋_GB2312"/>
          <w:sz w:val="28"/>
          <w:szCs w:val="28"/>
        </w:rPr>
        <w:t>万元。公务用车运行维护费2023年度决算数</w:t>
      </w:r>
      <w:r>
        <w:rPr>
          <w:rFonts w:ascii="仿宋_GB2312" w:eastAsia="仿宋_GB2312"/>
          <w:sz w:val="28"/>
          <w:szCs w:val="28"/>
        </w:rPr>
        <w:t>17.10</w:t>
      </w:r>
      <w:r>
        <w:rPr>
          <w:rFonts w:hint="eastAsia" w:ascii="仿宋_GB2312" w:eastAsia="仿宋_GB2312"/>
          <w:sz w:val="28"/>
          <w:szCs w:val="28"/>
        </w:rPr>
        <w:t>万元，比2023年度年初预算数</w:t>
      </w:r>
      <w:r>
        <w:rPr>
          <w:rFonts w:ascii="仿宋_GB2312" w:eastAsia="仿宋_GB2312"/>
          <w:sz w:val="28"/>
          <w:szCs w:val="28"/>
        </w:rPr>
        <w:t>61.51</w:t>
      </w:r>
      <w:r>
        <w:rPr>
          <w:rFonts w:hint="eastAsia" w:ascii="仿宋_GB2312" w:eastAsia="仿宋_GB2312"/>
          <w:sz w:val="28"/>
          <w:szCs w:val="28"/>
        </w:rPr>
        <w:t>万元减少4</w:t>
      </w:r>
      <w:r>
        <w:rPr>
          <w:rFonts w:ascii="仿宋_GB2312" w:eastAsia="仿宋_GB2312"/>
          <w:sz w:val="28"/>
          <w:szCs w:val="28"/>
        </w:rPr>
        <w:t>4.41</w:t>
      </w:r>
      <w:r>
        <w:rPr>
          <w:rFonts w:hint="eastAsia" w:ascii="仿宋_GB2312" w:eastAsia="仿宋_GB2312"/>
          <w:sz w:val="28"/>
          <w:szCs w:val="28"/>
        </w:rPr>
        <w:t>万元，主要原因：落实政府过紧日子要求，加大公车管理力度，严格控制公务用车运行维护支出。2023年度公务用车运行维护费中，公务用车加油</w:t>
      </w:r>
      <w:r>
        <w:rPr>
          <w:rFonts w:ascii="仿宋_GB2312" w:eastAsia="仿宋_GB2312"/>
          <w:sz w:val="28"/>
          <w:szCs w:val="28"/>
        </w:rPr>
        <w:t>5.05</w:t>
      </w:r>
      <w:r>
        <w:rPr>
          <w:rFonts w:hint="eastAsia" w:ascii="仿宋_GB2312" w:eastAsia="仿宋_GB2312"/>
          <w:sz w:val="28"/>
          <w:szCs w:val="28"/>
        </w:rPr>
        <w:t>万元，公务用车维修</w:t>
      </w:r>
      <w:r>
        <w:rPr>
          <w:rFonts w:ascii="仿宋_GB2312" w:eastAsia="仿宋_GB2312"/>
          <w:sz w:val="28"/>
          <w:szCs w:val="28"/>
        </w:rPr>
        <w:t>8.28</w:t>
      </w:r>
      <w:r>
        <w:rPr>
          <w:rFonts w:hint="eastAsia" w:ascii="仿宋_GB2312" w:eastAsia="仿宋_GB2312"/>
          <w:sz w:val="28"/>
          <w:szCs w:val="28"/>
        </w:rPr>
        <w:t>万元，公务用车保险</w:t>
      </w:r>
      <w:r>
        <w:rPr>
          <w:rFonts w:ascii="仿宋_GB2312" w:eastAsia="仿宋_GB2312"/>
          <w:sz w:val="28"/>
          <w:szCs w:val="28"/>
        </w:rPr>
        <w:t>2.74</w:t>
      </w:r>
      <w:r>
        <w:rPr>
          <w:rFonts w:hint="eastAsia" w:ascii="仿宋_GB2312" w:eastAsia="仿宋_GB2312"/>
          <w:sz w:val="28"/>
          <w:szCs w:val="28"/>
        </w:rPr>
        <w:t>万元，公务用车其他支出</w:t>
      </w:r>
      <w:r>
        <w:rPr>
          <w:rFonts w:ascii="仿宋_GB2312" w:eastAsia="仿宋_GB2312"/>
          <w:sz w:val="28"/>
          <w:szCs w:val="28"/>
        </w:rPr>
        <w:t>1.03</w:t>
      </w:r>
      <w:r>
        <w:rPr>
          <w:rFonts w:hint="eastAsia" w:ascii="仿宋_GB2312" w:eastAsia="仿宋_GB2312"/>
          <w:sz w:val="28"/>
          <w:szCs w:val="28"/>
        </w:rPr>
        <w:t>万元。2023年度公务用车保有量</w:t>
      </w:r>
      <w:r>
        <w:rPr>
          <w:rFonts w:ascii="仿宋_GB2312" w:eastAsia="仿宋_GB2312"/>
          <w:sz w:val="28"/>
          <w:szCs w:val="28"/>
        </w:rPr>
        <w:t>10</w:t>
      </w:r>
      <w:r>
        <w:rPr>
          <w:rFonts w:hint="eastAsia" w:ascii="仿宋_GB2312" w:eastAsia="仿宋_GB2312"/>
          <w:sz w:val="28"/>
          <w:szCs w:val="28"/>
        </w:rPr>
        <w:t>辆，车均运行维护费</w:t>
      </w:r>
      <w:r>
        <w:rPr>
          <w:rFonts w:ascii="仿宋_GB2312" w:eastAsia="仿宋_GB2312"/>
          <w:sz w:val="28"/>
          <w:szCs w:val="28"/>
        </w:rPr>
        <w:t>1.71</w:t>
      </w:r>
      <w:r>
        <w:rPr>
          <w:rFonts w:hint="eastAsia" w:ascii="仿宋_GB2312" w:eastAsia="仿宋_GB2312"/>
          <w:sz w:val="28"/>
          <w:szCs w:val="28"/>
        </w:rPr>
        <w:t>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left="540"/>
        <w:rPr>
          <w:rFonts w:ascii="仿宋_GB2312" w:eastAsia="仿宋_GB2312"/>
          <w:sz w:val="28"/>
          <w:szCs w:val="28"/>
        </w:rPr>
      </w:pPr>
      <w:r>
        <w:rPr>
          <w:rFonts w:hint="eastAsia" w:ascii="仿宋_GB2312" w:eastAsia="仿宋_GB2312"/>
          <w:sz w:val="28"/>
          <w:szCs w:val="28"/>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13424.01</w:t>
      </w:r>
      <w:r>
        <w:rPr>
          <w:rFonts w:hint="eastAsia" w:ascii="仿宋_GB2312" w:eastAsia="仿宋_GB2312"/>
          <w:sz w:val="28"/>
          <w:szCs w:val="28"/>
        </w:rPr>
        <w:t>万元，其中：政府采购货物支出</w:t>
      </w:r>
      <w:r>
        <w:rPr>
          <w:rFonts w:ascii="仿宋_GB2312" w:eastAsia="仿宋_GB2312"/>
          <w:sz w:val="28"/>
          <w:szCs w:val="28"/>
        </w:rPr>
        <w:t>1990.92</w:t>
      </w:r>
      <w:r>
        <w:rPr>
          <w:rFonts w:hint="eastAsia" w:ascii="仿宋_GB2312" w:eastAsia="仿宋_GB2312"/>
          <w:sz w:val="28"/>
          <w:szCs w:val="28"/>
        </w:rPr>
        <w:t>万元，政府采购工程支出</w:t>
      </w:r>
      <w:r>
        <w:rPr>
          <w:rFonts w:ascii="仿宋_GB2312" w:eastAsia="仿宋_GB2312"/>
          <w:sz w:val="28"/>
          <w:szCs w:val="28"/>
        </w:rPr>
        <w:t>8825.91</w:t>
      </w:r>
      <w:r>
        <w:rPr>
          <w:rFonts w:hint="eastAsia" w:ascii="仿宋_GB2312" w:eastAsia="仿宋_GB2312"/>
          <w:sz w:val="28"/>
          <w:szCs w:val="28"/>
        </w:rPr>
        <w:t>万元，政府采购服务支出</w:t>
      </w:r>
      <w:r>
        <w:rPr>
          <w:rFonts w:ascii="仿宋_GB2312" w:eastAsia="仿宋_GB2312"/>
          <w:sz w:val="28"/>
          <w:szCs w:val="28"/>
        </w:rPr>
        <w:t>2607.18</w:t>
      </w:r>
      <w:r>
        <w:rPr>
          <w:rFonts w:hint="eastAsia" w:ascii="仿宋_GB2312" w:eastAsia="仿宋_GB2312"/>
          <w:sz w:val="28"/>
          <w:szCs w:val="28"/>
        </w:rPr>
        <w:t>万元。授予中小企业合同金额</w:t>
      </w:r>
      <w:r>
        <w:rPr>
          <w:rFonts w:ascii="仿宋_GB2312" w:eastAsia="仿宋_GB2312"/>
          <w:sz w:val="28"/>
          <w:szCs w:val="28"/>
        </w:rPr>
        <w:t>5586.46</w:t>
      </w:r>
      <w:r>
        <w:rPr>
          <w:rFonts w:hint="eastAsia" w:ascii="仿宋_GB2312" w:eastAsia="仿宋_GB2312"/>
          <w:sz w:val="28"/>
          <w:szCs w:val="28"/>
        </w:rPr>
        <w:t>万元，占政府采购支出总额的</w:t>
      </w:r>
      <w:r>
        <w:rPr>
          <w:rFonts w:ascii="仿宋_GB2312" w:eastAsia="仿宋_GB2312"/>
          <w:sz w:val="28"/>
          <w:szCs w:val="28"/>
        </w:rPr>
        <w:t>41.61</w:t>
      </w:r>
      <w:r>
        <w:rPr>
          <w:rFonts w:hint="eastAsia" w:ascii="仿宋_GB2312" w:eastAsia="仿宋_GB2312"/>
          <w:sz w:val="28"/>
          <w:szCs w:val="28"/>
        </w:rPr>
        <w:t>%，其中：授予小微企业合同金额</w:t>
      </w:r>
      <w:r>
        <w:rPr>
          <w:rFonts w:ascii="仿宋_GB2312" w:eastAsia="仿宋_GB2312"/>
          <w:sz w:val="28"/>
          <w:szCs w:val="28"/>
        </w:rPr>
        <w:t>2282.86</w:t>
      </w:r>
      <w:r>
        <w:rPr>
          <w:rFonts w:hint="eastAsia" w:ascii="仿宋_GB2312" w:eastAsia="仿宋_GB2312"/>
          <w:sz w:val="28"/>
          <w:szCs w:val="28"/>
        </w:rPr>
        <w:t>万元，占政府采购支出总额的</w:t>
      </w:r>
      <w:r>
        <w:rPr>
          <w:rFonts w:ascii="仿宋_GB2312" w:eastAsia="仿宋_GB2312"/>
          <w:sz w:val="28"/>
          <w:szCs w:val="28"/>
        </w:rPr>
        <w:t>17.00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ascii="仿宋_GB2312" w:eastAsia="仿宋_GB2312"/>
          <w:sz w:val="28"/>
          <w:szCs w:val="28"/>
        </w:rPr>
        <w:t>1</w:t>
      </w:r>
      <w:r>
        <w:rPr>
          <w:rFonts w:hint="eastAsia" w:ascii="仿宋_GB2312" w:eastAsia="仿宋_GB2312"/>
          <w:sz w:val="28"/>
          <w:szCs w:val="28"/>
        </w:rPr>
        <w:t>台，共计</w:t>
      </w:r>
      <w:r>
        <w:rPr>
          <w:rFonts w:ascii="仿宋_GB2312" w:eastAsia="仿宋_GB2312"/>
          <w:sz w:val="28"/>
          <w:szCs w:val="28"/>
        </w:rPr>
        <w:t>17.98</w:t>
      </w:r>
      <w:r>
        <w:rPr>
          <w:rFonts w:hint="eastAsia" w:ascii="仿宋_GB2312" w:eastAsia="仿宋_GB2312"/>
          <w:sz w:val="28"/>
          <w:szCs w:val="28"/>
        </w:rPr>
        <w:t>万元；新购置单位价值100万元（含）以上的设备</w:t>
      </w:r>
      <w:r>
        <w:rPr>
          <w:rFonts w:ascii="仿宋_GB2312" w:eastAsia="仿宋_GB2312"/>
          <w:sz w:val="28"/>
          <w:szCs w:val="28"/>
        </w:rPr>
        <w:t>1</w:t>
      </w:r>
      <w:r>
        <w:rPr>
          <w:rFonts w:hint="eastAsia" w:ascii="仿宋_GB2312" w:eastAsia="仿宋_GB2312"/>
          <w:sz w:val="28"/>
          <w:szCs w:val="28"/>
        </w:rPr>
        <w:t>台（套），共计</w:t>
      </w:r>
      <w:r>
        <w:rPr>
          <w:rFonts w:ascii="仿宋_GB2312" w:eastAsia="仿宋_GB2312"/>
          <w:sz w:val="28"/>
          <w:szCs w:val="28"/>
        </w:rPr>
        <w:t>102.10</w:t>
      </w:r>
      <w:r>
        <w:rPr>
          <w:rFonts w:hint="eastAsia" w:ascii="仿宋_GB2312" w:eastAsia="仿宋_GB2312"/>
          <w:sz w:val="28"/>
          <w:szCs w:val="28"/>
        </w:rPr>
        <w:t>万元。截至12月31日，北京财贸职业学院共有车辆</w:t>
      </w:r>
      <w:r>
        <w:rPr>
          <w:rFonts w:ascii="仿宋_GB2312" w:eastAsia="仿宋_GB2312"/>
          <w:sz w:val="28"/>
          <w:szCs w:val="28"/>
        </w:rPr>
        <w:t>10</w:t>
      </w:r>
      <w:r>
        <w:rPr>
          <w:rFonts w:hint="eastAsia" w:ascii="仿宋_GB2312" w:eastAsia="仿宋_GB2312"/>
          <w:sz w:val="28"/>
          <w:szCs w:val="28"/>
        </w:rPr>
        <w:t>台，共计</w:t>
      </w:r>
      <w:r>
        <w:rPr>
          <w:rFonts w:ascii="仿宋_GB2312" w:eastAsia="仿宋_GB2312"/>
          <w:sz w:val="28"/>
          <w:szCs w:val="28"/>
        </w:rPr>
        <w:t>231.07</w:t>
      </w:r>
      <w:r>
        <w:rPr>
          <w:rFonts w:hint="eastAsia" w:ascii="仿宋_GB2312" w:eastAsia="仿宋_GB2312"/>
          <w:sz w:val="28"/>
          <w:szCs w:val="28"/>
        </w:rPr>
        <w:t>万元；单位价值100万元（含）以上的设备</w:t>
      </w:r>
      <w:r>
        <w:rPr>
          <w:rFonts w:ascii="仿宋_GB2312" w:eastAsia="仿宋_GB2312"/>
          <w:sz w:val="28"/>
          <w:szCs w:val="28"/>
        </w:rPr>
        <w:t>12</w:t>
      </w:r>
      <w:r>
        <w:rPr>
          <w:rFonts w:hint="eastAsia" w:ascii="仿宋_GB2312" w:eastAsia="仿宋_GB2312"/>
          <w:sz w:val="28"/>
          <w:szCs w:val="28"/>
        </w:rPr>
        <w:t>台（套），共计</w:t>
      </w:r>
      <w:r>
        <w:rPr>
          <w:rFonts w:ascii="仿宋_GB2312" w:eastAsia="仿宋_GB2312"/>
          <w:sz w:val="28"/>
          <w:szCs w:val="28"/>
        </w:rPr>
        <w:t>1776.22</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ascii="仿宋_GB2312" w:eastAsia="仿宋_GB2312"/>
          <w:sz w:val="28"/>
          <w:szCs w:val="28"/>
        </w:rPr>
      </w:pPr>
      <w:r>
        <w:rPr>
          <w:rFonts w:hint="eastAsia" w:ascii="仿宋_GB2312" w:eastAsia="仿宋_GB2312"/>
          <w:sz w:val="28"/>
          <w:szCs w:val="28"/>
        </w:rPr>
        <w:t>不属于政府购买服务购买主体。</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b/>
          <w:bCs/>
          <w:sz w:val="28"/>
          <w:szCs w:val="28"/>
        </w:rPr>
      </w:pPr>
      <w:r>
        <w:rPr>
          <w:rFonts w:hint="eastAsia" w:ascii="仿宋_GB2312" w:eastAsia="仿宋_GB2312"/>
          <w:sz w:val="28"/>
          <w:szCs w:val="28"/>
        </w:rPr>
        <w:t>7.</w:t>
      </w:r>
      <w:r>
        <w:rPr>
          <w:rFonts w:hint="eastAsia"/>
        </w:rPr>
        <w:t xml:space="preserve"> </w:t>
      </w:r>
      <w:r>
        <w:rPr>
          <w:rFonts w:hint="eastAsia" w:ascii="仿宋_GB2312" w:eastAsia="仿宋_GB2312"/>
          <w:sz w:val="28"/>
          <w:szCs w:val="28"/>
        </w:rPr>
        <w:t>教育支出（类）职业教育（款）高等职业教育（项）：反映各部门举办的本科、专科层次职业教育支出。政府各部门对社会组织等举办的本科、专科层次职业院校的资助，如捐赠、补贴等，也在本科目中反映。</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pStyle w:val="2"/>
        <w:ind w:firstLine="420"/>
      </w:pPr>
    </w:p>
    <w:p>
      <w:pPr>
        <w:pStyle w:val="2"/>
        <w:ind w:firstLine="560"/>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项目支出绩效自评表详见附件。</w:t>
      </w:r>
    </w:p>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Droid Sans">
    <w:altName w:val="华光中圆_CNKI"/>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wMzY2MDk2Mzg2MjA4YWRlODdhMDRiZGUzNjgzZDEifQ=="/>
  </w:docVars>
  <w:rsids>
    <w:rsidRoot w:val="00100246"/>
    <w:rsid w:val="00003B03"/>
    <w:rsid w:val="000040E6"/>
    <w:rsid w:val="00011D72"/>
    <w:rsid w:val="00027CD5"/>
    <w:rsid w:val="00031B8E"/>
    <w:rsid w:val="00033EC1"/>
    <w:rsid w:val="00034224"/>
    <w:rsid w:val="0003765F"/>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1E9E"/>
    <w:rsid w:val="000B70F1"/>
    <w:rsid w:val="000C447F"/>
    <w:rsid w:val="000C4611"/>
    <w:rsid w:val="000C537C"/>
    <w:rsid w:val="000D13D8"/>
    <w:rsid w:val="000D1B61"/>
    <w:rsid w:val="000D6854"/>
    <w:rsid w:val="000E0B26"/>
    <w:rsid w:val="000E3291"/>
    <w:rsid w:val="000F08FE"/>
    <w:rsid w:val="000F208B"/>
    <w:rsid w:val="000F2A48"/>
    <w:rsid w:val="000F49BE"/>
    <w:rsid w:val="00100246"/>
    <w:rsid w:val="00105494"/>
    <w:rsid w:val="0010682D"/>
    <w:rsid w:val="001073C6"/>
    <w:rsid w:val="00107DB5"/>
    <w:rsid w:val="00113613"/>
    <w:rsid w:val="0011483D"/>
    <w:rsid w:val="00115724"/>
    <w:rsid w:val="001217FF"/>
    <w:rsid w:val="00130995"/>
    <w:rsid w:val="00131FF9"/>
    <w:rsid w:val="00132320"/>
    <w:rsid w:val="00135B6A"/>
    <w:rsid w:val="001369A7"/>
    <w:rsid w:val="001428C5"/>
    <w:rsid w:val="001503D8"/>
    <w:rsid w:val="00157540"/>
    <w:rsid w:val="0017111F"/>
    <w:rsid w:val="00173CF6"/>
    <w:rsid w:val="00180035"/>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317A"/>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86EC4"/>
    <w:rsid w:val="002911BD"/>
    <w:rsid w:val="00291C98"/>
    <w:rsid w:val="00294DE9"/>
    <w:rsid w:val="002972BF"/>
    <w:rsid w:val="00297482"/>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108"/>
    <w:rsid w:val="00303428"/>
    <w:rsid w:val="003053C4"/>
    <w:rsid w:val="003058A3"/>
    <w:rsid w:val="00307DA5"/>
    <w:rsid w:val="0031169D"/>
    <w:rsid w:val="0031170D"/>
    <w:rsid w:val="00313E14"/>
    <w:rsid w:val="003167DD"/>
    <w:rsid w:val="00320C8B"/>
    <w:rsid w:val="00321BD8"/>
    <w:rsid w:val="00325687"/>
    <w:rsid w:val="00332C14"/>
    <w:rsid w:val="003331CB"/>
    <w:rsid w:val="00335079"/>
    <w:rsid w:val="003352CE"/>
    <w:rsid w:val="00341D8E"/>
    <w:rsid w:val="00342C8A"/>
    <w:rsid w:val="003502B9"/>
    <w:rsid w:val="00351ACA"/>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2822"/>
    <w:rsid w:val="003E48D7"/>
    <w:rsid w:val="003E4D82"/>
    <w:rsid w:val="003E5BC1"/>
    <w:rsid w:val="003F0D1B"/>
    <w:rsid w:val="003F1DD6"/>
    <w:rsid w:val="003F5049"/>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66FDC"/>
    <w:rsid w:val="00471C52"/>
    <w:rsid w:val="0047460C"/>
    <w:rsid w:val="00474FF2"/>
    <w:rsid w:val="00480098"/>
    <w:rsid w:val="00484A93"/>
    <w:rsid w:val="00485E12"/>
    <w:rsid w:val="004865DA"/>
    <w:rsid w:val="00487460"/>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1AF5"/>
    <w:rsid w:val="005052FA"/>
    <w:rsid w:val="005069E1"/>
    <w:rsid w:val="00507E59"/>
    <w:rsid w:val="005122B5"/>
    <w:rsid w:val="0052381C"/>
    <w:rsid w:val="005346B3"/>
    <w:rsid w:val="0054051C"/>
    <w:rsid w:val="00545588"/>
    <w:rsid w:val="00546A84"/>
    <w:rsid w:val="00547BE2"/>
    <w:rsid w:val="0055353D"/>
    <w:rsid w:val="0056187C"/>
    <w:rsid w:val="00576B03"/>
    <w:rsid w:val="00581E1A"/>
    <w:rsid w:val="005853C9"/>
    <w:rsid w:val="00586EF6"/>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639B"/>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25EA"/>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26D92"/>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0B07"/>
    <w:rsid w:val="008113D6"/>
    <w:rsid w:val="00812B09"/>
    <w:rsid w:val="00812BA7"/>
    <w:rsid w:val="00813A87"/>
    <w:rsid w:val="00813F63"/>
    <w:rsid w:val="00815F57"/>
    <w:rsid w:val="0081760B"/>
    <w:rsid w:val="008218AC"/>
    <w:rsid w:val="00825359"/>
    <w:rsid w:val="00825E13"/>
    <w:rsid w:val="00826F07"/>
    <w:rsid w:val="00831DF9"/>
    <w:rsid w:val="008337CB"/>
    <w:rsid w:val="00834A3C"/>
    <w:rsid w:val="008360A0"/>
    <w:rsid w:val="00837658"/>
    <w:rsid w:val="00837CD4"/>
    <w:rsid w:val="00837F78"/>
    <w:rsid w:val="008400EE"/>
    <w:rsid w:val="00840791"/>
    <w:rsid w:val="00845576"/>
    <w:rsid w:val="00850708"/>
    <w:rsid w:val="00851024"/>
    <w:rsid w:val="008520CB"/>
    <w:rsid w:val="008526D7"/>
    <w:rsid w:val="0086238C"/>
    <w:rsid w:val="008655DC"/>
    <w:rsid w:val="0086614F"/>
    <w:rsid w:val="0086732D"/>
    <w:rsid w:val="00870183"/>
    <w:rsid w:val="00875726"/>
    <w:rsid w:val="00877F10"/>
    <w:rsid w:val="0088225D"/>
    <w:rsid w:val="00882F8D"/>
    <w:rsid w:val="00884FB0"/>
    <w:rsid w:val="008853A5"/>
    <w:rsid w:val="008944DA"/>
    <w:rsid w:val="00894D78"/>
    <w:rsid w:val="008A6A18"/>
    <w:rsid w:val="008A7EA0"/>
    <w:rsid w:val="008B033F"/>
    <w:rsid w:val="008B4003"/>
    <w:rsid w:val="008B7443"/>
    <w:rsid w:val="008C179E"/>
    <w:rsid w:val="008C2379"/>
    <w:rsid w:val="008C4FF7"/>
    <w:rsid w:val="008C5C4C"/>
    <w:rsid w:val="008C7056"/>
    <w:rsid w:val="008C706D"/>
    <w:rsid w:val="008D3145"/>
    <w:rsid w:val="008E1A54"/>
    <w:rsid w:val="008E1F95"/>
    <w:rsid w:val="008E366C"/>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4BF5"/>
    <w:rsid w:val="00924BC3"/>
    <w:rsid w:val="00926E41"/>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71C5"/>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33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5E7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4DD6"/>
    <w:rsid w:val="00B05903"/>
    <w:rsid w:val="00B12C7A"/>
    <w:rsid w:val="00B12E10"/>
    <w:rsid w:val="00B2112A"/>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99B"/>
    <w:rsid w:val="00BC0CEA"/>
    <w:rsid w:val="00BC2220"/>
    <w:rsid w:val="00BC26B9"/>
    <w:rsid w:val="00BC26FA"/>
    <w:rsid w:val="00BC4E01"/>
    <w:rsid w:val="00BC73F6"/>
    <w:rsid w:val="00BD1177"/>
    <w:rsid w:val="00BD1374"/>
    <w:rsid w:val="00BD3531"/>
    <w:rsid w:val="00BD4E35"/>
    <w:rsid w:val="00BD7AEA"/>
    <w:rsid w:val="00BE34CA"/>
    <w:rsid w:val="00BF055A"/>
    <w:rsid w:val="00BF116A"/>
    <w:rsid w:val="00BF5F2D"/>
    <w:rsid w:val="00C042A8"/>
    <w:rsid w:val="00C0623C"/>
    <w:rsid w:val="00C06A07"/>
    <w:rsid w:val="00C132B6"/>
    <w:rsid w:val="00C173D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20BB"/>
    <w:rsid w:val="00C87B73"/>
    <w:rsid w:val="00C92444"/>
    <w:rsid w:val="00C92FBB"/>
    <w:rsid w:val="00C93327"/>
    <w:rsid w:val="00C97B4D"/>
    <w:rsid w:val="00CA041D"/>
    <w:rsid w:val="00CA5602"/>
    <w:rsid w:val="00CA5B0F"/>
    <w:rsid w:val="00CA5CA9"/>
    <w:rsid w:val="00CA78E2"/>
    <w:rsid w:val="00CB1BBE"/>
    <w:rsid w:val="00CB2255"/>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680C"/>
    <w:rsid w:val="00D511DD"/>
    <w:rsid w:val="00D55C2A"/>
    <w:rsid w:val="00D571C1"/>
    <w:rsid w:val="00D602F4"/>
    <w:rsid w:val="00D62DF4"/>
    <w:rsid w:val="00D6457E"/>
    <w:rsid w:val="00D742E2"/>
    <w:rsid w:val="00D7580E"/>
    <w:rsid w:val="00D87DAF"/>
    <w:rsid w:val="00D91DA0"/>
    <w:rsid w:val="00D9446D"/>
    <w:rsid w:val="00D96A80"/>
    <w:rsid w:val="00DA2994"/>
    <w:rsid w:val="00DB08E8"/>
    <w:rsid w:val="00DB0DED"/>
    <w:rsid w:val="00DB3073"/>
    <w:rsid w:val="00DB3BA9"/>
    <w:rsid w:val="00DB50FE"/>
    <w:rsid w:val="00DB5EDA"/>
    <w:rsid w:val="00DC2349"/>
    <w:rsid w:val="00DC3026"/>
    <w:rsid w:val="00DD1EDB"/>
    <w:rsid w:val="00DD2E69"/>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12C6"/>
    <w:rsid w:val="00E53C0E"/>
    <w:rsid w:val="00E54F7E"/>
    <w:rsid w:val="00E560CE"/>
    <w:rsid w:val="00E5674E"/>
    <w:rsid w:val="00E63783"/>
    <w:rsid w:val="00E650E2"/>
    <w:rsid w:val="00E71A7B"/>
    <w:rsid w:val="00E75CAD"/>
    <w:rsid w:val="00E76922"/>
    <w:rsid w:val="00E8595B"/>
    <w:rsid w:val="00E915EC"/>
    <w:rsid w:val="00EA11B1"/>
    <w:rsid w:val="00EA2224"/>
    <w:rsid w:val="00EA7194"/>
    <w:rsid w:val="00EB1329"/>
    <w:rsid w:val="00EB2987"/>
    <w:rsid w:val="00EB2D75"/>
    <w:rsid w:val="00EB34BE"/>
    <w:rsid w:val="00EB4C7F"/>
    <w:rsid w:val="00EB571A"/>
    <w:rsid w:val="00EC2804"/>
    <w:rsid w:val="00EC6117"/>
    <w:rsid w:val="00EC6138"/>
    <w:rsid w:val="00ED1DCF"/>
    <w:rsid w:val="00ED43C9"/>
    <w:rsid w:val="00EE2C60"/>
    <w:rsid w:val="00EE2E58"/>
    <w:rsid w:val="00EE487A"/>
    <w:rsid w:val="00EE6A59"/>
    <w:rsid w:val="00EE734C"/>
    <w:rsid w:val="00EF4CB0"/>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2B5F"/>
    <w:rsid w:val="00F433F3"/>
    <w:rsid w:val="00F47F64"/>
    <w:rsid w:val="00F522D9"/>
    <w:rsid w:val="00F52F54"/>
    <w:rsid w:val="00F53584"/>
    <w:rsid w:val="00F61B24"/>
    <w:rsid w:val="00F62DE5"/>
    <w:rsid w:val="00F63F8A"/>
    <w:rsid w:val="00F6514E"/>
    <w:rsid w:val="00F677CB"/>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A7C3E"/>
    <w:rsid w:val="00FB1248"/>
    <w:rsid w:val="00FB208D"/>
    <w:rsid w:val="00FB3CF4"/>
    <w:rsid w:val="00FB4A27"/>
    <w:rsid w:val="00FB4A49"/>
    <w:rsid w:val="00FB69B3"/>
    <w:rsid w:val="00FC5045"/>
    <w:rsid w:val="00FC6FBE"/>
    <w:rsid w:val="00FD1162"/>
    <w:rsid w:val="00FD2232"/>
    <w:rsid w:val="00FD4AE7"/>
    <w:rsid w:val="00FD65A9"/>
    <w:rsid w:val="00FD7508"/>
    <w:rsid w:val="00FE1E51"/>
    <w:rsid w:val="00FE2496"/>
    <w:rsid w:val="00FE6A2B"/>
    <w:rsid w:val="00FE7017"/>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338640B8"/>
    <w:rsid w:val="433E495C"/>
    <w:rsid w:val="45C130C3"/>
    <w:rsid w:val="4AC27CB3"/>
    <w:rsid w:val="4BF72BEF"/>
    <w:rsid w:val="51DB3C59"/>
    <w:rsid w:val="55762E42"/>
    <w:rsid w:val="57A7B272"/>
    <w:rsid w:val="58470068"/>
    <w:rsid w:val="5A1720F9"/>
    <w:rsid w:val="5B9C37C2"/>
    <w:rsid w:val="5BA7C654"/>
    <w:rsid w:val="64C0607C"/>
    <w:rsid w:val="676F09E1"/>
    <w:rsid w:val="682D64CD"/>
    <w:rsid w:val="729C36B3"/>
    <w:rsid w:val="756172B0"/>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autoRedefine/>
    <w:qFormat/>
    <w:uiPriority w:val="0"/>
  </w:style>
  <w:style w:type="character" w:customStyle="1" w:styleId="14">
    <w:name w:val="页脚 Char"/>
    <w:autoRedefine/>
    <w:qFormat/>
    <w:uiPriority w:val="0"/>
    <w:rPr>
      <w:rFonts w:eastAsia="宋体"/>
      <w:kern w:val="2"/>
      <w:sz w:val="18"/>
      <w:szCs w:val="18"/>
      <w:lang w:val="en-US" w:eastAsia="zh-CN" w:bidi="ar-SA"/>
    </w:rPr>
  </w:style>
  <w:style w:type="character" w:customStyle="1" w:styleId="15">
    <w:name w:val="页眉 Char"/>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autoRedefine/>
    <w:qFormat/>
    <w:uiPriority w:val="0"/>
    <w:rPr>
      <w:rFonts w:ascii="Tahoma" w:hAnsi="Tahoma"/>
      <w:sz w:val="24"/>
      <w:szCs w:val="20"/>
    </w:rPr>
  </w:style>
  <w:style w:type="paragraph" w:customStyle="1" w:styleId="19">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收入决算</a:t>
            </a:r>
            <a:endParaRPr lang="en-US" altLang="zh-CN"/>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0834935126402792"/>
                  <c:y val="0.053716410448694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435713419578141"/>
                  <c:y val="0.023496437945256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304798338359717"/>
                  <c:y val="0.035005936757905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417583793083986"/>
                  <c:y val="0.13896075490563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12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财政拨款收入</c:v>
                </c:pt>
                <c:pt idx="1">
                  <c:v>事业收入</c:v>
                </c:pt>
                <c:pt idx="2">
                  <c:v>经营收入</c:v>
                </c:pt>
                <c:pt idx="3">
                  <c:v>其他收入</c:v>
                </c:pt>
              </c:strCache>
            </c:strRef>
          </c:cat>
          <c:val>
            <c:numRef>
              <c:f>Sheet1!$B$2:$B$5</c:f>
              <c:numCache>
                <c:formatCode>General</c:formatCode>
                <c:ptCount val="4"/>
                <c:pt idx="0">
                  <c:v>40860.59</c:v>
                </c:pt>
                <c:pt idx="1">
                  <c:v>3685.24</c:v>
                </c:pt>
                <c:pt idx="2">
                  <c:v>451.45</c:v>
                </c:pt>
                <c:pt idx="3">
                  <c:v>2488.08</c:v>
                </c:pt>
              </c:numCache>
            </c:numRef>
          </c:val>
        </c:ser>
        <c:dLbls>
          <c:showLegendKey val="0"/>
          <c:showVal val="1"/>
          <c:showCatName val="0"/>
          <c:showSerName val="0"/>
          <c:showPercent val="0"/>
          <c:showBubbleSize val="0"/>
          <c:showLeaderLines val="1"/>
        </c:dLbls>
        <c:firstSliceAng val="92"/>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支出决算</a:t>
            </a:r>
            <a:endParaRPr lang="en-US" altLang="zh-CN"/>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dLbl>
              <c:idx val="0"/>
              <c:layout>
                <c:manualLayout>
                  <c:x val="-0.0738200584124453"/>
                  <c:y val="-0.07311148606424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321011380121423"/>
                  <c:y val="-0.070899575053118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808287591262368"/>
                  <c:y val="0.0064985626796650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12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基本支出</c:v>
                </c:pt>
                <c:pt idx="1">
                  <c:v>项目支出</c:v>
                </c:pt>
                <c:pt idx="2">
                  <c:v>经营支出</c:v>
                </c:pt>
              </c:strCache>
            </c:strRef>
          </c:cat>
          <c:val>
            <c:numRef>
              <c:f>Sheet1!$B$2:$B$4</c:f>
              <c:numCache>
                <c:formatCode>General</c:formatCode>
                <c:ptCount val="3"/>
                <c:pt idx="0">
                  <c:v>37292.32</c:v>
                </c:pt>
                <c:pt idx="1">
                  <c:v>11942.32</c:v>
                </c:pt>
                <c:pt idx="2">
                  <c:v>289.8</c:v>
                </c:pt>
              </c:numCache>
            </c:numRef>
          </c:val>
        </c:ser>
        <c:dLbls>
          <c:showLegendKey val="0"/>
          <c:showVal val="0"/>
          <c:showCatName val="0"/>
          <c:showSerName val="0"/>
          <c:showPercent val="0"/>
          <c:showBubbleSize val="0"/>
          <c:showLeaderLines val="1"/>
        </c:dLbls>
        <c:firstSliceAng val="13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3898-ABF8-42CE-9DBA-BBBCA9713331}">
  <ds:schemaRefs/>
</ds:datastoreItem>
</file>

<file path=docProps/app.xml><?xml version="1.0" encoding="utf-8"?>
<Properties xmlns="http://schemas.openxmlformats.org/officeDocument/2006/extended-properties" xmlns:vt="http://schemas.openxmlformats.org/officeDocument/2006/docPropsVTypes">
  <Template>Normal</Template>
  <Pages>13</Pages>
  <Words>629</Words>
  <Characters>3589</Characters>
  <Lines>29</Lines>
  <Paragraphs>8</Paragraphs>
  <TotalTime>0</TotalTime>
  <ScaleCrop>false</ScaleCrop>
  <LinksUpToDate>false</LinksUpToDate>
  <CharactersWithSpaces>4210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2024-06-04T06:04:00Z</dcterms:created>
  <dc:creator>常程</dc:creator>
  <cp:lastModifiedBy>二凯</cp:lastModifiedBy>
  <cp:lastPrinted>2024-06-04T07:28:00Z</cp:lastPrinted>
  <dcterms:modified xsi:type="dcterms:W3CDTF">2024-08-22T00:41:47Z</dcterms:modified>
  <dc:title>北京市财政局关于做好向市人大常委会报送2015年度市级部门决算（草案）</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01F8CD0A25B547E6A4C27472B18C562F_13</vt:lpwstr>
  </property>
</Properties>
</file>