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r>
        <w:rPr>
          <w:rFonts w:hint="eastAsia" w:ascii="黑体" w:eastAsia="黑体"/>
          <w:sz w:val="72"/>
          <w:szCs w:val="72"/>
        </w:rPr>
        <w:t>2023年度部门决算公开</w:t>
      </w:r>
    </w:p>
    <w:p>
      <w:pPr>
        <w:pStyle w:val="2"/>
        <w:ind w:firstLine="1440"/>
        <w:rPr>
          <w:rFonts w:hint="eastAsia" w:ascii="黑体" w:eastAsia="黑体"/>
          <w:sz w:val="72"/>
          <w:szCs w:val="72"/>
        </w:rPr>
      </w:pPr>
    </w:p>
    <w:p>
      <w:pPr>
        <w:jc w:val="center"/>
        <w:rPr>
          <w:rFonts w:ascii="宋体" w:hAnsi="宋体"/>
          <w:sz w:val="36"/>
          <w:szCs w:val="36"/>
        </w:rPr>
      </w:pPr>
      <w:r>
        <w:rPr>
          <w:rFonts w:hint="eastAsia" w:ascii="宋体" w:hAnsi="宋体"/>
          <w:sz w:val="36"/>
          <w:szCs w:val="36"/>
        </w:rPr>
        <w:t>单位名称：北方工业大学</w:t>
      </w:r>
    </w:p>
    <w:p>
      <w:pPr>
        <w:pStyle w:val="2"/>
        <w:ind w:firstLine="420"/>
        <w:jc w:val="center"/>
      </w:pP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hint="eastAsia"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仿宋_GB2312" w:eastAsia="仿宋_GB2312"/>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北方工业大学单位为公益二类事业单位，是一所以工为主、文理兼融，具有学士、硕士、博士培养层次的多科性高等学府，具有硕士研究生免试推荐资格，是教育部“卓越工程师教育培养”院校。</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方工业大学下设39个机构，分别为：学校办公室、组织部、宣传部、统战部、机关党委、纪检监察办公室、校工会、审计处、离退休工作处、发展规划处、国际合作与交流处、人事处、教务处、招生就业处、科学技术研究院、科技成果转化中心、研究生院、学生工作部（处）、团委、财务处、安全稳定工作部（处）、资产与实验室安全管理处、后勤基建处、图书馆、网信中心、服务中心、信息学院、电气与控制工程学院、机械与材料工程学院、建筑与艺术学院、土木工程学院、经济管理学院、文法学院、理学院、马克思主义学院、布鲁内尔学院、国际学院、数字产业学院、继续教育学院。</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北方工业大学包括1个预算单位，即北方工业大学（本级）。</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北方工业大学行政编制0人，实有人数0人；事业编制1078人，实有人数1047人；学生人数20501人。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Theme="minorEastAsia"/>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136215.43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12212.56万元，增长9.8</w:t>
      </w:r>
      <w:r>
        <w:rPr>
          <w:rFonts w:hint="eastAsia" w:ascii="仿宋_GB2312" w:eastAsiaTheme="minorEastAsia"/>
          <w:sz w:val="28"/>
          <w:szCs w:val="28"/>
        </w:rPr>
        <w:t>5</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111573.85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8429.55万元，增长8.17%。</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78505.07</w:t>
      </w:r>
      <w:r>
        <w:rPr>
          <w:rFonts w:hint="eastAsia" w:ascii="仿宋_GB2312" w:eastAsia="仿宋_GB2312"/>
          <w:sz w:val="28"/>
          <w:szCs w:val="28"/>
        </w:rPr>
        <w:t>万元，占收入合计的</w:t>
      </w:r>
      <w:r>
        <w:rPr>
          <w:rFonts w:ascii="仿宋_GB2312" w:eastAsia="仿宋_GB2312"/>
          <w:sz w:val="28"/>
          <w:szCs w:val="28"/>
        </w:rPr>
        <w:t>70.36</w:t>
      </w:r>
      <w:r>
        <w:rPr>
          <w:rFonts w:hint="eastAsia" w:ascii="仿宋_GB2312" w:eastAsia="仿宋_GB2312"/>
          <w:sz w:val="28"/>
          <w:szCs w:val="28"/>
        </w:rPr>
        <w:t>%。其中：一般公共预算财政拨款收入</w:t>
      </w:r>
      <w:r>
        <w:rPr>
          <w:rFonts w:ascii="仿宋_GB2312" w:eastAsia="仿宋_GB2312"/>
          <w:sz w:val="28"/>
          <w:szCs w:val="28"/>
        </w:rPr>
        <w:t>78505.07</w:t>
      </w:r>
      <w:r>
        <w:rPr>
          <w:rFonts w:hint="eastAsia" w:ascii="仿宋_GB2312" w:eastAsia="仿宋_GB2312"/>
          <w:sz w:val="28"/>
          <w:szCs w:val="28"/>
        </w:rPr>
        <w:t>万元，占收入合计的</w:t>
      </w:r>
      <w:r>
        <w:rPr>
          <w:rFonts w:ascii="仿宋_GB2312" w:eastAsia="仿宋_GB2312"/>
          <w:sz w:val="28"/>
          <w:szCs w:val="28"/>
        </w:rPr>
        <w:t>70.36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.00%；国有资本经营预算财政拨款收入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30191.86</w:t>
      </w:r>
      <w:r>
        <w:rPr>
          <w:rFonts w:hint="eastAsia" w:ascii="仿宋_GB2312" w:eastAsia="仿宋_GB2312"/>
          <w:sz w:val="28"/>
          <w:szCs w:val="28"/>
        </w:rPr>
        <w:t>万元，占收入合计的</w:t>
      </w:r>
      <w:r>
        <w:rPr>
          <w:rFonts w:ascii="仿宋_GB2312" w:eastAsia="仿宋_GB2312"/>
          <w:sz w:val="28"/>
          <w:szCs w:val="28"/>
        </w:rPr>
        <w:t>27.0</w:t>
      </w:r>
      <w:r>
        <w:rPr>
          <w:rFonts w:hint="eastAsia" w:ascii="仿宋_GB2312" w:eastAsia="仿宋_GB2312"/>
          <w:sz w:val="28"/>
          <w:szCs w:val="28"/>
        </w:rPr>
        <w:t>6%；</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51.37</w:t>
      </w:r>
      <w:r>
        <w:rPr>
          <w:rFonts w:hint="eastAsia" w:ascii="仿宋_GB2312" w:eastAsia="仿宋_GB2312"/>
          <w:sz w:val="28"/>
          <w:szCs w:val="28"/>
        </w:rPr>
        <w:t>万元，占收入合计的</w:t>
      </w:r>
      <w:r>
        <w:rPr>
          <w:rFonts w:ascii="仿宋_GB2312" w:eastAsia="仿宋_GB2312"/>
          <w:sz w:val="28"/>
          <w:szCs w:val="28"/>
        </w:rPr>
        <w:t>0.0</w:t>
      </w:r>
      <w:r>
        <w:rPr>
          <w:rFonts w:hint="eastAsia" w:ascii="仿宋_GB2312" w:eastAsia="仿宋_GB2312"/>
          <w:sz w:val="28"/>
          <w:szCs w:val="28"/>
        </w:rPr>
        <w:t>5%；</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7.82</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.01%；</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2817.73</w:t>
      </w:r>
      <w:r>
        <w:rPr>
          <w:rFonts w:hint="eastAsia" w:ascii="仿宋_GB2312" w:eastAsia="仿宋_GB2312"/>
          <w:sz w:val="28"/>
          <w:szCs w:val="28"/>
        </w:rPr>
        <w:t>万元，占收入合计的</w:t>
      </w:r>
      <w:r>
        <w:rPr>
          <w:rFonts w:ascii="仿宋_GB2312" w:eastAsia="仿宋_GB2312"/>
          <w:sz w:val="28"/>
          <w:szCs w:val="28"/>
        </w:rPr>
        <w:t>2.5</w:t>
      </w:r>
      <w:r>
        <w:rPr>
          <w:rFonts w:hint="eastAsia" w:ascii="仿宋_GB2312" w:eastAsiaTheme="minorEastAsia"/>
          <w:sz w:val="28"/>
          <w:szCs w:val="28"/>
        </w:rPr>
        <w:t>2</w:t>
      </w:r>
      <w:r>
        <w:rPr>
          <w:rFonts w:hint="eastAsia" w:ascii="仿宋_GB2312" w:eastAsia="仿宋_GB2312"/>
          <w:sz w:val="28"/>
          <w:szCs w:val="28"/>
        </w:rPr>
        <w:t>%。</w:t>
      </w:r>
    </w:p>
    <w:p>
      <w:pPr>
        <w:pStyle w:val="3"/>
        <w:jc w:val="center"/>
        <w:rPr>
          <w:rFonts w:ascii="仿宋_GB2312" w:eastAsiaTheme="minorEastAsia"/>
          <w:color w:val="000000"/>
          <w:sz w:val="32"/>
        </w:rPr>
      </w:pPr>
      <w:r>
        <w:rPr>
          <w:rFonts w:hint="eastAsia" w:ascii="仿宋_GB2312" w:eastAsia="仿宋_GB2312"/>
          <w:color w:val="000000"/>
          <w:sz w:val="32"/>
        </w:rPr>
        <w:t>图1：收入决算</w:t>
      </w:r>
    </w:p>
    <w:p>
      <w:pPr>
        <w:pStyle w:val="3"/>
        <w:jc w:val="center"/>
      </w:pPr>
      <w:r>
        <w:drawing>
          <wp:inline distT="0" distB="0" distL="0" distR="0">
            <wp:extent cx="4391025" cy="2720975"/>
            <wp:effectExtent l="0" t="0" r="9525" b="3175"/>
            <wp:docPr id="96727122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110528.32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10359.38万元，增长10.34%，其中：基本支出</w:t>
      </w:r>
      <w:r>
        <w:rPr>
          <w:rFonts w:ascii="仿宋_GB2312" w:eastAsia="仿宋_GB2312"/>
          <w:sz w:val="28"/>
          <w:szCs w:val="28"/>
        </w:rPr>
        <w:t>91532.24</w:t>
      </w:r>
      <w:r>
        <w:rPr>
          <w:rFonts w:hint="eastAsia" w:ascii="仿宋_GB2312" w:eastAsia="仿宋_GB2312"/>
          <w:sz w:val="28"/>
          <w:szCs w:val="28"/>
        </w:rPr>
        <w:t>万元，占支出合计的</w:t>
      </w:r>
      <w:r>
        <w:rPr>
          <w:rFonts w:ascii="仿宋_GB2312" w:eastAsia="仿宋_GB2312"/>
          <w:sz w:val="28"/>
          <w:szCs w:val="28"/>
        </w:rPr>
        <w:t>82.81</w:t>
      </w:r>
      <w:r>
        <w:rPr>
          <w:rFonts w:hint="eastAsia" w:ascii="仿宋_GB2312" w:eastAsia="仿宋_GB2312"/>
          <w:sz w:val="28"/>
          <w:szCs w:val="28"/>
        </w:rPr>
        <w:t>%；项目支出</w:t>
      </w:r>
      <w:r>
        <w:rPr>
          <w:rFonts w:ascii="仿宋_GB2312" w:eastAsia="仿宋_GB2312"/>
          <w:sz w:val="28"/>
          <w:szCs w:val="28"/>
        </w:rPr>
        <w:t>18951.48</w:t>
      </w:r>
      <w:r>
        <w:rPr>
          <w:rFonts w:hint="eastAsia" w:ascii="仿宋_GB2312" w:eastAsia="仿宋_GB2312"/>
          <w:sz w:val="28"/>
          <w:szCs w:val="28"/>
        </w:rPr>
        <w:t>万元，占支出合计的</w:t>
      </w:r>
      <w:r>
        <w:rPr>
          <w:rFonts w:ascii="仿宋_GB2312" w:eastAsia="仿宋_GB2312"/>
          <w:sz w:val="28"/>
          <w:szCs w:val="28"/>
        </w:rPr>
        <w:t>17.1</w:t>
      </w:r>
      <w:r>
        <w:rPr>
          <w:rFonts w:hint="eastAsia" w:ascii="仿宋_GB2312" w:eastAsiaTheme="minorEastAsia"/>
          <w:sz w:val="28"/>
          <w:szCs w:val="28"/>
        </w:rPr>
        <w:t>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.00%；经营支出</w:t>
      </w:r>
      <w:r>
        <w:rPr>
          <w:rFonts w:ascii="仿宋_GB2312" w:eastAsia="仿宋_GB2312"/>
          <w:sz w:val="28"/>
          <w:szCs w:val="28"/>
        </w:rPr>
        <w:t>44.6</w:t>
      </w:r>
      <w:r>
        <w:rPr>
          <w:rFonts w:hint="eastAsia" w:ascii="仿宋_GB2312" w:eastAsia="仿宋_GB2312"/>
          <w:sz w:val="28"/>
          <w:szCs w:val="28"/>
        </w:rPr>
        <w:t>0万元，占支出合计的</w:t>
      </w:r>
      <w:r>
        <w:rPr>
          <w:rFonts w:ascii="仿宋_GB2312" w:eastAsia="仿宋_GB2312"/>
          <w:sz w:val="28"/>
          <w:szCs w:val="28"/>
        </w:rPr>
        <w:t>0.0</w:t>
      </w:r>
      <w:r>
        <w:rPr>
          <w:rFonts w:hint="eastAsia" w:ascii="仿宋_GB2312" w:eastAsiaTheme="minorEastAsia"/>
          <w:sz w:val="28"/>
          <w:szCs w:val="28"/>
        </w:rPr>
        <w:t>4</w:t>
      </w:r>
      <w:r>
        <w:rPr>
          <w:rFonts w:hint="eastAsia" w:ascii="仿宋_GB2312" w:eastAsia="仿宋_GB2312"/>
          <w:sz w:val="28"/>
          <w:szCs w:val="28"/>
        </w:rPr>
        <w:t>%</w:t>
      </w:r>
      <w:r>
        <w:rPr>
          <w:rFonts w:hint="eastAsia" w:asciiTheme="minorEastAsia" w:hAnsiTheme="minorEastAsia" w:eastAsiaTheme="minorEastAsia"/>
          <w:sz w:val="28"/>
          <w:szCs w:val="28"/>
        </w:rPr>
        <w:t>；</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w:t>
      </w:r>
    </w:p>
    <w:p>
      <w:pPr>
        <w:pStyle w:val="3"/>
        <w:ind w:firstLine="642"/>
        <w:jc w:val="center"/>
        <w:rPr>
          <w:rFonts w:ascii="仿宋_GB2312" w:eastAsiaTheme="minorEastAsia"/>
          <w:color w:val="000000"/>
          <w:sz w:val="32"/>
        </w:rPr>
      </w:pPr>
      <w:r>
        <w:rPr>
          <w:rFonts w:hint="eastAsia" w:ascii="仿宋_GB2312" w:eastAsia="仿宋_GB2312"/>
          <w:color w:val="000000"/>
          <w:sz w:val="32"/>
        </w:rPr>
        <w:t>图2：基本支出和项目支出情况</w:t>
      </w:r>
    </w:p>
    <w:p>
      <w:pPr>
        <w:pStyle w:val="3"/>
        <w:jc w:val="center"/>
      </w:pPr>
      <w:r>
        <w:drawing>
          <wp:inline distT="0" distB="0" distL="0" distR="0">
            <wp:extent cx="4425950" cy="2749550"/>
            <wp:effectExtent l="0" t="0" r="12700" b="12700"/>
            <wp:docPr id="83778425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80063.38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1470.29万元，增长1.87%。主要原因：学生人数增长导致财政拨款基本经费收支增加。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Theme="minorEastAsia"/>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79625.69</w:t>
      </w:r>
      <w:r>
        <w:rPr>
          <w:rFonts w:hint="eastAsia" w:ascii="仿宋_GB2312" w:eastAsia="仿宋_GB2312"/>
          <w:sz w:val="28"/>
          <w:szCs w:val="28"/>
        </w:rPr>
        <w:t>万元，主要用于以下方面（按大类）：教育支出</w:t>
      </w:r>
      <w:r>
        <w:rPr>
          <w:rFonts w:ascii="仿宋_GB2312" w:eastAsia="仿宋_GB2312"/>
          <w:sz w:val="28"/>
          <w:szCs w:val="28"/>
        </w:rPr>
        <w:t>79625.69</w:t>
      </w:r>
      <w:r>
        <w:rPr>
          <w:rFonts w:hint="eastAsia" w:ascii="仿宋_GB2312" w:eastAsia="仿宋_GB2312"/>
          <w:sz w:val="28"/>
          <w:szCs w:val="28"/>
        </w:rPr>
        <w:t>万元，占本年财政拨款支出100.00%。</w:t>
      </w:r>
    </w:p>
    <w:p>
      <w:pPr>
        <w:numPr>
          <w:ilvl w:val="0"/>
          <w:numId w:val="1"/>
        </w:numPr>
        <w:autoSpaceDE w:val="0"/>
        <w:autoSpaceDN w:val="0"/>
        <w:adjustRightInd w:val="0"/>
        <w:spacing w:line="580" w:lineRule="exact"/>
        <w:ind w:firstLine="560" w:firstLineChars="200"/>
        <w:jc w:val="left"/>
      </w:pPr>
      <w:r>
        <w:rPr>
          <w:rFonts w:hint="eastAsia" w:ascii="仿宋_GB2312" w:eastAsia="仿宋_GB2312"/>
          <w:sz w:val="28"/>
          <w:szCs w:val="28"/>
        </w:rPr>
        <w:t>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“教育支出”(类)2023年度决算</w:t>
      </w:r>
      <w:r>
        <w:rPr>
          <w:rFonts w:ascii="仿宋_GB2312" w:eastAsia="仿宋_GB2312"/>
          <w:sz w:val="28"/>
          <w:szCs w:val="28"/>
        </w:rPr>
        <w:t>79625.69</w:t>
      </w:r>
      <w:r>
        <w:rPr>
          <w:rFonts w:hint="eastAsia" w:ascii="仿宋_GB2312" w:eastAsia="仿宋_GB2312"/>
          <w:sz w:val="28"/>
          <w:szCs w:val="28"/>
        </w:rPr>
        <w:t>万元，比2023年</w:t>
      </w:r>
      <w:r>
        <w:rPr>
          <w:rFonts w:hint="eastAsia" w:ascii="仿宋_GB2312" w:eastAsia="仿宋_GB2312"/>
          <w:sz w:val="28"/>
          <w:szCs w:val="28"/>
          <w:lang w:val="en-US" w:eastAsia="zh-CN"/>
        </w:rPr>
        <w:t>度</w:t>
      </w:r>
      <w:r>
        <w:rPr>
          <w:rFonts w:hint="eastAsia" w:ascii="仿宋_GB2312" w:eastAsia="仿宋_GB2312"/>
          <w:sz w:val="28"/>
          <w:szCs w:val="28"/>
        </w:rPr>
        <w:t>年初预算减少698.58万元，下降0.87%。其中：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“普通教育”（款）2023年度决算</w:t>
      </w:r>
      <w:r>
        <w:rPr>
          <w:rFonts w:ascii="仿宋_GB2312" w:eastAsia="仿宋_GB2312"/>
          <w:sz w:val="28"/>
          <w:szCs w:val="28"/>
        </w:rPr>
        <w:t>79625.69</w:t>
      </w:r>
      <w:r>
        <w:rPr>
          <w:rFonts w:hint="eastAsia" w:ascii="仿宋_GB2312" w:eastAsia="仿宋_GB2312"/>
          <w:sz w:val="28"/>
          <w:szCs w:val="28"/>
        </w:rPr>
        <w:t>万元，比2023年</w:t>
      </w:r>
      <w:r>
        <w:rPr>
          <w:rFonts w:hint="eastAsia" w:ascii="仿宋_GB2312" w:eastAsia="仿宋_GB2312"/>
          <w:sz w:val="28"/>
          <w:szCs w:val="28"/>
          <w:lang w:val="en-US" w:eastAsia="zh-CN"/>
        </w:rPr>
        <w:t>度</w:t>
      </w:r>
      <w:r>
        <w:rPr>
          <w:rFonts w:hint="eastAsia" w:ascii="仿宋_GB2312" w:eastAsia="仿宋_GB2312"/>
          <w:sz w:val="28"/>
          <w:szCs w:val="28"/>
        </w:rPr>
        <w:t>年初预算减少698.58万元，下降0.87%。主要原因：根据事业发展规划，减少项目经费支出。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本年度无此项经费。</w:t>
      </w:r>
      <w:bookmarkStart w:id="0" w:name="_GoBack"/>
      <w:bookmarkEnd w:id="0"/>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70911.27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.00万元，其中：（1）工资福利支出包括基本工资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17.37</w:t>
      </w:r>
      <w:r>
        <w:rPr>
          <w:rFonts w:hint="eastAsia" w:ascii="仿宋_GB2312" w:eastAsia="仿宋_GB2312"/>
          <w:sz w:val="28"/>
          <w:szCs w:val="28"/>
        </w:rPr>
        <w:t>万元，比2023年度“三公”经费财政拨款年初预算</w:t>
      </w:r>
      <w:r>
        <w:rPr>
          <w:rFonts w:ascii="仿宋_GB2312" w:eastAsia="仿宋_GB2312"/>
          <w:sz w:val="28"/>
          <w:szCs w:val="28"/>
        </w:rPr>
        <w:t>30</w:t>
      </w:r>
      <w:r>
        <w:rPr>
          <w:rFonts w:hint="eastAsia" w:ascii="仿宋_GB2312" w:eastAsia="仿宋_GB2312"/>
          <w:sz w:val="28"/>
          <w:szCs w:val="28"/>
        </w:rPr>
        <w:t>.00万元减少</w:t>
      </w:r>
      <w:r>
        <w:rPr>
          <w:rFonts w:ascii="仿宋_GB2312" w:eastAsia="仿宋_GB2312"/>
          <w:sz w:val="28"/>
          <w:szCs w:val="28"/>
        </w:rPr>
        <w:t>12.63</w:t>
      </w:r>
      <w:r>
        <w:rPr>
          <w:rFonts w:hint="eastAsia" w:ascii="仿宋_GB2312" w:eastAsia="仿宋_GB2312"/>
          <w:sz w:val="28"/>
          <w:szCs w:val="28"/>
        </w:rPr>
        <w:t>万元。其中：</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.00万元，与2023年度年初预算数</w:t>
      </w:r>
      <w:r>
        <w:rPr>
          <w:rFonts w:ascii="仿宋_GB2312" w:eastAsia="仿宋_GB2312"/>
          <w:sz w:val="28"/>
          <w:szCs w:val="28"/>
        </w:rPr>
        <w:t>0</w:t>
      </w:r>
      <w:r>
        <w:rPr>
          <w:rFonts w:hint="eastAsia" w:ascii="仿宋_GB2312" w:eastAsia="仿宋_GB2312"/>
          <w:sz w:val="28"/>
          <w:szCs w:val="28"/>
        </w:rPr>
        <w:t>.00万元持平。2023年度组织因公出国（境）团组0个、0人次，人均因公出国（境）费用0.00万元。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0.74</w:t>
      </w:r>
      <w:r>
        <w:rPr>
          <w:rFonts w:hint="eastAsia" w:ascii="仿宋_GB2312" w:eastAsia="仿宋_GB2312"/>
          <w:sz w:val="28"/>
          <w:szCs w:val="28"/>
        </w:rPr>
        <w:t>万元，比2023年度年初预算数</w:t>
      </w:r>
      <w:r>
        <w:rPr>
          <w:rFonts w:ascii="仿宋_GB2312" w:eastAsia="仿宋_GB2312"/>
          <w:sz w:val="28"/>
          <w:szCs w:val="28"/>
        </w:rPr>
        <w:t>6</w:t>
      </w:r>
      <w:r>
        <w:rPr>
          <w:rFonts w:hint="eastAsia" w:ascii="仿宋_GB2312" w:eastAsia="仿宋_GB2312"/>
          <w:sz w:val="28"/>
          <w:szCs w:val="28"/>
        </w:rPr>
        <w:t>.00万元减少5.26万元。主要原因：落实政府过紧日子要求，厉行勤俭节约要求，严格控制公务接待数量、规模和接待标准，公务接待费相应减少。2023年度公务接待费主要用于校际间交流。公务接待7批次，公务接待68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3.公务用车购置及运行维护费。2023年度决算数16.63万元，比2023年度年初预算数24.00万元减少7.37万元。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15.3</w:t>
      </w:r>
      <w:r>
        <w:rPr>
          <w:rFonts w:hint="eastAsia" w:ascii="仿宋_GB2312" w:eastAsia="仿宋_GB2312"/>
          <w:sz w:val="28"/>
          <w:szCs w:val="28"/>
        </w:rPr>
        <w:t>0万元，与2023年度年初预算数</w:t>
      </w:r>
      <w:r>
        <w:rPr>
          <w:rFonts w:ascii="仿宋_GB2312" w:eastAsia="仿宋_GB2312"/>
          <w:sz w:val="28"/>
          <w:szCs w:val="28"/>
        </w:rPr>
        <w:t>15.3</w:t>
      </w:r>
      <w:r>
        <w:rPr>
          <w:rFonts w:hint="eastAsia" w:ascii="仿宋_GB2312" w:eastAsia="仿宋_GB2312"/>
          <w:sz w:val="28"/>
          <w:szCs w:val="28"/>
        </w:rPr>
        <w:t>0万元持平。2023年度购置（更新）1辆，车均购置费15.30万元。公务用车运行维护费2023年度决算数</w:t>
      </w:r>
      <w:r>
        <w:rPr>
          <w:rFonts w:ascii="仿宋_GB2312" w:eastAsia="仿宋_GB2312"/>
          <w:sz w:val="28"/>
          <w:szCs w:val="28"/>
        </w:rPr>
        <w:t>1.33</w:t>
      </w:r>
      <w:r>
        <w:rPr>
          <w:rFonts w:hint="eastAsia" w:ascii="仿宋_GB2312" w:eastAsia="仿宋_GB2312"/>
          <w:sz w:val="28"/>
          <w:szCs w:val="28"/>
        </w:rPr>
        <w:t>万元，比2023年度年初预算数</w:t>
      </w:r>
      <w:r>
        <w:rPr>
          <w:rFonts w:ascii="仿宋_GB2312" w:eastAsia="仿宋_GB2312"/>
          <w:sz w:val="28"/>
          <w:szCs w:val="28"/>
        </w:rPr>
        <w:t>8.7</w:t>
      </w:r>
      <w:r>
        <w:rPr>
          <w:rFonts w:hint="eastAsia" w:ascii="仿宋_GB2312" w:eastAsia="仿宋_GB2312"/>
          <w:sz w:val="28"/>
          <w:szCs w:val="28"/>
        </w:rPr>
        <w:t>0万元减少7.37万元，主要原因：落实政府过紧日子思想，严格控制公务用车运行维护费支出。2023年度公务用车运行维护费中，公务用车加油</w:t>
      </w:r>
      <w:r>
        <w:rPr>
          <w:rFonts w:ascii="仿宋_GB2312" w:eastAsia="仿宋_GB2312"/>
          <w:sz w:val="28"/>
          <w:szCs w:val="28"/>
        </w:rPr>
        <w:t>0.13</w:t>
      </w:r>
      <w:r>
        <w:rPr>
          <w:rFonts w:hint="eastAsia" w:ascii="仿宋_GB2312" w:eastAsia="仿宋_GB2312"/>
          <w:sz w:val="28"/>
          <w:szCs w:val="28"/>
        </w:rPr>
        <w:t>万元，公务用车维修</w:t>
      </w:r>
      <w:r>
        <w:rPr>
          <w:rFonts w:ascii="仿宋_GB2312" w:eastAsia="仿宋_GB2312"/>
          <w:sz w:val="28"/>
          <w:szCs w:val="28"/>
        </w:rPr>
        <w:t>0</w:t>
      </w:r>
      <w:r>
        <w:rPr>
          <w:rFonts w:hint="eastAsia" w:ascii="仿宋_GB2312" w:eastAsia="仿宋_GB2312"/>
          <w:sz w:val="28"/>
          <w:szCs w:val="28"/>
        </w:rPr>
        <w:t>.00万元，公务用车保险</w:t>
      </w:r>
      <w:r>
        <w:rPr>
          <w:rFonts w:ascii="仿宋_GB2312" w:eastAsia="仿宋_GB2312"/>
          <w:sz w:val="28"/>
          <w:szCs w:val="28"/>
        </w:rPr>
        <w:t>1.03</w:t>
      </w:r>
      <w:r>
        <w:rPr>
          <w:rFonts w:hint="eastAsia" w:ascii="仿宋_GB2312" w:eastAsia="仿宋_GB2312"/>
          <w:sz w:val="28"/>
          <w:szCs w:val="28"/>
        </w:rPr>
        <w:t>万元，公务用车其他支出</w:t>
      </w:r>
      <w:r>
        <w:rPr>
          <w:rFonts w:ascii="仿宋_GB2312" w:eastAsia="仿宋_GB2312"/>
          <w:sz w:val="28"/>
          <w:szCs w:val="28"/>
        </w:rPr>
        <w:t>0.17</w:t>
      </w:r>
      <w:r>
        <w:rPr>
          <w:rFonts w:hint="eastAsia" w:ascii="仿宋_GB2312" w:eastAsia="仿宋_GB2312"/>
          <w:sz w:val="28"/>
          <w:szCs w:val="28"/>
        </w:rPr>
        <w:t>万元。2023年度公务用车保有量4辆，车均运行维护费0.33万元。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Theme="minorEastAsia"/>
          <w:sz w:val="28"/>
          <w:szCs w:val="28"/>
        </w:rPr>
      </w:pPr>
      <w:r>
        <w:rPr>
          <w:rFonts w:hint="eastAsia" w:ascii="仿宋_GB2312" w:eastAsia="仿宋_GB2312"/>
          <w:sz w:val="28"/>
          <w:szCs w:val="28"/>
        </w:rPr>
        <w:t>2023年度政府采购支出总额</w:t>
      </w:r>
      <w:r>
        <w:rPr>
          <w:rFonts w:ascii="仿宋_GB2312" w:eastAsia="仿宋_GB2312"/>
          <w:sz w:val="28"/>
          <w:szCs w:val="28"/>
        </w:rPr>
        <w:t>12070.6</w:t>
      </w:r>
      <w:r>
        <w:rPr>
          <w:rFonts w:hint="eastAsia" w:ascii="仿宋_GB2312" w:eastAsia="仿宋_GB2312"/>
          <w:sz w:val="28"/>
          <w:szCs w:val="28"/>
        </w:rPr>
        <w:t>0万元，其中：政府采购货物支出</w:t>
      </w:r>
      <w:r>
        <w:rPr>
          <w:rFonts w:ascii="仿宋_GB2312" w:eastAsia="仿宋_GB2312"/>
          <w:sz w:val="28"/>
          <w:szCs w:val="28"/>
        </w:rPr>
        <w:t>6034.63</w:t>
      </w:r>
      <w:r>
        <w:rPr>
          <w:rFonts w:hint="eastAsia" w:ascii="仿宋_GB2312" w:eastAsia="仿宋_GB2312"/>
          <w:sz w:val="28"/>
          <w:szCs w:val="28"/>
        </w:rPr>
        <w:t>万元，政府采购工程支出</w:t>
      </w:r>
      <w:r>
        <w:rPr>
          <w:rFonts w:ascii="仿宋_GB2312" w:eastAsia="仿宋_GB2312"/>
          <w:sz w:val="28"/>
          <w:szCs w:val="28"/>
        </w:rPr>
        <w:t>1666.72</w:t>
      </w:r>
      <w:r>
        <w:rPr>
          <w:rFonts w:hint="eastAsia" w:ascii="仿宋_GB2312" w:eastAsia="仿宋_GB2312"/>
          <w:sz w:val="28"/>
          <w:szCs w:val="28"/>
        </w:rPr>
        <w:t>万元，政府采购服务支出</w:t>
      </w:r>
      <w:r>
        <w:rPr>
          <w:rFonts w:ascii="仿宋_GB2312" w:eastAsia="仿宋_GB2312"/>
          <w:sz w:val="28"/>
          <w:szCs w:val="28"/>
        </w:rPr>
        <w:t>4369.2</w:t>
      </w:r>
      <w:r>
        <w:rPr>
          <w:rFonts w:hint="eastAsia" w:ascii="仿宋_GB2312" w:eastAsiaTheme="minorEastAsia"/>
          <w:sz w:val="28"/>
          <w:szCs w:val="28"/>
        </w:rPr>
        <w:t>5</w:t>
      </w:r>
      <w:r>
        <w:rPr>
          <w:rFonts w:hint="eastAsia" w:ascii="仿宋_GB2312" w:eastAsia="仿宋_GB2312"/>
          <w:sz w:val="28"/>
          <w:szCs w:val="28"/>
        </w:rPr>
        <w:t>万元。授予中小企业合同金额</w:t>
      </w:r>
      <w:r>
        <w:rPr>
          <w:rFonts w:ascii="仿宋_GB2312" w:eastAsia="仿宋_GB2312"/>
          <w:sz w:val="28"/>
          <w:szCs w:val="28"/>
        </w:rPr>
        <w:t>9359.76</w:t>
      </w:r>
      <w:r>
        <w:rPr>
          <w:rFonts w:hint="eastAsia" w:ascii="仿宋_GB2312" w:eastAsia="仿宋_GB2312"/>
          <w:sz w:val="28"/>
          <w:szCs w:val="28"/>
        </w:rPr>
        <w:t>万元，占政府采购支出总额的</w:t>
      </w:r>
      <w:r>
        <w:rPr>
          <w:rFonts w:ascii="仿宋_GB2312" w:eastAsia="仿宋_GB2312"/>
          <w:sz w:val="28"/>
          <w:szCs w:val="28"/>
        </w:rPr>
        <w:t>77.54</w:t>
      </w:r>
      <w:r>
        <w:rPr>
          <w:rFonts w:hint="eastAsia" w:ascii="仿宋_GB2312" w:eastAsia="仿宋_GB2312"/>
          <w:sz w:val="28"/>
          <w:szCs w:val="28"/>
        </w:rPr>
        <w:t>%，其中：授予小微企业合同金额</w:t>
      </w:r>
      <w:r>
        <w:rPr>
          <w:rFonts w:ascii="仿宋_GB2312" w:eastAsia="仿宋_GB2312"/>
          <w:sz w:val="28"/>
          <w:szCs w:val="28"/>
        </w:rPr>
        <w:t>5553.44</w:t>
      </w:r>
      <w:r>
        <w:rPr>
          <w:rFonts w:hint="eastAsia" w:ascii="仿宋_GB2312" w:eastAsia="仿宋_GB2312"/>
          <w:sz w:val="28"/>
          <w:szCs w:val="28"/>
        </w:rPr>
        <w:t>万元，占政府采购支出总额的</w:t>
      </w:r>
      <w:r>
        <w:rPr>
          <w:rFonts w:ascii="仿宋_GB2312" w:eastAsia="仿宋_GB2312"/>
          <w:sz w:val="28"/>
          <w:szCs w:val="28"/>
        </w:rPr>
        <w:t>46</w:t>
      </w:r>
      <w:r>
        <w:rPr>
          <w:rFonts w:hint="eastAsia" w:ascii="仿宋_GB2312" w:eastAsia="仿宋_GB2312"/>
          <w:sz w:val="28"/>
          <w:szCs w:val="28"/>
        </w:rPr>
        <w:t>.0</w:t>
      </w:r>
      <w:r>
        <w:rPr>
          <w:rFonts w:hint="eastAsia" w:ascii="仿宋_GB2312" w:eastAsiaTheme="minorEastAsia"/>
          <w:sz w:val="28"/>
          <w:szCs w:val="28"/>
        </w:rPr>
        <w:t>1</w:t>
      </w:r>
      <w:r>
        <w:rPr>
          <w:rFonts w:hint="eastAsia" w:ascii="仿宋_GB2312" w:eastAsia="仿宋_GB2312"/>
          <w:sz w:val="28"/>
          <w:szCs w:val="28"/>
        </w:rPr>
        <w:t>%。</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28"/>
          <w:szCs w:val="28"/>
        </w:rPr>
      </w:pPr>
      <w:r>
        <w:rPr>
          <w:rFonts w:hint="eastAsia" w:ascii="仿宋_GB2312" w:eastAsia="仿宋_GB2312"/>
          <w:sz w:val="28"/>
          <w:szCs w:val="28"/>
        </w:rPr>
        <w:t>2023年度新购置车辆1台，共计17.98万元；新购置单位价值100万元（含）以上的设备7台（套），共计1041.43万元。截至12月31日，北方工业大学共有车辆11台，共计166.76万元；单位价值100万元（含）以上的设备39台（套），共计6306.40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ascii="仿宋_GB2312" w:eastAsia="仿宋_GB2312"/>
          <w:sz w:val="28"/>
          <w:szCs w:val="28"/>
        </w:rPr>
      </w:pPr>
      <w:r>
        <w:rPr>
          <w:rFonts w:hint="eastAsia" w:ascii="仿宋_GB2312" w:eastAsia="仿宋_GB2312"/>
          <w:sz w:val="28"/>
          <w:szCs w:val="28"/>
        </w:rPr>
        <w:t>不属于政府购买服务购买主体。</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7.教育支出</w:t>
      </w:r>
      <w:r>
        <w:rPr>
          <w:rFonts w:ascii="仿宋_GB2312" w:eastAsia="仿宋_GB2312"/>
          <w:sz w:val="28"/>
          <w:szCs w:val="28"/>
        </w:rPr>
        <w:t>（类）</w:t>
      </w:r>
      <w:r>
        <w:rPr>
          <w:rFonts w:hint="eastAsia" w:ascii="仿宋_GB2312" w:eastAsia="仿宋_GB2312"/>
          <w:sz w:val="28"/>
          <w:szCs w:val="28"/>
        </w:rPr>
        <w:t>普通教育（款）</w:t>
      </w:r>
      <w:r>
        <w:rPr>
          <w:rFonts w:ascii="仿宋_GB2312" w:eastAsia="仿宋_GB2312"/>
          <w:sz w:val="28"/>
          <w:szCs w:val="28"/>
        </w:rPr>
        <w:t>高等教育（项）</w:t>
      </w:r>
      <w:r>
        <w:rPr>
          <w:rFonts w:hint="eastAsia" w:ascii="仿宋_GB2312" w:eastAsia="仿宋_GB2312"/>
          <w:sz w:val="28"/>
          <w:szCs w:val="28"/>
        </w:rPr>
        <w:t>：反映各部门举办的普通本科</w:t>
      </w:r>
      <w:r>
        <w:rPr>
          <w:rFonts w:ascii="仿宋_GB2312" w:eastAsia="仿宋_GB2312"/>
          <w:sz w:val="28"/>
          <w:szCs w:val="28"/>
        </w:rPr>
        <w:t>(包括研究生)教育支出。政府各部门对社会组织等举办的普通本科高等院校 (包括研究生)的资助，如捐赠、补贴等，也在本科目中反映。</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28"/>
          <w:szCs w:val="28"/>
        </w:rPr>
      </w:pPr>
      <w:r>
        <w:rPr>
          <w:rFonts w:hint="eastAsia" w:ascii="黑体" w:eastAsia="黑体"/>
          <w:sz w:val="32"/>
          <w:szCs w:val="32"/>
        </w:rPr>
        <w:t>第四部分  2023年度部门绩效评价情况</w:t>
      </w:r>
    </w:p>
    <w:p/>
    <w:p>
      <w:pPr>
        <w:pStyle w:val="2"/>
        <w:ind w:firstLine="720"/>
        <w:jc w:val="left"/>
        <w:rPr>
          <w:rFonts w:ascii="黑体" w:eastAsia="黑体"/>
          <w:sz w:val="32"/>
          <w:szCs w:val="32"/>
        </w:rPr>
      </w:pPr>
      <w:r>
        <w:rPr>
          <w:rFonts w:hint="eastAsia" w:ascii="仿宋_GB2312" w:hAnsi="宋体" w:eastAsia="仿宋_GB2312" w:cs="宋体"/>
          <w:bCs/>
          <w:spacing w:val="40"/>
          <w:kern w:val="0"/>
          <w:sz w:val="28"/>
          <w:szCs w:val="28"/>
        </w:rPr>
        <w:t>项目支出绩效自评表详见附件。</w:t>
      </w:r>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D87CBB"/>
    <w:multiLevelType w:val="singleLevel"/>
    <w:tmpl w:val="48D87CB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3NzA4NTU0YTBiMmYyMDkzZWZmYWMzN2JiOGUxN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2CC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5CAB"/>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2F5A6F"/>
    <w:rsid w:val="00301D20"/>
    <w:rsid w:val="00302B19"/>
    <w:rsid w:val="00303428"/>
    <w:rsid w:val="003053C4"/>
    <w:rsid w:val="003058A3"/>
    <w:rsid w:val="00307DA5"/>
    <w:rsid w:val="0031169D"/>
    <w:rsid w:val="0031170D"/>
    <w:rsid w:val="00313E14"/>
    <w:rsid w:val="003167DD"/>
    <w:rsid w:val="00320C8B"/>
    <w:rsid w:val="00321BD8"/>
    <w:rsid w:val="00322B79"/>
    <w:rsid w:val="00325687"/>
    <w:rsid w:val="00332C14"/>
    <w:rsid w:val="00335079"/>
    <w:rsid w:val="003352CE"/>
    <w:rsid w:val="00341D8E"/>
    <w:rsid w:val="00346D2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44BB"/>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0F9"/>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18FB"/>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03E"/>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0510"/>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228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06F83"/>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C7E09"/>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11F1"/>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042BA"/>
    <w:rsid w:val="01C33AF6"/>
    <w:rsid w:val="01E7512B"/>
    <w:rsid w:val="079004AC"/>
    <w:rsid w:val="0C8033D9"/>
    <w:rsid w:val="0F8E2C57"/>
    <w:rsid w:val="1059665E"/>
    <w:rsid w:val="10AC13BA"/>
    <w:rsid w:val="167A5AB7"/>
    <w:rsid w:val="17FE48E7"/>
    <w:rsid w:val="18417175"/>
    <w:rsid w:val="1A7208AA"/>
    <w:rsid w:val="1AEC0734"/>
    <w:rsid w:val="1DEF20B0"/>
    <w:rsid w:val="214243FA"/>
    <w:rsid w:val="257A14F5"/>
    <w:rsid w:val="265A320F"/>
    <w:rsid w:val="27196C26"/>
    <w:rsid w:val="29EF086F"/>
    <w:rsid w:val="2C835CA7"/>
    <w:rsid w:val="2EFFE297"/>
    <w:rsid w:val="301437CA"/>
    <w:rsid w:val="33C54108"/>
    <w:rsid w:val="35B46497"/>
    <w:rsid w:val="36AE63E2"/>
    <w:rsid w:val="382C4A0B"/>
    <w:rsid w:val="3C520266"/>
    <w:rsid w:val="433E495C"/>
    <w:rsid w:val="4AC27CB3"/>
    <w:rsid w:val="4BF72BEF"/>
    <w:rsid w:val="4C4D4AF8"/>
    <w:rsid w:val="4FDA0458"/>
    <w:rsid w:val="51DB3C59"/>
    <w:rsid w:val="53B51901"/>
    <w:rsid w:val="54A83213"/>
    <w:rsid w:val="55762E42"/>
    <w:rsid w:val="57A7B272"/>
    <w:rsid w:val="58470068"/>
    <w:rsid w:val="59CC1752"/>
    <w:rsid w:val="5A1720F9"/>
    <w:rsid w:val="5B9C37C2"/>
    <w:rsid w:val="5B9E711E"/>
    <w:rsid w:val="5BA7C654"/>
    <w:rsid w:val="5C6C31D9"/>
    <w:rsid w:val="5FB20905"/>
    <w:rsid w:val="64C0607C"/>
    <w:rsid w:val="676F09E1"/>
    <w:rsid w:val="68C06926"/>
    <w:rsid w:val="7A7F1C49"/>
    <w:rsid w:val="7B5B7AE6"/>
    <w:rsid w:val="7BA7071E"/>
    <w:rsid w:val="7BCB1412"/>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字符"/>
    <w:link w:val="7"/>
    <w:autoRedefine/>
    <w:qFormat/>
    <w:uiPriority w:val="0"/>
    <w:rPr>
      <w:rFonts w:eastAsia="宋体"/>
      <w:kern w:val="2"/>
      <w:sz w:val="18"/>
      <w:szCs w:val="18"/>
      <w:lang w:val="en-US" w:eastAsia="zh-CN" w:bidi="ar-SA"/>
    </w:rPr>
  </w:style>
  <w:style w:type="character" w:customStyle="1" w:styleId="15">
    <w:name w:val="页眉 字符"/>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autoRedefine/>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4.6.4&#20915;&#31639;&#33609;&#26696;\&#26032;&#24314;%20XLSX%20&#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024.6.4&#20915;&#31639;&#33609;&#26696;\&#26032;&#24314;%20XLSX%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t>收入决算</a:t>
            </a:r>
            <a:endParaRPr lang="zh-CN" altLang="en-US"/>
          </a:p>
        </c:rich>
      </c:tx>
      <c:layout>
        <c:manualLayout>
          <c:xMode val="edge"/>
          <c:yMode val="edge"/>
          <c:x val="0.424342105263158"/>
          <c:y val="0.0347222222222222"/>
        </c:manualLayout>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dLbl>
              <c:idx val="2"/>
              <c:layout>
                <c:manualLayout>
                  <c:x val="0.0134181290566982"/>
                  <c:y val="-0.032855718745323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734292274167903"/>
                  <c:y val="-0.0050772113066793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856045642011796"/>
                  <c:y val="0.0411181505035686"/>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08421052631579"/>
                      <c:h val="0.0875"/>
                    </c:manualLayout>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Sheet1!$G$15:$G$19</c:f>
              <c:strCache>
                <c:ptCount val="5"/>
                <c:pt idx="0">
                  <c:v>财政拨款收入</c:v>
                </c:pt>
                <c:pt idx="1">
                  <c:v>事业收入</c:v>
                </c:pt>
                <c:pt idx="2">
                  <c:v>经营收入</c:v>
                </c:pt>
                <c:pt idx="3">
                  <c:v>附属单位上缴收入</c:v>
                </c:pt>
                <c:pt idx="4">
                  <c:v>其他收入</c:v>
                </c:pt>
              </c:strCache>
            </c:strRef>
          </c:cat>
          <c:val>
            <c:numRef>
              <c:f>Sheet1!$H$15:$H$19</c:f>
              <c:numCache>
                <c:formatCode>0.00%</c:formatCode>
                <c:ptCount val="5"/>
                <c:pt idx="0">
                  <c:v>0.703615318463959</c:v>
                </c:pt>
                <c:pt idx="1">
                  <c:v>0.270599786598742</c:v>
                </c:pt>
                <c:pt idx="2">
                  <c:v>0.000460412542903198</c:v>
                </c:pt>
                <c:pt idx="3">
                  <c:v>7.00881075628384e-5</c:v>
                </c:pt>
                <c:pt idx="4">
                  <c:v>0.0252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t>支出决算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Sheet1!$G$31:$G$33</c:f>
              <c:strCache>
                <c:ptCount val="3"/>
                <c:pt idx="0">
                  <c:v>基本支出</c:v>
                </c:pt>
                <c:pt idx="1">
                  <c:v>项目支出</c:v>
                </c:pt>
                <c:pt idx="2">
                  <c:v>经营支出</c:v>
                </c:pt>
              </c:strCache>
            </c:strRef>
          </c:cat>
          <c:val>
            <c:numRef>
              <c:f>Sheet1!$H$31:$H$33</c:f>
              <c:numCache>
                <c:formatCode>0.00%</c:formatCode>
                <c:ptCount val="3"/>
                <c:pt idx="0">
                  <c:v>0.8281</c:v>
                </c:pt>
                <c:pt idx="1">
                  <c:v>0.1715</c:v>
                </c:pt>
                <c:pt idx="2">
                  <c:v>0.0004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613</Words>
  <Characters>3497</Characters>
  <Lines>29</Lines>
  <Paragraphs>8</Paragraphs>
  <TotalTime>5</TotalTime>
  <ScaleCrop>false</ScaleCrop>
  <LinksUpToDate>false</LinksUpToDate>
  <CharactersWithSpaces>4102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2024-07-03T09:49:00Z</dcterms:created>
  <dc:creator>常程</dc:creator>
  <cp:lastModifiedBy>吕淑庆</cp:lastModifiedBy>
  <cp:lastPrinted>2020-08-07T11:39:00Z</cp:lastPrinted>
  <dcterms:modified xsi:type="dcterms:W3CDTF">2024-09-04T01:49:25Z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C53E0049DD7D4F56A956C4A3BA3D12CC_13</vt:lpwstr>
  </property>
</Properties>
</file>